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Modulo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Casos de prueba exitosos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CP002</w:t>
              <w:tab/>
              <w:tab/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917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CP006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21463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CP010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5875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981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23749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714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8.00000000000006" w:lineRule="auto"/>
        <w:rPr/>
      </w:pPr>
      <w:r w:rsidDel="00000000" w:rsidR="00000000" w:rsidRPr="00000000">
        <w:rPr>
          <w:rtl w:val="0"/>
        </w:rPr>
        <w:t xml:space="preserve">Módulo Parqueadero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Casos de prueba exitosos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CP002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2222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Casos de prueba fallidos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4"/>
        <w:gridCol w:w="4494"/>
        <w:tblGridChange w:id="0">
          <w:tblGrid>
            <w:gridCol w:w="4334"/>
            <w:gridCol w:w="449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Caso de prueba: CP003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13/05/2025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Tipo de Correo: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Bug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Remitente: Diego Garzon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Destinatario: Juan Garnica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Evidencia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5519738" cy="36099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38" cy="3609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Resuelto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2709863" cy="305752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305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