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5D7A" w14:textId="1D2970C8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Background</w:t>
      </w:r>
    </w:p>
    <w:p w14:paraId="7799FC0F" w14:textId="08DBAF42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 xml:space="preserve">As </w:t>
      </w:r>
      <w:r w:rsidR="47D94888" w:rsidRPr="1B826B90">
        <w:rPr>
          <w:rFonts w:ascii="Aptos" w:eastAsia="Aptos" w:hAnsi="Aptos" w:cs="Aptos"/>
          <w:color w:val="000000" w:themeColor="text1"/>
        </w:rPr>
        <w:t>renewable assets</w:t>
      </w:r>
      <w:r w:rsidRPr="7C6F17DB">
        <w:rPr>
          <w:rFonts w:ascii="Aptos" w:eastAsia="Aptos" w:hAnsi="Aptos" w:cs="Aptos"/>
          <w:color w:val="000000" w:themeColor="text1"/>
        </w:rPr>
        <w:t xml:space="preserve"> reach the end of their Power Purchase Agreements (PPAs), they transition into merchant market</w:t>
      </w:r>
      <w:r w:rsidR="00F35DE8">
        <w:rPr>
          <w:rFonts w:ascii="Aptos" w:eastAsia="Aptos" w:hAnsi="Aptos" w:cs="Aptos"/>
          <w:color w:val="000000" w:themeColor="text1"/>
        </w:rPr>
        <w:t xml:space="preserve"> exposure</w:t>
      </w:r>
      <w:r w:rsidRPr="7C6F17DB">
        <w:rPr>
          <w:rFonts w:ascii="Aptos" w:eastAsia="Aptos" w:hAnsi="Aptos" w:cs="Aptos"/>
          <w:color w:val="000000" w:themeColor="text1"/>
        </w:rPr>
        <w:t xml:space="preserve"> where revenues </w:t>
      </w:r>
      <w:r w:rsidR="00971D5F">
        <w:rPr>
          <w:rFonts w:ascii="Aptos" w:eastAsia="Aptos" w:hAnsi="Aptos" w:cs="Aptos"/>
          <w:color w:val="000000" w:themeColor="text1"/>
        </w:rPr>
        <w:t>are subject to</w:t>
      </w:r>
      <w:r w:rsidRPr="7C6F17DB">
        <w:rPr>
          <w:rFonts w:ascii="Aptos" w:eastAsia="Aptos" w:hAnsi="Aptos" w:cs="Aptos"/>
          <w:color w:val="000000" w:themeColor="text1"/>
        </w:rPr>
        <w:t xml:space="preserve"> volatile wholesale prices, congestion, and curtailment risk. </w:t>
      </w:r>
      <w:r w:rsidR="0BBD2AA4" w:rsidRPr="1B826B90">
        <w:rPr>
          <w:rFonts w:ascii="Aptos" w:eastAsia="Aptos" w:hAnsi="Aptos" w:cs="Aptos"/>
          <w:color w:val="000000" w:themeColor="text1"/>
        </w:rPr>
        <w:t xml:space="preserve"> </w:t>
      </w:r>
      <w:r w:rsidR="6B347F2A" w:rsidRPr="1B826B90">
        <w:rPr>
          <w:rFonts w:ascii="Aptos" w:eastAsia="Aptos" w:hAnsi="Aptos" w:cs="Aptos"/>
          <w:color w:val="000000" w:themeColor="text1"/>
        </w:rPr>
        <w:t>V</w:t>
      </w:r>
      <w:r w:rsidRPr="1B826B90">
        <w:rPr>
          <w:rFonts w:ascii="Aptos" w:eastAsia="Aptos" w:hAnsi="Aptos" w:cs="Aptos"/>
          <w:color w:val="000000" w:themeColor="text1"/>
        </w:rPr>
        <w:t xml:space="preserve">aluing </w:t>
      </w:r>
      <w:r w:rsidR="00379ADA" w:rsidRPr="1B826B90">
        <w:rPr>
          <w:rFonts w:ascii="Aptos" w:eastAsia="Aptos" w:hAnsi="Aptos" w:cs="Aptos"/>
          <w:color w:val="000000" w:themeColor="text1"/>
        </w:rPr>
        <w:t>the future output of</w:t>
      </w:r>
      <w:r w:rsidRPr="7C6F17DB">
        <w:rPr>
          <w:rFonts w:ascii="Aptos" w:eastAsia="Aptos" w:hAnsi="Aptos" w:cs="Aptos"/>
          <w:color w:val="000000" w:themeColor="text1"/>
        </w:rPr>
        <w:t xml:space="preserve"> these assets requires integrating historical performance</w:t>
      </w:r>
      <w:r w:rsidR="08952A48" w:rsidRPr="1B826B90">
        <w:rPr>
          <w:rFonts w:ascii="Aptos" w:eastAsia="Aptos" w:hAnsi="Aptos" w:cs="Aptos"/>
          <w:color w:val="000000" w:themeColor="text1"/>
        </w:rPr>
        <w:t xml:space="preserve"> and </w:t>
      </w:r>
      <w:r w:rsidRPr="7C6F17DB">
        <w:rPr>
          <w:rFonts w:ascii="Aptos" w:eastAsia="Aptos" w:hAnsi="Aptos" w:cs="Aptos"/>
          <w:color w:val="000000" w:themeColor="text1"/>
        </w:rPr>
        <w:t xml:space="preserve">market price dynamics, </w:t>
      </w:r>
      <w:r w:rsidR="1DAE1FFB" w:rsidRPr="1B826B90">
        <w:rPr>
          <w:rFonts w:ascii="Aptos" w:eastAsia="Aptos" w:hAnsi="Aptos" w:cs="Aptos"/>
          <w:color w:val="000000" w:themeColor="text1"/>
        </w:rPr>
        <w:t xml:space="preserve">a </w:t>
      </w:r>
      <w:r w:rsidRPr="7C6F17DB">
        <w:rPr>
          <w:rFonts w:ascii="Aptos" w:eastAsia="Aptos" w:hAnsi="Aptos" w:cs="Aptos"/>
          <w:color w:val="000000" w:themeColor="text1"/>
        </w:rPr>
        <w:t xml:space="preserve">forward </w:t>
      </w:r>
      <w:r w:rsidR="3FC8AD7E" w:rsidRPr="1B826B90">
        <w:rPr>
          <w:rFonts w:ascii="Aptos" w:eastAsia="Aptos" w:hAnsi="Aptos" w:cs="Aptos"/>
          <w:color w:val="000000" w:themeColor="text1"/>
        </w:rPr>
        <w:t xml:space="preserve">(or forecast) view of </w:t>
      </w:r>
      <w:r w:rsidRPr="1B826B90">
        <w:rPr>
          <w:rFonts w:ascii="Aptos" w:eastAsia="Aptos" w:hAnsi="Aptos" w:cs="Aptos"/>
          <w:color w:val="000000" w:themeColor="text1"/>
        </w:rPr>
        <w:t>price</w:t>
      </w:r>
      <w:r w:rsidR="7E3781FE" w:rsidRPr="1B826B90">
        <w:rPr>
          <w:rFonts w:ascii="Aptos" w:eastAsia="Aptos" w:hAnsi="Aptos" w:cs="Aptos"/>
          <w:color w:val="000000" w:themeColor="text1"/>
        </w:rPr>
        <w:t>s</w:t>
      </w:r>
      <w:r w:rsidR="5D51BFA7" w:rsidRPr="1B826B90">
        <w:rPr>
          <w:rFonts w:ascii="Aptos" w:eastAsia="Aptos" w:hAnsi="Aptos" w:cs="Aptos"/>
          <w:color w:val="000000" w:themeColor="text1"/>
        </w:rPr>
        <w:t>,</w:t>
      </w:r>
      <w:r w:rsidRPr="1B826B90">
        <w:rPr>
          <w:rFonts w:ascii="Aptos" w:eastAsia="Aptos" w:hAnsi="Aptos" w:cs="Aptos"/>
          <w:color w:val="000000" w:themeColor="text1"/>
        </w:rPr>
        <w:t xml:space="preserve"> and </w:t>
      </w:r>
      <w:r w:rsidR="3CF3173B" w:rsidRPr="1B826B90">
        <w:rPr>
          <w:rFonts w:ascii="Aptos" w:eastAsia="Aptos" w:hAnsi="Aptos" w:cs="Aptos"/>
          <w:color w:val="000000" w:themeColor="text1"/>
        </w:rPr>
        <w:t>a</w:t>
      </w:r>
      <w:r w:rsidR="1E7F13D6" w:rsidRPr="1B826B90">
        <w:rPr>
          <w:rFonts w:ascii="Aptos" w:eastAsia="Aptos" w:hAnsi="Aptos" w:cs="Aptos"/>
          <w:color w:val="000000" w:themeColor="text1"/>
        </w:rPr>
        <w:t>n an</w:t>
      </w:r>
      <w:r w:rsidR="229E00B9" w:rsidRPr="1B826B90">
        <w:rPr>
          <w:rFonts w:ascii="Aptos" w:eastAsia="Aptos" w:hAnsi="Aptos" w:cs="Aptos"/>
          <w:color w:val="000000" w:themeColor="text1"/>
        </w:rPr>
        <w:t>a</w:t>
      </w:r>
      <w:r w:rsidR="1E7F13D6" w:rsidRPr="1B826B90">
        <w:rPr>
          <w:rFonts w:ascii="Aptos" w:eastAsia="Aptos" w:hAnsi="Aptos" w:cs="Aptos"/>
          <w:color w:val="000000" w:themeColor="text1"/>
        </w:rPr>
        <w:t xml:space="preserve">lysis of the </w:t>
      </w:r>
      <w:r w:rsidRPr="7C6F17DB">
        <w:rPr>
          <w:rFonts w:ascii="Aptos" w:eastAsia="Aptos" w:hAnsi="Aptos" w:cs="Aptos"/>
          <w:color w:val="000000" w:themeColor="text1"/>
        </w:rPr>
        <w:t>risk</w:t>
      </w:r>
      <w:r w:rsidR="1E7F13D6" w:rsidRPr="1B826B90">
        <w:rPr>
          <w:rFonts w:ascii="Aptos" w:eastAsia="Aptos" w:hAnsi="Aptos" w:cs="Aptos"/>
          <w:color w:val="000000" w:themeColor="text1"/>
        </w:rPr>
        <w:t>/volatility inherent</w:t>
      </w:r>
      <w:r w:rsidRPr="7C6F17DB">
        <w:rPr>
          <w:rFonts w:ascii="Aptos" w:eastAsia="Aptos" w:hAnsi="Aptos" w:cs="Aptos"/>
          <w:color w:val="000000" w:themeColor="text1"/>
        </w:rPr>
        <w:t xml:space="preserve"> to </w:t>
      </w:r>
      <w:r w:rsidR="1E7F13D6" w:rsidRPr="1B826B90">
        <w:rPr>
          <w:rFonts w:ascii="Aptos" w:eastAsia="Aptos" w:hAnsi="Aptos" w:cs="Aptos"/>
          <w:color w:val="000000" w:themeColor="text1"/>
        </w:rPr>
        <w:t>these elements</w:t>
      </w:r>
      <w:r w:rsidRPr="7C6F17DB">
        <w:rPr>
          <w:rFonts w:ascii="Aptos" w:eastAsia="Aptos" w:hAnsi="Aptos" w:cs="Aptos"/>
          <w:color w:val="000000" w:themeColor="text1"/>
        </w:rPr>
        <w:t xml:space="preserve"> to best </w:t>
      </w:r>
      <w:r w:rsidR="67CB99D0" w:rsidRPr="1B826B90">
        <w:rPr>
          <w:rFonts w:ascii="Aptos" w:eastAsia="Aptos" w:hAnsi="Aptos" w:cs="Aptos"/>
          <w:color w:val="000000" w:themeColor="text1"/>
        </w:rPr>
        <w:t xml:space="preserve">determine a fair price for </w:t>
      </w:r>
      <w:r w:rsidRPr="7C6F17DB">
        <w:rPr>
          <w:rFonts w:ascii="Aptos" w:eastAsia="Aptos" w:hAnsi="Aptos" w:cs="Aptos"/>
          <w:color w:val="000000" w:themeColor="text1"/>
        </w:rPr>
        <w:t xml:space="preserve">the asset’s </w:t>
      </w:r>
      <w:r w:rsidR="4BABE260" w:rsidRPr="1B826B90">
        <w:rPr>
          <w:rFonts w:ascii="Aptos" w:eastAsia="Aptos" w:hAnsi="Aptos" w:cs="Aptos"/>
          <w:color w:val="000000" w:themeColor="text1"/>
        </w:rPr>
        <w:t xml:space="preserve">future </w:t>
      </w:r>
      <w:r w:rsidR="06818880" w:rsidRPr="1B826B90">
        <w:rPr>
          <w:rFonts w:ascii="Aptos" w:eastAsia="Aptos" w:hAnsi="Aptos" w:cs="Aptos"/>
          <w:color w:val="000000" w:themeColor="text1"/>
        </w:rPr>
        <w:t>output</w:t>
      </w:r>
      <w:r w:rsidRPr="1B826B90">
        <w:rPr>
          <w:rFonts w:ascii="Aptos" w:eastAsia="Aptos" w:hAnsi="Aptos" w:cs="Aptos"/>
          <w:color w:val="000000" w:themeColor="text1"/>
        </w:rPr>
        <w:t>.</w:t>
      </w:r>
      <w:r w:rsidR="136F95DE" w:rsidRPr="1B826B90">
        <w:rPr>
          <w:rFonts w:ascii="Aptos" w:eastAsia="Aptos" w:hAnsi="Aptos" w:cs="Aptos"/>
          <w:color w:val="000000" w:themeColor="text1"/>
        </w:rPr>
        <w:t xml:space="preserve"> </w:t>
      </w:r>
      <w:r w:rsidR="5DFD8FC4" w:rsidRPr="1B826B90">
        <w:rPr>
          <w:rFonts w:ascii="Aptos" w:eastAsia="Aptos" w:hAnsi="Aptos" w:cs="Aptos"/>
          <w:color w:val="000000" w:themeColor="text1"/>
        </w:rPr>
        <w:t xml:space="preserve"> </w:t>
      </w:r>
      <w:r w:rsidRPr="7C6F17DB">
        <w:rPr>
          <w:rFonts w:ascii="Aptos" w:eastAsia="Aptos" w:hAnsi="Aptos" w:cs="Aptos"/>
          <w:color w:val="000000" w:themeColor="text1"/>
        </w:rPr>
        <w:t>Your challenge is to design a </w:t>
      </w:r>
      <w:r w:rsidRPr="7C6F17DB">
        <w:rPr>
          <w:rFonts w:ascii="Aptos" w:eastAsia="Aptos" w:hAnsi="Aptos" w:cs="Aptos"/>
          <w:b/>
          <w:bCs/>
          <w:color w:val="000000" w:themeColor="text1"/>
        </w:rPr>
        <w:t>transparent, data-driven valuation framework</w:t>
      </w:r>
      <w:r w:rsidRPr="7C6F17DB">
        <w:rPr>
          <w:rFonts w:ascii="Aptos" w:eastAsia="Aptos" w:hAnsi="Aptos" w:cs="Aptos"/>
          <w:color w:val="000000" w:themeColor="text1"/>
        </w:rPr>
        <w:t xml:space="preserve"> for merchant </w:t>
      </w:r>
      <w:r w:rsidR="45997E8D" w:rsidRPr="1B826B90">
        <w:rPr>
          <w:rFonts w:ascii="Aptos" w:eastAsia="Aptos" w:hAnsi="Aptos" w:cs="Aptos"/>
          <w:color w:val="000000" w:themeColor="text1"/>
        </w:rPr>
        <w:t xml:space="preserve">renewable </w:t>
      </w:r>
      <w:r w:rsidR="2C504F37" w:rsidRPr="1B826B90">
        <w:rPr>
          <w:rFonts w:ascii="Aptos" w:eastAsia="Aptos" w:hAnsi="Aptos" w:cs="Aptos"/>
          <w:color w:val="000000" w:themeColor="text1"/>
        </w:rPr>
        <w:t>energy</w:t>
      </w:r>
      <w:r w:rsidRPr="1B826B90">
        <w:rPr>
          <w:rFonts w:ascii="Aptos" w:eastAsia="Aptos" w:hAnsi="Aptos" w:cs="Aptos"/>
          <w:color w:val="000000" w:themeColor="text1"/>
        </w:rPr>
        <w:t xml:space="preserve"> </w:t>
      </w:r>
      <w:r w:rsidR="7DF6B4EF" w:rsidRPr="1B826B90">
        <w:rPr>
          <w:rFonts w:ascii="Aptos" w:eastAsia="Aptos" w:hAnsi="Aptos" w:cs="Aptos"/>
          <w:color w:val="000000" w:themeColor="text1"/>
        </w:rPr>
        <w:t>pricing</w:t>
      </w:r>
      <w:r w:rsidRPr="7C6F17DB">
        <w:rPr>
          <w:rFonts w:ascii="Aptos" w:eastAsia="Aptos" w:hAnsi="Aptos" w:cs="Aptos"/>
          <w:color w:val="000000" w:themeColor="text1"/>
        </w:rPr>
        <w:t xml:space="preserve"> that can inform real-world </w:t>
      </w:r>
      <w:r w:rsidR="04B28800" w:rsidRPr="1B826B90">
        <w:rPr>
          <w:rFonts w:ascii="Aptos" w:eastAsia="Aptos" w:hAnsi="Aptos" w:cs="Aptos"/>
          <w:color w:val="000000" w:themeColor="text1"/>
        </w:rPr>
        <w:t>hedging</w:t>
      </w:r>
      <w:r w:rsidRPr="7C6F17DB">
        <w:rPr>
          <w:rFonts w:ascii="Aptos" w:eastAsia="Aptos" w:hAnsi="Aptos" w:cs="Aptos"/>
          <w:color w:val="000000" w:themeColor="text1"/>
        </w:rPr>
        <w:t xml:space="preserve"> and risk management decisions.</w:t>
      </w:r>
    </w:p>
    <w:p w14:paraId="72731130" w14:textId="27BBAB64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2895E375" wp14:editId="71CD87DD">
            <wp:extent cx="9526" cy="9526"/>
            <wp:effectExtent l="0" t="0" r="0" b="0"/>
            <wp:docPr id="124865766" name="drawing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7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E226" w14:textId="0EF5E2AF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Prompt</w:t>
      </w:r>
    </w:p>
    <w:p w14:paraId="3763C4DD" w14:textId="59B557B5" w:rsidR="0028188B" w:rsidRDefault="0511F383" w:rsidP="008676E2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 xml:space="preserve">You are part of a </w:t>
      </w:r>
      <w:r w:rsidR="00AC2132">
        <w:rPr>
          <w:rFonts w:ascii="Aptos" w:eastAsia="Aptos" w:hAnsi="Aptos" w:cs="Aptos"/>
          <w:color w:val="000000" w:themeColor="text1"/>
        </w:rPr>
        <w:t>renewable developer</w:t>
      </w:r>
      <w:r w:rsidRPr="7C6F17DB">
        <w:rPr>
          <w:rFonts w:ascii="Aptos" w:eastAsia="Aptos" w:hAnsi="Aptos" w:cs="Aptos"/>
          <w:color w:val="000000" w:themeColor="text1"/>
        </w:rPr>
        <w:t xml:space="preserve"> portfolio team evaluating </w:t>
      </w:r>
      <w:r w:rsidR="00EE0164">
        <w:rPr>
          <w:rFonts w:ascii="Aptos" w:eastAsia="Aptos" w:hAnsi="Aptos" w:cs="Aptos"/>
          <w:b/>
          <w:bCs/>
          <w:color w:val="000000" w:themeColor="text1"/>
        </w:rPr>
        <w:t>three</w:t>
      </w:r>
      <w:r w:rsidRPr="7C6F17DB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11132BD3" w:rsidRPr="0BB6AE4B">
        <w:rPr>
          <w:rFonts w:ascii="Aptos" w:eastAsia="Aptos" w:hAnsi="Aptos" w:cs="Aptos"/>
          <w:b/>
          <w:bCs/>
          <w:color w:val="000000" w:themeColor="text1"/>
        </w:rPr>
        <w:t xml:space="preserve">merchant </w:t>
      </w:r>
      <w:r w:rsidRPr="7C6F17DB">
        <w:rPr>
          <w:rFonts w:ascii="Aptos" w:eastAsia="Aptos" w:hAnsi="Aptos" w:cs="Aptos"/>
          <w:b/>
          <w:bCs/>
          <w:color w:val="000000" w:themeColor="text1"/>
        </w:rPr>
        <w:t>assets</w:t>
      </w:r>
      <w:r w:rsidRPr="7C6F17DB">
        <w:rPr>
          <w:rFonts w:ascii="Aptos" w:eastAsia="Aptos" w:hAnsi="Aptos" w:cs="Aptos"/>
          <w:color w:val="000000" w:themeColor="text1"/>
        </w:rPr>
        <w:t> </w:t>
      </w:r>
      <w:r w:rsidR="20E3B476" w:rsidRPr="0BB6AE4B">
        <w:rPr>
          <w:rFonts w:ascii="Aptos" w:eastAsia="Aptos" w:hAnsi="Aptos" w:cs="Aptos"/>
          <w:color w:val="000000" w:themeColor="text1"/>
        </w:rPr>
        <w:t xml:space="preserve">(two wind, one solar) </w:t>
      </w:r>
      <w:r w:rsidRPr="7C6F17DB">
        <w:rPr>
          <w:rFonts w:ascii="Aptos" w:eastAsia="Aptos" w:hAnsi="Aptos" w:cs="Aptos"/>
          <w:color w:val="000000" w:themeColor="text1"/>
        </w:rPr>
        <w:t xml:space="preserve">in </w:t>
      </w:r>
      <w:r w:rsidR="6AB05D83" w:rsidRPr="0BB6AE4B">
        <w:rPr>
          <w:rFonts w:ascii="Aptos" w:eastAsia="Aptos" w:hAnsi="Aptos" w:cs="Aptos"/>
          <w:color w:val="000000" w:themeColor="text1"/>
        </w:rPr>
        <w:t>three</w:t>
      </w:r>
      <w:r w:rsidRPr="0BB6AE4B">
        <w:rPr>
          <w:rFonts w:ascii="Aptos" w:eastAsia="Aptos" w:hAnsi="Aptos" w:cs="Aptos"/>
          <w:color w:val="000000" w:themeColor="text1"/>
        </w:rPr>
        <w:t xml:space="preserve"> </w:t>
      </w:r>
      <w:r w:rsidR="6AB05D83" w:rsidRPr="0BB6AE4B">
        <w:rPr>
          <w:rFonts w:ascii="Aptos" w:eastAsia="Aptos" w:hAnsi="Aptos" w:cs="Aptos"/>
          <w:color w:val="000000" w:themeColor="text1"/>
        </w:rPr>
        <w:t xml:space="preserve">different US </w:t>
      </w:r>
      <w:r w:rsidRPr="0BB6AE4B">
        <w:rPr>
          <w:rFonts w:ascii="Aptos" w:eastAsia="Aptos" w:hAnsi="Aptos" w:cs="Aptos"/>
          <w:color w:val="000000" w:themeColor="text1"/>
        </w:rPr>
        <w:t>market</w:t>
      </w:r>
      <w:r w:rsidR="7ACB9764" w:rsidRPr="0BB6AE4B">
        <w:rPr>
          <w:rFonts w:ascii="Aptos" w:eastAsia="Aptos" w:hAnsi="Aptos" w:cs="Aptos"/>
          <w:color w:val="000000" w:themeColor="text1"/>
        </w:rPr>
        <w:t>s</w:t>
      </w:r>
      <w:r w:rsidRPr="0BB6AE4B">
        <w:rPr>
          <w:rFonts w:ascii="Aptos" w:eastAsia="Aptos" w:hAnsi="Aptos" w:cs="Aptos"/>
          <w:color w:val="000000" w:themeColor="text1"/>
        </w:rPr>
        <w:t xml:space="preserve"> </w:t>
      </w:r>
      <w:r w:rsidR="7D530034" w:rsidRPr="0BB6AE4B">
        <w:rPr>
          <w:rFonts w:ascii="Aptos" w:eastAsia="Aptos" w:hAnsi="Aptos" w:cs="Aptos"/>
          <w:color w:val="000000" w:themeColor="text1"/>
        </w:rPr>
        <w:t xml:space="preserve">where </w:t>
      </w:r>
      <w:r w:rsidRPr="7C6F17DB">
        <w:rPr>
          <w:rFonts w:ascii="Aptos" w:eastAsia="Aptos" w:hAnsi="Aptos" w:cs="Aptos"/>
          <w:color w:val="000000" w:themeColor="text1"/>
        </w:rPr>
        <w:t xml:space="preserve">the </w:t>
      </w:r>
      <w:r w:rsidRPr="0BB6AE4B">
        <w:rPr>
          <w:rFonts w:ascii="Aptos" w:eastAsia="Aptos" w:hAnsi="Aptos" w:cs="Aptos"/>
          <w:color w:val="000000" w:themeColor="text1"/>
        </w:rPr>
        <w:t>PPAs</w:t>
      </w:r>
      <w:r w:rsidR="24D1B5D4" w:rsidRPr="0BB6AE4B">
        <w:rPr>
          <w:rFonts w:ascii="Aptos" w:eastAsia="Aptos" w:hAnsi="Aptos" w:cs="Aptos"/>
          <w:color w:val="000000" w:themeColor="text1"/>
        </w:rPr>
        <w:t xml:space="preserve"> </w:t>
      </w:r>
      <w:r w:rsidRPr="7C6F17DB">
        <w:rPr>
          <w:rFonts w:ascii="Aptos" w:eastAsia="Aptos" w:hAnsi="Aptos" w:cs="Aptos"/>
          <w:color w:val="000000" w:themeColor="text1"/>
        </w:rPr>
        <w:t xml:space="preserve">have </w:t>
      </w:r>
      <w:r w:rsidR="00AE4C36">
        <w:rPr>
          <w:rFonts w:ascii="Aptos" w:eastAsia="Aptos" w:hAnsi="Aptos" w:cs="Aptos"/>
          <w:color w:val="000000" w:themeColor="text1"/>
        </w:rPr>
        <w:t>expired</w:t>
      </w:r>
      <w:r w:rsidRPr="0BB6AE4B">
        <w:rPr>
          <w:rFonts w:ascii="Aptos" w:eastAsia="Aptos" w:hAnsi="Aptos" w:cs="Aptos"/>
          <w:color w:val="000000" w:themeColor="text1"/>
        </w:rPr>
        <w:t xml:space="preserve">. </w:t>
      </w:r>
      <w:r w:rsidRPr="7C6F17DB">
        <w:rPr>
          <w:rFonts w:ascii="Aptos" w:eastAsia="Aptos" w:hAnsi="Aptos" w:cs="Aptos"/>
          <w:color w:val="000000" w:themeColor="text1"/>
        </w:rPr>
        <w:t xml:space="preserve"> Using the </w:t>
      </w:r>
      <w:r w:rsidR="354BCA8B" w:rsidRPr="0BB6AE4B">
        <w:rPr>
          <w:rFonts w:ascii="Aptos" w:eastAsia="Aptos" w:hAnsi="Aptos" w:cs="Aptos"/>
          <w:color w:val="000000" w:themeColor="text1"/>
        </w:rPr>
        <w:t xml:space="preserve">data </w:t>
      </w:r>
      <w:r w:rsidRPr="7C6F17DB">
        <w:rPr>
          <w:rFonts w:ascii="Aptos" w:eastAsia="Aptos" w:hAnsi="Aptos" w:cs="Aptos"/>
          <w:color w:val="000000" w:themeColor="text1"/>
        </w:rPr>
        <w:t xml:space="preserve">provided </w:t>
      </w:r>
      <w:r w:rsidR="12F3C8DC" w:rsidRPr="0BB6AE4B">
        <w:rPr>
          <w:rFonts w:ascii="Aptos" w:eastAsia="Aptos" w:hAnsi="Aptos" w:cs="Aptos"/>
          <w:color w:val="000000" w:themeColor="text1"/>
        </w:rPr>
        <w:t>(real-world data that has been anonymized)</w:t>
      </w:r>
      <w:r w:rsidRPr="0BB6AE4B">
        <w:rPr>
          <w:rFonts w:ascii="Aptos" w:eastAsia="Aptos" w:hAnsi="Aptos" w:cs="Aptos"/>
          <w:color w:val="000000" w:themeColor="text1"/>
        </w:rPr>
        <w:t>,</w:t>
      </w:r>
      <w:r w:rsidRPr="7C6F17DB">
        <w:rPr>
          <w:rFonts w:ascii="Aptos" w:eastAsia="Aptos" w:hAnsi="Aptos" w:cs="Aptos"/>
          <w:color w:val="000000" w:themeColor="text1"/>
        </w:rPr>
        <w:t xml:space="preserve"> </w:t>
      </w:r>
      <w:r w:rsidR="008676E2">
        <w:rPr>
          <w:rFonts w:ascii="Aptos" w:eastAsia="Aptos" w:hAnsi="Aptos" w:cs="Aptos"/>
          <w:color w:val="000000" w:themeColor="text1"/>
        </w:rPr>
        <w:t>develop a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 </w:t>
      </w:r>
      <w:r w:rsidR="43D31969" w:rsidRPr="0BB6AE4B">
        <w:rPr>
          <w:rFonts w:ascii="Aptos" w:eastAsia="Aptos" w:hAnsi="Aptos" w:cs="Aptos"/>
          <w:color w:val="000000" w:themeColor="text1"/>
        </w:rPr>
        <w:t xml:space="preserve">methodology and </w:t>
      </w:r>
      <w:r w:rsidR="008676E2" w:rsidRPr="0BB6AE4B">
        <w:rPr>
          <w:rFonts w:ascii="Aptos" w:eastAsia="Aptos" w:hAnsi="Aptos" w:cs="Aptos"/>
          <w:color w:val="000000" w:themeColor="text1"/>
        </w:rPr>
        <w:t xml:space="preserve">model </w:t>
      </w:r>
      <w:r w:rsidR="26A4C055" w:rsidRPr="0BB6AE4B">
        <w:rPr>
          <w:rFonts w:ascii="Aptos" w:eastAsia="Aptos" w:hAnsi="Aptos" w:cs="Aptos"/>
          <w:color w:val="000000" w:themeColor="text1"/>
        </w:rPr>
        <w:t>to</w:t>
      </w:r>
      <w:r w:rsidR="008676E2" w:rsidRPr="0BB6AE4B">
        <w:rPr>
          <w:rFonts w:ascii="Aptos" w:eastAsia="Aptos" w:hAnsi="Aptos" w:cs="Aptos"/>
          <w:color w:val="000000" w:themeColor="text1"/>
        </w:rPr>
        <w:t xml:space="preserve"> determine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 </w:t>
      </w:r>
      <w:r w:rsidR="00391AC8">
        <w:rPr>
          <w:rFonts w:ascii="Aptos" w:eastAsia="Aptos" w:hAnsi="Aptos" w:cs="Aptos"/>
          <w:color w:val="000000" w:themeColor="text1"/>
        </w:rPr>
        <w:t>the company’s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 willingness to trade merchant risk for </w:t>
      </w:r>
      <w:r w:rsidR="19DFAA39" w:rsidRPr="0BB6AE4B">
        <w:rPr>
          <w:rFonts w:ascii="Aptos" w:eastAsia="Aptos" w:hAnsi="Aptos" w:cs="Aptos"/>
          <w:color w:val="000000" w:themeColor="text1"/>
        </w:rPr>
        <w:t>a</w:t>
      </w:r>
      <w:r w:rsidR="008676E2" w:rsidRPr="0BB6AE4B">
        <w:rPr>
          <w:rFonts w:ascii="Aptos" w:eastAsia="Aptos" w:hAnsi="Aptos" w:cs="Aptos"/>
          <w:color w:val="000000" w:themeColor="text1"/>
        </w:rPr>
        <w:t xml:space="preserve"> </w:t>
      </w:r>
      <w:r w:rsidR="008676E2" w:rsidRPr="008676E2">
        <w:rPr>
          <w:rFonts w:ascii="Aptos" w:eastAsia="Aptos" w:hAnsi="Aptos" w:cs="Aptos"/>
          <w:color w:val="000000" w:themeColor="text1"/>
        </w:rPr>
        <w:t>fixed</w:t>
      </w:r>
      <w:r w:rsidR="3A783586" w:rsidRPr="0BB6AE4B">
        <w:rPr>
          <w:rFonts w:ascii="Aptos" w:eastAsia="Aptos" w:hAnsi="Aptos" w:cs="Aptos"/>
          <w:color w:val="000000" w:themeColor="text1"/>
        </w:rPr>
        <w:t>-price</w:t>
      </w:r>
      <w:r w:rsidR="008676E2" w:rsidRPr="0BB6AE4B">
        <w:rPr>
          <w:rFonts w:ascii="Aptos" w:eastAsia="Aptos" w:hAnsi="Aptos" w:cs="Aptos"/>
          <w:color w:val="000000" w:themeColor="text1"/>
        </w:rPr>
        <w:t xml:space="preserve"> </w:t>
      </w:r>
      <w:r w:rsidR="008676E2" w:rsidRPr="008676E2">
        <w:rPr>
          <w:rFonts w:ascii="Aptos" w:eastAsia="Aptos" w:hAnsi="Aptos" w:cs="Aptos"/>
          <w:color w:val="000000" w:themeColor="text1"/>
        </w:rPr>
        <w:t>offtake structure</w:t>
      </w:r>
      <w:r w:rsidR="44A53333" w:rsidRPr="0BB6AE4B">
        <w:rPr>
          <w:rFonts w:ascii="Aptos" w:eastAsia="Aptos" w:hAnsi="Aptos" w:cs="Aptos"/>
          <w:color w:val="000000" w:themeColor="text1"/>
        </w:rPr>
        <w:t xml:space="preserve">, </w:t>
      </w:r>
      <w:r w:rsidR="00391AC8" w:rsidRPr="0BB6AE4B">
        <w:rPr>
          <w:rFonts w:ascii="Aptos" w:eastAsia="Aptos" w:hAnsi="Aptos" w:cs="Aptos"/>
          <w:color w:val="000000" w:themeColor="text1"/>
        </w:rPr>
        <w:t xml:space="preserve">and </w:t>
      </w:r>
      <w:r w:rsidR="66D9B32C" w:rsidRPr="0BB6AE4B">
        <w:rPr>
          <w:rFonts w:ascii="Aptos" w:eastAsia="Aptos" w:hAnsi="Aptos" w:cs="Aptos"/>
          <w:color w:val="000000" w:themeColor="text1"/>
        </w:rPr>
        <w:t>use this model to calculate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 </w:t>
      </w:r>
      <w:r w:rsidR="00391AC8">
        <w:rPr>
          <w:rFonts w:ascii="Aptos" w:eastAsia="Aptos" w:hAnsi="Aptos" w:cs="Aptos"/>
          <w:color w:val="000000" w:themeColor="text1"/>
        </w:rPr>
        <w:t>the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 risk</w:t>
      </w:r>
      <w:r w:rsidR="66D9B32C" w:rsidRPr="0BB6AE4B">
        <w:rPr>
          <w:rFonts w:ascii="Aptos" w:eastAsia="Aptos" w:hAnsi="Aptos" w:cs="Aptos"/>
          <w:color w:val="000000" w:themeColor="text1"/>
        </w:rPr>
        <w:t>-adjusted price at which the company</w:t>
      </w:r>
      <w:r w:rsidR="00391AC8">
        <w:rPr>
          <w:rFonts w:ascii="Aptos" w:eastAsia="Aptos" w:hAnsi="Aptos" w:cs="Aptos"/>
          <w:color w:val="000000" w:themeColor="text1"/>
        </w:rPr>
        <w:t xml:space="preserve"> would be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 </w:t>
      </w:r>
      <w:r w:rsidR="66D9B32C" w:rsidRPr="0BB6AE4B">
        <w:rPr>
          <w:rFonts w:ascii="Aptos" w:eastAsia="Aptos" w:hAnsi="Aptos" w:cs="Aptos"/>
          <w:color w:val="000000" w:themeColor="text1"/>
        </w:rPr>
        <w:t xml:space="preserve">willing </w:t>
      </w:r>
      <w:r w:rsidR="008676E2" w:rsidRPr="008676E2">
        <w:rPr>
          <w:rFonts w:ascii="Aptos" w:eastAsia="Aptos" w:hAnsi="Aptos" w:cs="Aptos"/>
          <w:color w:val="000000" w:themeColor="text1"/>
        </w:rPr>
        <w:t xml:space="preserve">to recontract </w:t>
      </w:r>
      <w:r w:rsidR="347CCD78" w:rsidRPr="0BB6AE4B">
        <w:rPr>
          <w:rFonts w:ascii="Aptos" w:eastAsia="Aptos" w:hAnsi="Aptos" w:cs="Aptos"/>
          <w:color w:val="000000" w:themeColor="text1"/>
        </w:rPr>
        <w:t xml:space="preserve">these assets </w:t>
      </w:r>
      <w:r w:rsidR="008676E2" w:rsidRPr="008676E2">
        <w:rPr>
          <w:rFonts w:ascii="Aptos" w:eastAsia="Aptos" w:hAnsi="Aptos" w:cs="Aptos"/>
          <w:color w:val="000000" w:themeColor="text1"/>
        </w:rPr>
        <w:t>for a 5-year period</w:t>
      </w:r>
      <w:r w:rsidR="006E33F3">
        <w:rPr>
          <w:rFonts w:ascii="Aptos" w:eastAsia="Aptos" w:hAnsi="Aptos" w:cs="Aptos"/>
          <w:color w:val="000000" w:themeColor="text1"/>
        </w:rPr>
        <w:t xml:space="preserve">. </w:t>
      </w:r>
    </w:p>
    <w:p w14:paraId="30F6A765" w14:textId="604209D8" w:rsidR="0BB6AE4B" w:rsidRDefault="0BB6AE4B" w:rsidP="0BB6AE4B">
      <w:pPr>
        <w:spacing w:after="0"/>
        <w:rPr>
          <w:rFonts w:ascii="Aptos" w:eastAsia="Aptos" w:hAnsi="Aptos" w:cs="Aptos"/>
          <w:color w:val="000000" w:themeColor="text1"/>
        </w:rPr>
      </w:pPr>
    </w:p>
    <w:p w14:paraId="14FCEB94" w14:textId="72B51942" w:rsidR="0EB40A4B" w:rsidRDefault="0EB40A4B" w:rsidP="0BB6AE4B">
      <w:pPr>
        <w:spacing w:after="0"/>
        <w:rPr>
          <w:rFonts w:ascii="Aptos" w:eastAsia="Aptos" w:hAnsi="Aptos" w:cs="Aptos"/>
          <w:color w:val="000000" w:themeColor="text1"/>
        </w:rPr>
      </w:pPr>
      <w:r w:rsidRPr="0BB6AE4B">
        <w:rPr>
          <w:rFonts w:ascii="Aptos" w:eastAsia="Aptos" w:hAnsi="Aptos" w:cs="Aptos"/>
          <w:color w:val="000000" w:themeColor="text1"/>
        </w:rPr>
        <w:t xml:space="preserve">Please ignore things such as Capex, O&amp;M costs, taxes, </w:t>
      </w:r>
      <w:r w:rsidR="41E960DE" w:rsidRPr="0BB6AE4B">
        <w:rPr>
          <w:rFonts w:ascii="Aptos" w:eastAsia="Aptos" w:hAnsi="Aptos" w:cs="Aptos"/>
          <w:color w:val="000000" w:themeColor="text1"/>
        </w:rPr>
        <w:t xml:space="preserve">the value of capacity or Renewable Energy Credit (RECs), </w:t>
      </w:r>
      <w:r w:rsidRPr="0BB6AE4B">
        <w:rPr>
          <w:rFonts w:ascii="Aptos" w:eastAsia="Aptos" w:hAnsi="Aptos" w:cs="Aptos"/>
          <w:color w:val="000000" w:themeColor="text1"/>
        </w:rPr>
        <w:t xml:space="preserve">etc., for this exercise.  The value of the </w:t>
      </w:r>
      <w:r w:rsidR="60D15C63" w:rsidRPr="0BB6AE4B">
        <w:rPr>
          <w:rFonts w:ascii="Aptos" w:eastAsia="Aptos" w:hAnsi="Aptos" w:cs="Aptos"/>
          <w:color w:val="000000" w:themeColor="text1"/>
        </w:rPr>
        <w:t xml:space="preserve">future </w:t>
      </w:r>
      <w:r w:rsidRPr="0BB6AE4B">
        <w:rPr>
          <w:rFonts w:ascii="Aptos" w:eastAsia="Aptos" w:hAnsi="Aptos" w:cs="Aptos"/>
          <w:color w:val="000000" w:themeColor="text1"/>
        </w:rPr>
        <w:t xml:space="preserve">energy output </w:t>
      </w:r>
      <w:r w:rsidR="2A8B79D2" w:rsidRPr="0BB6AE4B">
        <w:rPr>
          <w:rFonts w:ascii="Aptos" w:eastAsia="Aptos" w:hAnsi="Aptos" w:cs="Aptos"/>
          <w:color w:val="000000" w:themeColor="text1"/>
        </w:rPr>
        <w:t>is the only thing under consideration.</w:t>
      </w:r>
    </w:p>
    <w:p w14:paraId="7C8A04C8" w14:textId="77777777" w:rsidR="00B5783D" w:rsidRDefault="00B5783D" w:rsidP="7C6F17DB">
      <w:pPr>
        <w:spacing w:after="0"/>
        <w:rPr>
          <w:rFonts w:ascii="Aptos" w:eastAsia="Aptos" w:hAnsi="Aptos" w:cs="Aptos"/>
          <w:color w:val="000000" w:themeColor="text1"/>
        </w:rPr>
      </w:pPr>
    </w:p>
    <w:p w14:paraId="25249B66" w14:textId="6F71F6F9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Your solution should be </w:t>
      </w:r>
      <w:r w:rsidRPr="7C6F17DB">
        <w:rPr>
          <w:rFonts w:ascii="Aptos" w:eastAsia="Aptos" w:hAnsi="Aptos" w:cs="Aptos"/>
          <w:b/>
          <w:bCs/>
          <w:color w:val="000000" w:themeColor="text1"/>
        </w:rPr>
        <w:t xml:space="preserve">quantitative, reproducible, and </w:t>
      </w:r>
      <w:proofErr w:type="gramStart"/>
      <w:r w:rsidRPr="7C6F17DB">
        <w:rPr>
          <w:rFonts w:ascii="Aptos" w:eastAsia="Aptos" w:hAnsi="Aptos" w:cs="Aptos"/>
          <w:b/>
          <w:bCs/>
          <w:color w:val="000000" w:themeColor="text1"/>
        </w:rPr>
        <w:t>decision-</w:t>
      </w:r>
      <w:r w:rsidR="001160D0">
        <w:rPr>
          <w:rFonts w:ascii="Aptos" w:eastAsia="Aptos" w:hAnsi="Aptos" w:cs="Aptos"/>
          <w:b/>
          <w:bCs/>
          <w:color w:val="000000" w:themeColor="text1"/>
        </w:rPr>
        <w:t>oriented</w:t>
      </w:r>
      <w:proofErr w:type="gramEnd"/>
      <w:r w:rsidRPr="7C6F17DB">
        <w:rPr>
          <w:rFonts w:ascii="Aptos" w:eastAsia="Aptos" w:hAnsi="Aptos" w:cs="Aptos"/>
          <w:color w:val="000000" w:themeColor="text1"/>
        </w:rPr>
        <w:t>.</w:t>
      </w:r>
    </w:p>
    <w:p w14:paraId="18FDF57A" w14:textId="52B3A3BA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48CFCA72" wp14:editId="791E22A2">
            <wp:extent cx="9525" cy="9525"/>
            <wp:effectExtent l="0" t="0" r="0" b="0"/>
            <wp:docPr id="285782208" name="drawing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22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948D" w14:textId="1E35747B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Deliverables</w:t>
      </w:r>
    </w:p>
    <w:p w14:paraId="5621B21A" w14:textId="5A038A8E" w:rsidR="0028188B" w:rsidRDefault="0511F383" w:rsidP="7C6F17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Valuation Model</w:t>
      </w:r>
      <w:r w:rsidR="00B52BE7">
        <w:rPr>
          <w:rFonts w:ascii="Aptos" w:eastAsia="Aptos" w:hAnsi="Aptos" w:cs="Aptos"/>
          <w:b/>
          <w:bCs/>
          <w:color w:val="000000" w:themeColor="text1"/>
        </w:rPr>
        <w:t xml:space="preserve"> that </w:t>
      </w:r>
      <w:r w:rsidR="00CA777A">
        <w:rPr>
          <w:rFonts w:ascii="Aptos" w:eastAsia="Aptos" w:hAnsi="Aptos" w:cs="Aptos"/>
          <w:b/>
          <w:bCs/>
          <w:color w:val="000000" w:themeColor="text1"/>
        </w:rPr>
        <w:t xml:space="preserve">shows </w:t>
      </w:r>
      <w:r w:rsidR="368D62E9" w:rsidRPr="0BB6AE4B">
        <w:rPr>
          <w:rFonts w:ascii="Aptos" w:eastAsia="Aptos" w:hAnsi="Aptos" w:cs="Aptos"/>
          <w:b/>
          <w:bCs/>
          <w:color w:val="000000" w:themeColor="text1"/>
        </w:rPr>
        <w:t>over the specified</w:t>
      </w:r>
      <w:r w:rsidR="00CA777A">
        <w:rPr>
          <w:rFonts w:ascii="Aptos" w:eastAsia="Aptos" w:hAnsi="Aptos" w:cs="Aptos"/>
          <w:b/>
          <w:bCs/>
          <w:color w:val="000000" w:themeColor="text1"/>
        </w:rPr>
        <w:t xml:space="preserve"> 5-</w:t>
      </w:r>
      <w:r w:rsidR="00CA777A" w:rsidRPr="0BB6AE4B">
        <w:rPr>
          <w:rFonts w:ascii="Aptos" w:eastAsia="Aptos" w:hAnsi="Aptos" w:cs="Aptos"/>
          <w:b/>
          <w:bCs/>
          <w:color w:val="000000" w:themeColor="text1"/>
        </w:rPr>
        <w:t xml:space="preserve">year </w:t>
      </w:r>
      <w:r w:rsidR="5B751E74" w:rsidRPr="0BB6AE4B">
        <w:rPr>
          <w:rFonts w:ascii="Aptos" w:eastAsia="Aptos" w:hAnsi="Aptos" w:cs="Aptos"/>
          <w:b/>
          <w:bCs/>
          <w:color w:val="000000" w:themeColor="text1"/>
        </w:rPr>
        <w:t xml:space="preserve">term </w:t>
      </w:r>
      <w:r w:rsidR="523B2FE5" w:rsidRPr="0BB6AE4B">
        <w:rPr>
          <w:rFonts w:ascii="Aptos" w:eastAsia="Aptos" w:hAnsi="Aptos" w:cs="Aptos"/>
          <w:b/>
          <w:bCs/>
          <w:color w:val="000000" w:themeColor="text1"/>
        </w:rPr>
        <w:t>(2026-2030):</w:t>
      </w:r>
    </w:p>
    <w:p w14:paraId="377FD4ED" w14:textId="43D0C485" w:rsidR="00B52BE7" w:rsidRPr="00B85C0E" w:rsidRDefault="00B52BE7" w:rsidP="00B52BE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 xml:space="preserve">Expected generation </w:t>
      </w:r>
      <w:r w:rsidR="01D2FAC0" w:rsidRPr="1B826B90">
        <w:rPr>
          <w:rFonts w:ascii="Aptos" w:eastAsia="Aptos" w:hAnsi="Aptos" w:cs="Aptos"/>
          <w:color w:val="000000" w:themeColor="text1"/>
        </w:rPr>
        <w:t>(by month, peak and off-peak periods)</w:t>
      </w:r>
      <w:r w:rsidR="5EBEF884" w:rsidRPr="1B826B90">
        <w:rPr>
          <w:rFonts w:ascii="Aptos" w:eastAsia="Aptos" w:hAnsi="Aptos" w:cs="Aptos"/>
          <w:color w:val="000000" w:themeColor="text1"/>
        </w:rPr>
        <w:t>.</w:t>
      </w:r>
    </w:p>
    <w:p w14:paraId="3E185FD7" w14:textId="52548AAD" w:rsidR="00B52BE7" w:rsidRDefault="00B52BE7" w:rsidP="00B52BE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>F</w:t>
      </w:r>
      <w:r w:rsidR="54B414F9" w:rsidRPr="1B826B90">
        <w:rPr>
          <w:rFonts w:ascii="Aptos" w:eastAsia="Aptos" w:hAnsi="Aptos" w:cs="Aptos"/>
          <w:color w:val="000000" w:themeColor="text1"/>
        </w:rPr>
        <w:t>or each asset, f</w:t>
      </w:r>
      <w:r w:rsidRPr="1B826B90">
        <w:rPr>
          <w:rFonts w:ascii="Aptos" w:eastAsia="Aptos" w:hAnsi="Aptos" w:cs="Aptos"/>
          <w:color w:val="000000" w:themeColor="text1"/>
        </w:rPr>
        <w:t>our</w:t>
      </w:r>
      <w:r>
        <w:rPr>
          <w:rFonts w:ascii="Aptos" w:eastAsia="Aptos" w:hAnsi="Aptos" w:cs="Aptos"/>
          <w:color w:val="000000" w:themeColor="text1"/>
        </w:rPr>
        <w:t xml:space="preserve"> fixed prices </w:t>
      </w:r>
      <w:r w:rsidR="0C1BEF52" w:rsidRPr="1B826B90">
        <w:rPr>
          <w:rFonts w:ascii="Aptos" w:eastAsia="Aptos" w:hAnsi="Aptos" w:cs="Aptos"/>
          <w:color w:val="000000" w:themeColor="text1"/>
        </w:rPr>
        <w:t xml:space="preserve">for the term </w:t>
      </w:r>
      <w:r w:rsidR="537397B6" w:rsidRPr="1B826B90">
        <w:rPr>
          <w:rFonts w:ascii="Aptos" w:eastAsia="Aptos" w:hAnsi="Aptos" w:cs="Aptos"/>
          <w:color w:val="000000" w:themeColor="text1"/>
        </w:rPr>
        <w:t>in $/</w:t>
      </w:r>
      <w:r>
        <w:rPr>
          <w:rFonts w:ascii="Aptos" w:eastAsia="Aptos" w:hAnsi="Aptos" w:cs="Aptos"/>
          <w:color w:val="000000" w:themeColor="text1"/>
        </w:rPr>
        <w:t>MWh</w:t>
      </w:r>
      <w:r w:rsidR="51201C3C" w:rsidRPr="1B826B90">
        <w:rPr>
          <w:rFonts w:ascii="Aptos" w:eastAsia="Aptos" w:hAnsi="Aptos" w:cs="Aptos"/>
          <w:color w:val="000000" w:themeColor="text1"/>
        </w:rPr>
        <w:t xml:space="preserve">: </w:t>
      </w:r>
      <w:r>
        <w:rPr>
          <w:rFonts w:ascii="Aptos" w:eastAsia="Aptos" w:hAnsi="Aptos" w:cs="Aptos"/>
          <w:color w:val="000000" w:themeColor="text1"/>
        </w:rPr>
        <w:t xml:space="preserve">real-time </w:t>
      </w:r>
      <w:r w:rsidR="6C77F5F5" w:rsidRPr="1B826B90">
        <w:rPr>
          <w:rFonts w:ascii="Aptos" w:eastAsia="Aptos" w:hAnsi="Aptos" w:cs="Aptos"/>
          <w:color w:val="000000" w:themeColor="text1"/>
        </w:rPr>
        <w:t xml:space="preserve">(RT) </w:t>
      </w:r>
      <w:r>
        <w:rPr>
          <w:rFonts w:ascii="Aptos" w:eastAsia="Aptos" w:hAnsi="Aptos" w:cs="Aptos"/>
          <w:color w:val="000000" w:themeColor="text1"/>
        </w:rPr>
        <w:t>and day</w:t>
      </w:r>
      <w:r w:rsidR="53445392" w:rsidRPr="1B826B90">
        <w:rPr>
          <w:rFonts w:ascii="Aptos" w:eastAsia="Aptos" w:hAnsi="Aptos" w:cs="Aptos"/>
          <w:color w:val="000000" w:themeColor="text1"/>
        </w:rPr>
        <w:t>-</w:t>
      </w:r>
      <w:r>
        <w:rPr>
          <w:rFonts w:ascii="Aptos" w:eastAsia="Aptos" w:hAnsi="Aptos" w:cs="Aptos"/>
          <w:color w:val="000000" w:themeColor="text1"/>
        </w:rPr>
        <w:t xml:space="preserve">ahead </w:t>
      </w:r>
      <w:r w:rsidR="1B90ECB5" w:rsidRPr="1B826B90">
        <w:rPr>
          <w:rFonts w:ascii="Aptos" w:eastAsia="Aptos" w:hAnsi="Aptos" w:cs="Aptos"/>
          <w:color w:val="000000" w:themeColor="text1"/>
        </w:rPr>
        <w:t xml:space="preserve">(DA) </w:t>
      </w:r>
      <w:r w:rsidRPr="1B826B90">
        <w:rPr>
          <w:rFonts w:ascii="Aptos" w:eastAsia="Aptos" w:hAnsi="Aptos" w:cs="Aptos"/>
          <w:color w:val="000000" w:themeColor="text1"/>
        </w:rPr>
        <w:t>price</w:t>
      </w:r>
      <w:r w:rsidR="646DF065" w:rsidRPr="1B826B90">
        <w:rPr>
          <w:rFonts w:ascii="Aptos" w:eastAsia="Aptos" w:hAnsi="Aptos" w:cs="Aptos"/>
          <w:color w:val="000000" w:themeColor="text1"/>
        </w:rPr>
        <w:t>s</w:t>
      </w:r>
      <w:r>
        <w:rPr>
          <w:rFonts w:ascii="Aptos" w:eastAsia="Aptos" w:hAnsi="Aptos" w:cs="Aptos"/>
          <w:color w:val="000000" w:themeColor="text1"/>
        </w:rPr>
        <w:t xml:space="preserve"> for both busbar and hub</w:t>
      </w:r>
      <w:r w:rsidR="065968CD" w:rsidRPr="1B826B90">
        <w:rPr>
          <w:rFonts w:ascii="Aptos" w:eastAsia="Aptos" w:hAnsi="Aptos" w:cs="Aptos"/>
          <w:color w:val="000000" w:themeColor="text1"/>
        </w:rPr>
        <w:t>-</w:t>
      </w:r>
      <w:r>
        <w:rPr>
          <w:rFonts w:ascii="Aptos" w:eastAsia="Aptos" w:hAnsi="Aptos" w:cs="Aptos"/>
          <w:color w:val="000000" w:themeColor="text1"/>
        </w:rPr>
        <w:t xml:space="preserve">settled </w:t>
      </w:r>
      <w:r w:rsidRPr="1B826B90">
        <w:rPr>
          <w:rFonts w:ascii="Aptos" w:eastAsia="Aptos" w:hAnsi="Aptos" w:cs="Aptos"/>
          <w:color w:val="000000" w:themeColor="text1"/>
        </w:rPr>
        <w:t>product</w:t>
      </w:r>
      <w:r w:rsidR="019114C6" w:rsidRPr="1B826B90">
        <w:rPr>
          <w:rFonts w:ascii="Aptos" w:eastAsia="Aptos" w:hAnsi="Aptos" w:cs="Aptos"/>
          <w:color w:val="000000" w:themeColor="text1"/>
        </w:rPr>
        <w:t>s</w:t>
      </w:r>
      <w:r w:rsidR="0EE7E142" w:rsidRPr="1B826B90">
        <w:rPr>
          <w:rFonts w:ascii="Aptos" w:eastAsia="Aptos" w:hAnsi="Aptos" w:cs="Aptos"/>
          <w:color w:val="000000" w:themeColor="text1"/>
        </w:rPr>
        <w:t>.</w:t>
      </w:r>
    </w:p>
    <w:p w14:paraId="4821897B" w14:textId="796DDBCD" w:rsidR="00B52BE7" w:rsidRDefault="00B52BE7" w:rsidP="00B52BE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Prices should include </w:t>
      </w:r>
      <w:r w:rsidR="44BBC5C7" w:rsidRPr="1B826B90">
        <w:rPr>
          <w:rFonts w:ascii="Aptos" w:eastAsia="Aptos" w:hAnsi="Aptos" w:cs="Aptos"/>
          <w:color w:val="000000" w:themeColor="text1"/>
        </w:rPr>
        <w:t xml:space="preserve">a </w:t>
      </w:r>
      <w:r>
        <w:rPr>
          <w:rFonts w:ascii="Aptos" w:eastAsia="Aptos" w:hAnsi="Aptos" w:cs="Aptos"/>
          <w:color w:val="000000" w:themeColor="text1"/>
        </w:rPr>
        <w:t xml:space="preserve">breakdown of </w:t>
      </w:r>
      <w:r w:rsidR="7D242286" w:rsidRPr="1B826B90">
        <w:rPr>
          <w:rFonts w:ascii="Aptos" w:eastAsia="Aptos" w:hAnsi="Aptos" w:cs="Aptos"/>
          <w:color w:val="000000" w:themeColor="text1"/>
        </w:rPr>
        <w:t xml:space="preserve">their </w:t>
      </w:r>
      <w:r>
        <w:rPr>
          <w:rFonts w:ascii="Aptos" w:eastAsia="Aptos" w:hAnsi="Aptos" w:cs="Aptos"/>
          <w:color w:val="000000" w:themeColor="text1"/>
        </w:rPr>
        <w:t xml:space="preserve">components (hub price, basis, </w:t>
      </w:r>
      <w:r w:rsidR="39456B43" w:rsidRPr="1B826B90">
        <w:rPr>
          <w:rFonts w:ascii="Aptos" w:eastAsia="Aptos" w:hAnsi="Aptos" w:cs="Aptos"/>
          <w:color w:val="000000" w:themeColor="text1"/>
        </w:rPr>
        <w:t xml:space="preserve">and any other </w:t>
      </w:r>
      <w:r w:rsidR="019D3AB6" w:rsidRPr="1B826B90">
        <w:rPr>
          <w:rFonts w:ascii="Aptos" w:eastAsia="Aptos" w:hAnsi="Aptos" w:cs="Aptos"/>
          <w:color w:val="000000" w:themeColor="text1"/>
        </w:rPr>
        <w:t>considerations</w:t>
      </w:r>
      <w:r w:rsidRPr="1B826B90">
        <w:rPr>
          <w:rFonts w:ascii="Aptos" w:eastAsia="Aptos" w:hAnsi="Aptos" w:cs="Aptos"/>
          <w:color w:val="000000" w:themeColor="text1"/>
        </w:rPr>
        <w:t>)</w:t>
      </w:r>
      <w:r w:rsidR="72DAC82F" w:rsidRPr="1B826B90">
        <w:rPr>
          <w:rFonts w:ascii="Aptos" w:eastAsia="Aptos" w:hAnsi="Aptos" w:cs="Aptos"/>
          <w:color w:val="000000" w:themeColor="text1"/>
        </w:rPr>
        <w:t xml:space="preserve"> including:</w:t>
      </w:r>
    </w:p>
    <w:p w14:paraId="49A40D5F" w14:textId="57ADCDA0" w:rsidR="00B52BE7" w:rsidRDefault="0393FFF6" w:rsidP="00B52BE7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>Any r</w:t>
      </w:r>
      <w:r w:rsidR="00B52BE7" w:rsidRPr="1B826B90">
        <w:rPr>
          <w:rFonts w:ascii="Aptos" w:eastAsia="Aptos" w:hAnsi="Aptos" w:cs="Aptos"/>
          <w:color w:val="000000" w:themeColor="text1"/>
        </w:rPr>
        <w:t xml:space="preserve">isk adjustments </w:t>
      </w:r>
      <w:r w:rsidR="33BCFD7C" w:rsidRPr="1B826B90">
        <w:rPr>
          <w:rFonts w:ascii="Aptos" w:eastAsia="Aptos" w:hAnsi="Aptos" w:cs="Aptos"/>
          <w:color w:val="000000" w:themeColor="text1"/>
        </w:rPr>
        <w:t>t</w:t>
      </w:r>
      <w:r w:rsidR="491312BC" w:rsidRPr="1B826B90">
        <w:rPr>
          <w:rFonts w:ascii="Aptos" w:eastAsia="Aptos" w:hAnsi="Aptos" w:cs="Aptos"/>
          <w:color w:val="000000" w:themeColor="text1"/>
        </w:rPr>
        <w:t>hat</w:t>
      </w:r>
      <w:r w:rsidR="33BCFD7C" w:rsidRPr="1B826B90">
        <w:rPr>
          <w:rFonts w:ascii="Aptos" w:eastAsia="Aptos" w:hAnsi="Aptos" w:cs="Aptos"/>
          <w:color w:val="000000" w:themeColor="text1"/>
        </w:rPr>
        <w:t xml:space="preserve"> </w:t>
      </w:r>
      <w:r w:rsidR="491312BC" w:rsidRPr="1B826B90">
        <w:rPr>
          <w:rFonts w:ascii="Aptos" w:eastAsia="Aptos" w:hAnsi="Aptos" w:cs="Aptos"/>
          <w:color w:val="000000" w:themeColor="text1"/>
        </w:rPr>
        <w:t xml:space="preserve">should factor into the final </w:t>
      </w:r>
      <w:r w:rsidR="33BCFD7C" w:rsidRPr="1B826B90">
        <w:rPr>
          <w:rFonts w:ascii="Aptos" w:eastAsia="Aptos" w:hAnsi="Aptos" w:cs="Aptos"/>
          <w:color w:val="000000" w:themeColor="text1"/>
        </w:rPr>
        <w:t>price</w:t>
      </w:r>
      <w:r w:rsidR="316A5044" w:rsidRPr="1B826B90">
        <w:rPr>
          <w:rFonts w:ascii="Aptos" w:eastAsia="Aptos" w:hAnsi="Aptos" w:cs="Aptos"/>
          <w:color w:val="000000" w:themeColor="text1"/>
        </w:rPr>
        <w:t>s</w:t>
      </w:r>
    </w:p>
    <w:p w14:paraId="41956B45" w14:textId="4C93CC62" w:rsidR="382FCA41" w:rsidRDefault="382FCA41" w:rsidP="1B826B90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>Assume that the company’s risk appetite is P75, i.e., it wants to have a 75% probability</w:t>
      </w:r>
      <w:r w:rsidR="3D4B576C" w:rsidRPr="1B826B90">
        <w:rPr>
          <w:rFonts w:ascii="Aptos" w:eastAsia="Aptos" w:hAnsi="Aptos" w:cs="Aptos"/>
          <w:color w:val="000000" w:themeColor="text1"/>
        </w:rPr>
        <w:t xml:space="preserve"> that the fixed-price hedge will be better than merchant. </w:t>
      </w:r>
      <w:r w:rsidR="5E752FF0" w:rsidRPr="1B826B90">
        <w:rPr>
          <w:rFonts w:ascii="Aptos" w:eastAsia="Aptos" w:hAnsi="Aptos" w:cs="Aptos"/>
          <w:color w:val="000000" w:themeColor="text1"/>
        </w:rPr>
        <w:t xml:space="preserve"> Be prepared to evaluate other P-levels.</w:t>
      </w:r>
    </w:p>
    <w:p w14:paraId="44894EB4" w14:textId="70C96BCC" w:rsidR="0028188B" w:rsidRDefault="0511F383" w:rsidP="7C6F17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Documentation &amp; Assumptions</w:t>
      </w:r>
    </w:p>
    <w:p w14:paraId="00AA260C" w14:textId="705CA6B2" w:rsidR="0028188B" w:rsidRDefault="0511F383" w:rsidP="7C6F17DB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Clearly state all assumptions</w:t>
      </w:r>
      <w:r w:rsidR="6C124F1D" w:rsidRPr="1B826B90">
        <w:rPr>
          <w:rFonts w:ascii="Aptos" w:eastAsia="Aptos" w:hAnsi="Aptos" w:cs="Aptos"/>
          <w:color w:val="000000" w:themeColor="text1"/>
        </w:rPr>
        <w:t>.</w:t>
      </w:r>
    </w:p>
    <w:p w14:paraId="3E45DFAC" w14:textId="6C32261D" w:rsidR="0028188B" w:rsidRDefault="0511F383" w:rsidP="7C6F17DB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 xml:space="preserve">Explain methodology for price forecasting and risk </w:t>
      </w:r>
      <w:r w:rsidR="77207852" w:rsidRPr="1B826B90">
        <w:rPr>
          <w:rFonts w:ascii="Aptos" w:eastAsia="Aptos" w:hAnsi="Aptos" w:cs="Aptos"/>
          <w:color w:val="000000" w:themeColor="text1"/>
        </w:rPr>
        <w:t>analysis</w:t>
      </w:r>
      <w:r w:rsidR="4CF57D99" w:rsidRPr="1B826B90">
        <w:rPr>
          <w:rFonts w:ascii="Aptos" w:eastAsia="Aptos" w:hAnsi="Aptos" w:cs="Aptos"/>
          <w:color w:val="000000" w:themeColor="text1"/>
        </w:rPr>
        <w:t>.</w:t>
      </w:r>
    </w:p>
    <w:p w14:paraId="78F6AF74" w14:textId="7D8C6EEA" w:rsidR="0028188B" w:rsidRDefault="0511F383" w:rsidP="7C6F17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Code or Analytical Tool (if applicable)</w:t>
      </w:r>
    </w:p>
    <w:p w14:paraId="4A17C9A5" w14:textId="51713522" w:rsidR="0028188B" w:rsidRDefault="0511F383" w:rsidP="7C6F17DB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Submit via </w:t>
      </w:r>
      <w:r w:rsidRPr="7C6F17DB">
        <w:rPr>
          <w:rFonts w:ascii="Aptos" w:eastAsia="Aptos" w:hAnsi="Aptos" w:cs="Aptos"/>
          <w:b/>
          <w:bCs/>
          <w:color w:val="000000" w:themeColor="text1"/>
        </w:rPr>
        <w:t xml:space="preserve">GitHub repository </w:t>
      </w:r>
      <w:r w:rsidRPr="7C6F17DB">
        <w:rPr>
          <w:rFonts w:ascii="Aptos" w:eastAsia="Aptos" w:hAnsi="Aptos" w:cs="Aptos"/>
          <w:color w:val="000000" w:themeColor="text1"/>
        </w:rPr>
        <w:t>with:</w:t>
      </w:r>
    </w:p>
    <w:p w14:paraId="222AB426" w14:textId="0E6C9E5E" w:rsidR="0028188B" w:rsidRDefault="0511F383" w:rsidP="7C6F17DB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README.md explaining methodology, setup, and execution steps</w:t>
      </w:r>
    </w:p>
    <w:p w14:paraId="46F532E8" w14:textId="22B27DE3" w:rsidR="0028188B" w:rsidRDefault="0511F383" w:rsidP="7C6F17DB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Organized scripts or notebooks for reproducibility</w:t>
      </w:r>
    </w:p>
    <w:p w14:paraId="412AE564" w14:textId="39055D0C" w:rsidR="0028188B" w:rsidRDefault="0511F383" w:rsidP="7C6F17DB">
      <w:pPr>
        <w:pStyle w:val="ListParagraph"/>
        <w:numPr>
          <w:ilvl w:val="2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Environment file (requirements.txt or </w:t>
      </w:r>
      <w:proofErr w:type="spellStart"/>
      <w:r w:rsidRPr="7C6F17DB">
        <w:rPr>
          <w:rFonts w:ascii="Aptos" w:eastAsia="Aptos" w:hAnsi="Aptos" w:cs="Aptos"/>
          <w:color w:val="000000" w:themeColor="text1"/>
        </w:rPr>
        <w:t>environment.yml</w:t>
      </w:r>
      <w:proofErr w:type="spellEnd"/>
      <w:r w:rsidRPr="7C6F17DB">
        <w:rPr>
          <w:rFonts w:ascii="Aptos" w:eastAsia="Aptos" w:hAnsi="Aptos" w:cs="Aptos"/>
          <w:color w:val="000000" w:themeColor="text1"/>
        </w:rPr>
        <w:t>)</w:t>
      </w:r>
    </w:p>
    <w:p w14:paraId="46885615" w14:textId="78C982D4" w:rsidR="0028188B" w:rsidRDefault="0511F383" w:rsidP="7C6F17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Presentation (</w:t>
      </w:r>
      <w:r w:rsidR="003D78BF">
        <w:rPr>
          <w:rFonts w:ascii="Aptos" w:eastAsia="Aptos" w:hAnsi="Aptos" w:cs="Aptos"/>
          <w:b/>
          <w:bCs/>
          <w:color w:val="000000" w:themeColor="text1"/>
        </w:rPr>
        <w:t>ppt slide deck</w:t>
      </w:r>
      <w:r w:rsidRPr="7C6F17DB">
        <w:rPr>
          <w:rFonts w:ascii="Aptos" w:eastAsia="Aptos" w:hAnsi="Aptos" w:cs="Aptos"/>
          <w:b/>
          <w:bCs/>
          <w:color w:val="000000" w:themeColor="text1"/>
        </w:rPr>
        <w:t>)</w:t>
      </w:r>
    </w:p>
    <w:p w14:paraId="234C57CB" w14:textId="7965B5C6" w:rsidR="0028188B" w:rsidRDefault="0511F383" w:rsidP="7C6F17DB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>Summarize approach/methodology, key assumptions, valuation results, and recommendations</w:t>
      </w:r>
    </w:p>
    <w:p w14:paraId="682B9A5A" w14:textId="46BE0B89" w:rsidR="00D0153F" w:rsidRPr="00D0153F" w:rsidRDefault="0511F383" w:rsidP="00D0153F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 xml:space="preserve">Highlight risk drivers and actionable insights (e.g., </w:t>
      </w:r>
      <w:r w:rsidR="497D38C6" w:rsidRPr="0BB6AE4B">
        <w:rPr>
          <w:rFonts w:ascii="Aptos" w:eastAsia="Aptos" w:hAnsi="Aptos" w:cs="Aptos"/>
          <w:color w:val="000000" w:themeColor="text1"/>
        </w:rPr>
        <w:t>key risks, potential mitigation measures, etc.)</w:t>
      </w:r>
    </w:p>
    <w:p w14:paraId="1EC113C9" w14:textId="3AF3D294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66F73985" wp14:editId="77CE03B7">
            <wp:extent cx="9525" cy="9525"/>
            <wp:effectExtent l="0" t="0" r="0" b="0"/>
            <wp:docPr id="281731469" name="drawing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314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EFD4" w14:textId="321C65A0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Considerations</w:t>
      </w:r>
    </w:p>
    <w:p w14:paraId="53304E73" w14:textId="086C2B04" w:rsidR="0028188B" w:rsidRDefault="0511F383" w:rsidP="7C6F17DB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 xml:space="preserve">How do you </w:t>
      </w:r>
      <w:r w:rsidRPr="00076172">
        <w:rPr>
          <w:rFonts w:ascii="Aptos" w:eastAsia="Aptos" w:hAnsi="Aptos" w:cs="Aptos"/>
          <w:color w:val="000000" w:themeColor="text1"/>
        </w:rPr>
        <w:t>handle</w:t>
      </w:r>
      <w:r w:rsidR="00CA777A">
        <w:rPr>
          <w:rFonts w:ascii="Aptos" w:eastAsia="Aptos" w:hAnsi="Aptos" w:cs="Aptos"/>
          <w:color w:val="000000" w:themeColor="text1"/>
        </w:rPr>
        <w:t xml:space="preserve"> volume </w:t>
      </w:r>
      <w:r w:rsidRPr="00076172">
        <w:rPr>
          <w:rFonts w:ascii="Aptos" w:eastAsia="Aptos" w:hAnsi="Aptos" w:cs="Aptos"/>
          <w:color w:val="000000" w:themeColor="text1"/>
        </w:rPr>
        <w:t>and </w:t>
      </w:r>
      <w:r w:rsidR="00CA777A">
        <w:rPr>
          <w:rFonts w:ascii="Aptos" w:eastAsia="Aptos" w:hAnsi="Aptos" w:cs="Aptos"/>
          <w:color w:val="000000" w:themeColor="text1"/>
        </w:rPr>
        <w:t>price</w:t>
      </w:r>
      <w:r w:rsidRPr="00076172">
        <w:rPr>
          <w:rFonts w:ascii="Aptos" w:eastAsia="Aptos" w:hAnsi="Aptos" w:cs="Aptos"/>
          <w:color w:val="000000" w:themeColor="text1"/>
        </w:rPr>
        <w:t xml:space="preserve"> risk?</w:t>
      </w:r>
    </w:p>
    <w:p w14:paraId="70E55326" w14:textId="34671CA9" w:rsidR="0028188B" w:rsidRDefault="0511F383" w:rsidP="7C6F17DB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color w:val="000000" w:themeColor="text1"/>
        </w:rPr>
        <w:t xml:space="preserve">How do negative price events impact </w:t>
      </w:r>
      <w:r w:rsidR="6C443BAA" w:rsidRPr="0BB6AE4B">
        <w:rPr>
          <w:rFonts w:ascii="Aptos" w:eastAsia="Aptos" w:hAnsi="Aptos" w:cs="Aptos"/>
          <w:color w:val="000000" w:themeColor="text1"/>
        </w:rPr>
        <w:t>your analysis</w:t>
      </w:r>
      <w:r w:rsidRPr="7C6F17DB">
        <w:rPr>
          <w:rFonts w:ascii="Aptos" w:eastAsia="Aptos" w:hAnsi="Aptos" w:cs="Aptos"/>
          <w:color w:val="000000" w:themeColor="text1"/>
        </w:rPr>
        <w:t>?</w:t>
      </w:r>
    </w:p>
    <w:p w14:paraId="601E2D3A" w14:textId="7B8D8A79" w:rsidR="00DD1F5D" w:rsidRDefault="00DD1F5D" w:rsidP="00DD1F5D">
      <w:pPr>
        <w:pStyle w:val="ListParagraph"/>
        <w:numPr>
          <w:ilvl w:val="0"/>
          <w:numId w:val="3"/>
        </w:numPr>
      </w:pPr>
      <w:r>
        <w:t xml:space="preserve">How would your </w:t>
      </w:r>
      <w:r w:rsidR="38209FDC">
        <w:t>answers</w:t>
      </w:r>
      <w:r>
        <w:t xml:space="preserve"> be impacted if the PPA customer </w:t>
      </w:r>
      <w:r w:rsidR="7E2766DF">
        <w:t>will</w:t>
      </w:r>
      <w:r>
        <w:t xml:space="preserve"> not take generation when prices are negative?</w:t>
      </w:r>
    </w:p>
    <w:p w14:paraId="4508BF15" w14:textId="1361C9B6" w:rsidR="551F1D1E" w:rsidRDefault="551F1D1E" w:rsidP="0BB6AE4B">
      <w:pPr>
        <w:pStyle w:val="ListParagraph"/>
        <w:numPr>
          <w:ilvl w:val="0"/>
          <w:numId w:val="3"/>
        </w:numPr>
      </w:pPr>
      <w:r>
        <w:t>Are some markets more</w:t>
      </w:r>
      <w:r w:rsidR="217CF6FA">
        <w:t xml:space="preserve"> amenable to hedging than others?</w:t>
      </w:r>
      <w:r>
        <w:t xml:space="preserve"> </w:t>
      </w:r>
      <w:r w:rsidR="22912209">
        <w:t xml:space="preserve"> Is there a market where </w:t>
      </w:r>
      <w:r w:rsidR="26A91D8C">
        <w:t xml:space="preserve">staying </w:t>
      </w:r>
      <w:r>
        <w:t xml:space="preserve">merchant </w:t>
      </w:r>
      <w:r w:rsidR="354C0BB8">
        <w:t>might be preferable to locking in a price for 5 years?</w:t>
      </w:r>
    </w:p>
    <w:p w14:paraId="172208C8" w14:textId="212020D4" w:rsidR="6198BBCC" w:rsidRDefault="6198BBCC" w:rsidP="1B826B90">
      <w:pPr>
        <w:pStyle w:val="ListParagraph"/>
        <w:numPr>
          <w:ilvl w:val="0"/>
          <w:numId w:val="3"/>
        </w:numPr>
      </w:pPr>
      <w:r>
        <w:t xml:space="preserve">Are there any other data </w:t>
      </w:r>
      <w:r w:rsidR="214FEF56">
        <w:t>that would have been useful</w:t>
      </w:r>
      <w:r>
        <w:t>?</w:t>
      </w:r>
    </w:p>
    <w:p w14:paraId="0BBBFA06" w14:textId="498F8AC3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4125CB77" wp14:editId="19F2B5F1">
            <wp:extent cx="9525" cy="9525"/>
            <wp:effectExtent l="0" t="0" r="0" b="0"/>
            <wp:docPr id="1351934987" name="drawing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49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67DB" w14:textId="5E6CA6FC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7C6F17DB">
        <w:rPr>
          <w:rFonts w:ascii="Aptos" w:eastAsia="Aptos" w:hAnsi="Aptos" w:cs="Aptos"/>
          <w:b/>
          <w:bCs/>
          <w:color w:val="000000" w:themeColor="text1"/>
        </w:rPr>
        <w:t>Data Provided</w:t>
      </w:r>
    </w:p>
    <w:p w14:paraId="140CFE89" w14:textId="3782770D" w:rsidR="0028188B" w:rsidRDefault="34E4B97B" w:rsidP="7C6F17DB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>Three years of h</w:t>
      </w:r>
      <w:r w:rsidR="0511F383" w:rsidRPr="1B826B90">
        <w:rPr>
          <w:rFonts w:ascii="Aptos" w:eastAsia="Aptos" w:hAnsi="Aptos" w:cs="Aptos"/>
          <w:color w:val="000000" w:themeColor="text1"/>
        </w:rPr>
        <w:t xml:space="preserve">istorical </w:t>
      </w:r>
      <w:r w:rsidR="3007B8C0" w:rsidRPr="1B826B90">
        <w:rPr>
          <w:rFonts w:ascii="Aptos" w:eastAsia="Aptos" w:hAnsi="Aptos" w:cs="Aptos"/>
          <w:color w:val="000000" w:themeColor="text1"/>
        </w:rPr>
        <w:t xml:space="preserve">hourly </w:t>
      </w:r>
      <w:r w:rsidR="0511F383" w:rsidRPr="7C6F17DB">
        <w:rPr>
          <w:rFonts w:ascii="Aptos" w:eastAsia="Aptos" w:hAnsi="Aptos" w:cs="Aptos"/>
          <w:color w:val="000000" w:themeColor="text1"/>
        </w:rPr>
        <w:t xml:space="preserve">wind and solar generation data </w:t>
      </w:r>
      <w:r w:rsidR="7643DB24" w:rsidRPr="1B826B90">
        <w:rPr>
          <w:rFonts w:ascii="Aptos" w:eastAsia="Aptos" w:hAnsi="Aptos" w:cs="Aptos"/>
          <w:color w:val="000000" w:themeColor="text1"/>
        </w:rPr>
        <w:t xml:space="preserve">from three assets </w:t>
      </w:r>
      <w:r w:rsidR="0511F383" w:rsidRPr="7C6F17DB">
        <w:rPr>
          <w:rFonts w:ascii="Aptos" w:eastAsia="Aptos" w:hAnsi="Aptos" w:cs="Aptos"/>
          <w:color w:val="000000" w:themeColor="text1"/>
        </w:rPr>
        <w:t>(2 wind and 1 solar</w:t>
      </w:r>
      <w:r w:rsidR="602901E2" w:rsidRPr="1B826B90">
        <w:rPr>
          <w:rFonts w:ascii="Aptos" w:eastAsia="Aptos" w:hAnsi="Aptos" w:cs="Aptos"/>
          <w:color w:val="000000" w:themeColor="text1"/>
        </w:rPr>
        <w:t>)</w:t>
      </w:r>
      <w:r w:rsidR="0511F383" w:rsidRPr="7C6F17DB">
        <w:rPr>
          <w:rFonts w:ascii="Aptos" w:eastAsia="Aptos" w:hAnsi="Aptos" w:cs="Aptos"/>
          <w:color w:val="000000" w:themeColor="text1"/>
        </w:rPr>
        <w:t xml:space="preserve"> in 3 different markets - ERCOT, MISO, </w:t>
      </w:r>
      <w:r w:rsidR="00BA5D6A">
        <w:rPr>
          <w:rFonts w:ascii="Aptos" w:eastAsia="Aptos" w:hAnsi="Aptos" w:cs="Aptos"/>
          <w:color w:val="000000" w:themeColor="text1"/>
        </w:rPr>
        <w:t>CAISO</w:t>
      </w:r>
    </w:p>
    <w:p w14:paraId="13D8C40A" w14:textId="26B46B7A" w:rsidR="57B7F9FF" w:rsidRDefault="57B7F9FF" w:rsidP="0BB6AE4B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 xml:space="preserve">Corresponding </w:t>
      </w:r>
      <w:r w:rsidR="4835C6BB" w:rsidRPr="1B826B90">
        <w:rPr>
          <w:rFonts w:ascii="Aptos" w:eastAsia="Aptos" w:hAnsi="Aptos" w:cs="Aptos"/>
          <w:color w:val="000000" w:themeColor="text1"/>
        </w:rPr>
        <w:t xml:space="preserve">historical </w:t>
      </w:r>
      <w:r w:rsidR="2C7B9248" w:rsidRPr="1B826B90">
        <w:rPr>
          <w:rFonts w:ascii="Aptos" w:eastAsia="Aptos" w:hAnsi="Aptos" w:cs="Aptos"/>
          <w:color w:val="000000" w:themeColor="text1"/>
        </w:rPr>
        <w:t xml:space="preserve">hourly prices ($/MWh), RT and DA, at the </w:t>
      </w:r>
      <w:r w:rsidR="442612FA" w:rsidRPr="1B826B90">
        <w:rPr>
          <w:rFonts w:ascii="Aptos" w:eastAsia="Aptos" w:hAnsi="Aptos" w:cs="Aptos"/>
          <w:color w:val="000000" w:themeColor="text1"/>
        </w:rPr>
        <w:t xml:space="preserve">assets’ </w:t>
      </w:r>
      <w:r w:rsidR="2C7B9248" w:rsidRPr="1B826B90">
        <w:rPr>
          <w:rFonts w:ascii="Aptos" w:eastAsia="Aptos" w:hAnsi="Aptos" w:cs="Aptos"/>
          <w:color w:val="000000" w:themeColor="text1"/>
        </w:rPr>
        <w:t xml:space="preserve">busbars and </w:t>
      </w:r>
      <w:r w:rsidR="0D321225" w:rsidRPr="1B826B90">
        <w:rPr>
          <w:rFonts w:ascii="Aptos" w:eastAsia="Aptos" w:hAnsi="Aptos" w:cs="Aptos"/>
          <w:color w:val="000000" w:themeColor="text1"/>
        </w:rPr>
        <w:t>reference hubs</w:t>
      </w:r>
    </w:p>
    <w:p w14:paraId="33D1EDCB" w14:textId="6DC19E16" w:rsidR="0D321225" w:rsidRDefault="0D321225" w:rsidP="0BB6AE4B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1B826B90">
        <w:rPr>
          <w:rFonts w:ascii="Aptos" w:eastAsia="Aptos" w:hAnsi="Aptos" w:cs="Aptos"/>
          <w:color w:val="000000" w:themeColor="text1"/>
        </w:rPr>
        <w:t>Monthly forward price curves, peak and off-peak</w:t>
      </w:r>
      <w:r w:rsidR="3B43CAA3" w:rsidRPr="1B826B90">
        <w:rPr>
          <w:rFonts w:ascii="Aptos" w:eastAsia="Aptos" w:hAnsi="Aptos" w:cs="Aptos"/>
          <w:color w:val="000000" w:themeColor="text1"/>
        </w:rPr>
        <w:t xml:space="preserve"> periods</w:t>
      </w:r>
      <w:r w:rsidRPr="1B826B90">
        <w:rPr>
          <w:rFonts w:ascii="Aptos" w:eastAsia="Aptos" w:hAnsi="Aptos" w:cs="Aptos"/>
          <w:color w:val="000000" w:themeColor="text1"/>
        </w:rPr>
        <w:t xml:space="preserve">, for the reference hub </w:t>
      </w:r>
      <w:r w:rsidR="397F7003" w:rsidRPr="1B826B90">
        <w:rPr>
          <w:rFonts w:ascii="Aptos" w:eastAsia="Aptos" w:hAnsi="Aptos" w:cs="Aptos"/>
          <w:color w:val="000000" w:themeColor="text1"/>
        </w:rPr>
        <w:t xml:space="preserve">of </w:t>
      </w:r>
      <w:r w:rsidRPr="1B826B90">
        <w:rPr>
          <w:rFonts w:ascii="Aptos" w:eastAsia="Aptos" w:hAnsi="Aptos" w:cs="Aptos"/>
          <w:color w:val="000000" w:themeColor="text1"/>
        </w:rPr>
        <w:t>each asset.  Note t</w:t>
      </w:r>
      <w:r w:rsidR="3D41F030" w:rsidRPr="1B826B90">
        <w:rPr>
          <w:rFonts w:ascii="Aptos" w:eastAsia="Aptos" w:hAnsi="Aptos" w:cs="Aptos"/>
          <w:color w:val="000000" w:themeColor="text1"/>
        </w:rPr>
        <w:t>hat these forward curves represent the price for a fixed</w:t>
      </w:r>
      <w:r w:rsidR="5DE76417" w:rsidRPr="1B826B90">
        <w:rPr>
          <w:rFonts w:ascii="Aptos" w:eastAsia="Aptos" w:hAnsi="Aptos" w:cs="Aptos"/>
          <w:color w:val="000000" w:themeColor="text1"/>
        </w:rPr>
        <w:t>/flat</w:t>
      </w:r>
      <w:r w:rsidR="3D41F030" w:rsidRPr="1B826B90">
        <w:rPr>
          <w:rFonts w:ascii="Aptos" w:eastAsia="Aptos" w:hAnsi="Aptos" w:cs="Aptos"/>
          <w:color w:val="000000" w:themeColor="text1"/>
        </w:rPr>
        <w:t xml:space="preserve"> 25 MW block of power.</w:t>
      </w:r>
    </w:p>
    <w:p w14:paraId="33A4626A" w14:textId="06B7A68E" w:rsidR="0003281F" w:rsidRPr="00D0153F" w:rsidRDefault="0003281F" w:rsidP="00D0153F">
      <w:pPr>
        <w:spacing w:after="0"/>
        <w:rPr>
          <w:rFonts w:ascii="Aptos" w:eastAsia="Aptos" w:hAnsi="Aptos" w:cs="Aptos"/>
          <w:color w:val="000000" w:themeColor="text1"/>
        </w:rPr>
      </w:pPr>
    </w:p>
    <w:p w14:paraId="0E0F1FDE" w14:textId="38ABA4C9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38C6AF4B" wp14:editId="6ED1ABF5">
            <wp:extent cx="9525" cy="9525"/>
            <wp:effectExtent l="0" t="0" r="0" b="0"/>
            <wp:docPr id="15718480" name="drawing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4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912" w14:textId="06BEF238" w:rsidR="0028188B" w:rsidRDefault="0511F383" w:rsidP="7C6F17DB">
      <w:pPr>
        <w:spacing w:after="0"/>
        <w:rPr>
          <w:rFonts w:ascii="Aptos" w:eastAsia="Aptos" w:hAnsi="Aptos" w:cs="Aptos"/>
          <w:color w:val="000000" w:themeColor="text1"/>
        </w:rPr>
      </w:pPr>
      <w:r w:rsidRPr="0023220B">
        <w:rPr>
          <w:rFonts w:ascii="Aptos" w:eastAsia="Aptos" w:hAnsi="Aptos" w:cs="Aptos"/>
          <w:b/>
          <w:bCs/>
          <w:color w:val="000000" w:themeColor="text1"/>
        </w:rPr>
        <w:t xml:space="preserve">Preparation Materials </w:t>
      </w:r>
      <w:r w:rsidRPr="0023220B">
        <w:rPr>
          <w:rFonts w:ascii="Aptos" w:eastAsia="Aptos" w:hAnsi="Aptos" w:cs="Aptos"/>
          <w:b/>
          <w:bCs/>
          <w:i/>
          <w:iCs/>
          <w:color w:val="000000" w:themeColor="text1"/>
        </w:rPr>
        <w:t>(distributed 1–2 weeks prior)</w:t>
      </w:r>
    </w:p>
    <w:p w14:paraId="2C078E63" w14:textId="6E96F5F7" w:rsidR="0028188B" w:rsidRDefault="002F46C1">
      <w:hyperlink r:id="rId11" w:history="1">
        <w:r w:rsidRPr="002F46C1">
          <w:rPr>
            <w:rStyle w:val="Hyperlink"/>
          </w:rPr>
          <w:t>What is a corporate renewable Power Purchase Agreement? | WBCSD</w:t>
        </w:r>
      </w:hyperlink>
    </w:p>
    <w:p w14:paraId="5089AD04" w14:textId="5938B812" w:rsidR="002F46C1" w:rsidRDefault="0019120A">
      <w:hyperlink r:id="rId12" w:history="1">
        <w:r w:rsidRPr="0019120A">
          <w:rPr>
            <w:rStyle w:val="Hyperlink"/>
          </w:rPr>
          <w:t>Pricing-structures-for-corporate-renewable-PPAs.pdf</w:t>
        </w:r>
      </w:hyperlink>
    </w:p>
    <w:p w14:paraId="0F25F897" w14:textId="7383776F" w:rsidR="00002109" w:rsidRDefault="00002109">
      <w:hyperlink r:id="rId13" w:history="1">
        <w:r w:rsidRPr="00002109">
          <w:rPr>
            <w:rStyle w:val="Hyperlink"/>
          </w:rPr>
          <w:t>What is a fair price for a PPA?</w:t>
        </w:r>
      </w:hyperlink>
    </w:p>
    <w:p w14:paraId="77454D18" w14:textId="4F9F4086" w:rsidR="00C31BD6" w:rsidRDefault="00C31BD6">
      <w:hyperlink r:id="rId14" w:history="1">
        <w:r w:rsidRPr="00C31BD6">
          <w:rPr>
            <w:rStyle w:val="Hyperlink"/>
          </w:rPr>
          <w:t>Flexible assets &amp; renewable energy risk management | McKinsey</w:t>
        </w:r>
      </w:hyperlink>
    </w:p>
    <w:p w14:paraId="1FD2990E" w14:textId="2550306D" w:rsidR="007748EB" w:rsidRDefault="007748EB">
      <w:hyperlink r:id="rId15" w:history="1">
        <w:r w:rsidRPr="007748EB">
          <w:rPr>
            <w:rStyle w:val="Hyperlink"/>
          </w:rPr>
          <w:t>2025 Renewable Energy Industry Outlook | Deloitte Insights</w:t>
        </w:r>
      </w:hyperlink>
    </w:p>
    <w:p w14:paraId="19720740" w14:textId="524BD86F" w:rsidR="000C6DB8" w:rsidRDefault="000C6DB8">
      <w:hyperlink r:id="rId16" w:history="1">
        <w:r w:rsidRPr="000C6DB8">
          <w:rPr>
            <w:rStyle w:val="Hyperlink"/>
          </w:rPr>
          <w:t>Valuation trends of renewable energy assets - WTW</w:t>
        </w:r>
      </w:hyperlink>
    </w:p>
    <w:p w14:paraId="197FAE51" w14:textId="68A0B851" w:rsidR="004C14AB" w:rsidRDefault="004C14AB">
      <w:hyperlink r:id="rId17" w:history="1">
        <w:r w:rsidRPr="004C14AB">
          <w:rPr>
            <w:rStyle w:val="Hyperlink"/>
          </w:rPr>
          <w:t xml:space="preserve">Hedging Strategies to Optimize Merchant Energy </w:t>
        </w:r>
        <w:proofErr w:type="spellStart"/>
        <w:r w:rsidRPr="004C14AB">
          <w:rPr>
            <w:rStyle w:val="Hyperlink"/>
          </w:rPr>
          <w:t>Porfolio</w:t>
        </w:r>
        <w:proofErr w:type="spellEnd"/>
        <w:r w:rsidRPr="004C14AB">
          <w:rPr>
            <w:rStyle w:val="Hyperlink"/>
          </w:rPr>
          <w:t xml:space="preserve"> Performance</w:t>
        </w:r>
      </w:hyperlink>
    </w:p>
    <w:p w14:paraId="60850F5D" w14:textId="39711AFC" w:rsidR="00DA10E9" w:rsidRDefault="00DA10E9">
      <w:hyperlink r:id="rId18" w:history="1">
        <w:r w:rsidRPr="00DA10E9">
          <w:rPr>
            <w:rStyle w:val="Hyperlink"/>
          </w:rPr>
          <w:t xml:space="preserve">Solar PPA market remains stable in Q1 2025 – </w:t>
        </w:r>
        <w:proofErr w:type="spellStart"/>
        <w:r w:rsidRPr="00DA10E9">
          <w:rPr>
            <w:rStyle w:val="Hyperlink"/>
          </w:rPr>
          <w:t>pv</w:t>
        </w:r>
        <w:proofErr w:type="spellEnd"/>
        <w:r w:rsidRPr="00DA10E9">
          <w:rPr>
            <w:rStyle w:val="Hyperlink"/>
          </w:rPr>
          <w:t xml:space="preserve"> magazine USA</w:t>
        </w:r>
      </w:hyperlink>
    </w:p>
    <w:p w14:paraId="0EBA7F23" w14:textId="77777777" w:rsidR="000965CB" w:rsidRDefault="000965CB"/>
    <w:p w14:paraId="1DD51208" w14:textId="77777777" w:rsidR="000965CB" w:rsidRDefault="000965CB"/>
    <w:p w14:paraId="30BCA2F5" w14:textId="77777777" w:rsidR="000965CB" w:rsidRDefault="000965CB"/>
    <w:sectPr w:rsidR="000965CB"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B0B79" w14:textId="77777777" w:rsidR="006E594E" w:rsidRDefault="006E594E" w:rsidP="004C030B">
      <w:pPr>
        <w:spacing w:after="0" w:line="240" w:lineRule="auto"/>
      </w:pPr>
      <w:r>
        <w:separator/>
      </w:r>
    </w:p>
  </w:endnote>
  <w:endnote w:type="continuationSeparator" w:id="0">
    <w:p w14:paraId="07AA04EF" w14:textId="77777777" w:rsidR="006E594E" w:rsidRDefault="006E594E" w:rsidP="004C030B">
      <w:pPr>
        <w:spacing w:after="0" w:line="240" w:lineRule="auto"/>
      </w:pPr>
      <w:r>
        <w:continuationSeparator/>
      </w:r>
    </w:p>
  </w:endnote>
  <w:endnote w:type="continuationNotice" w:id="1">
    <w:p w14:paraId="333A853C" w14:textId="77777777" w:rsidR="006E594E" w:rsidRDefault="006E59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AF5C2" w14:textId="4C31FAA1" w:rsidR="004C030B" w:rsidRDefault="004C03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468BE18" wp14:editId="51A1268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0575" cy="409575"/>
              <wp:effectExtent l="0" t="0" r="9525" b="0"/>
              <wp:wrapNone/>
              <wp:docPr id="108244455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057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352B8" w14:textId="3D39132B" w:rsidR="004C030B" w:rsidRPr="004C030B" w:rsidRDefault="004C030B" w:rsidP="004C030B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8000"/>
                            </w:rPr>
                          </w:pPr>
                          <w:r w:rsidRPr="004C030B">
                            <w:rPr>
                              <w:rFonts w:ascii="Aptos" w:eastAsia="Aptos" w:hAnsi="Aptos" w:cs="Aptos"/>
                              <w:noProof/>
                              <w:color w:val="00800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8BE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62.25pt;height:32.2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" filled="f" stroked="f">
              <v:textbox style="mso-fit-shape-to-text:t" inset="0,0,0,15pt">
                <w:txbxContent>
                  <w:p w14:paraId="227352B8" w14:textId="3D39132B" w:rsidR="004C030B" w:rsidRPr="004C030B" w:rsidRDefault="004C030B" w:rsidP="004C030B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8000"/>
                      </w:rPr>
                    </w:pPr>
                    <w:r w:rsidRPr="004C030B">
                      <w:rPr>
                        <w:rFonts w:ascii="Aptos" w:eastAsia="Aptos" w:hAnsi="Aptos" w:cs="Aptos"/>
                        <w:noProof/>
                        <w:color w:val="00800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303E" w14:textId="65F484E8" w:rsidR="004C030B" w:rsidRDefault="004C03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09B97AA" wp14:editId="7A5256D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0575" cy="409575"/>
              <wp:effectExtent l="0" t="0" r="9525" b="0"/>
              <wp:wrapNone/>
              <wp:docPr id="1430763121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057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B7D35" w14:textId="4CFF5450" w:rsidR="004C030B" w:rsidRPr="004C030B" w:rsidRDefault="004C030B" w:rsidP="004C030B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8000"/>
                            </w:rPr>
                          </w:pPr>
                          <w:r w:rsidRPr="004C030B">
                            <w:rPr>
                              <w:rFonts w:ascii="Aptos" w:eastAsia="Aptos" w:hAnsi="Aptos" w:cs="Aptos"/>
                              <w:noProof/>
                              <w:color w:val="00800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B97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62.25pt;height:32.2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" filled="f" stroked="f">
              <v:textbox style="mso-fit-shape-to-text:t" inset="0,0,0,15pt">
                <w:txbxContent>
                  <w:p w14:paraId="6AFB7D35" w14:textId="4CFF5450" w:rsidR="004C030B" w:rsidRPr="004C030B" w:rsidRDefault="004C030B" w:rsidP="004C030B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8000"/>
                      </w:rPr>
                    </w:pPr>
                    <w:r w:rsidRPr="004C030B">
                      <w:rPr>
                        <w:rFonts w:ascii="Aptos" w:eastAsia="Aptos" w:hAnsi="Aptos" w:cs="Aptos"/>
                        <w:noProof/>
                        <w:color w:val="00800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8AF7A" w14:textId="01425F33" w:rsidR="004C030B" w:rsidRDefault="004C03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4AC619" wp14:editId="6A5475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90575" cy="409575"/>
              <wp:effectExtent l="0" t="0" r="9525" b="0"/>
              <wp:wrapNone/>
              <wp:docPr id="1883635793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057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BAE42" w14:textId="2CF912D6" w:rsidR="004C030B" w:rsidRPr="004C030B" w:rsidRDefault="004C030B" w:rsidP="004C030B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8000"/>
                            </w:rPr>
                          </w:pPr>
                          <w:r w:rsidRPr="004C030B">
                            <w:rPr>
                              <w:rFonts w:ascii="Aptos" w:eastAsia="Aptos" w:hAnsi="Aptos" w:cs="Aptos"/>
                              <w:noProof/>
                              <w:color w:val="00800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AC6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62.25pt;height:32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" filled="f" stroked="f">
              <v:textbox style="mso-fit-shape-to-text:t" inset="0,0,0,15pt">
                <w:txbxContent>
                  <w:p w14:paraId="5C1BAE42" w14:textId="2CF912D6" w:rsidR="004C030B" w:rsidRPr="004C030B" w:rsidRDefault="004C030B" w:rsidP="004C030B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8000"/>
                      </w:rPr>
                    </w:pPr>
                    <w:r w:rsidRPr="004C030B">
                      <w:rPr>
                        <w:rFonts w:ascii="Aptos" w:eastAsia="Aptos" w:hAnsi="Aptos" w:cs="Aptos"/>
                        <w:noProof/>
                        <w:color w:val="00800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EA16A" w14:textId="77777777" w:rsidR="006E594E" w:rsidRDefault="006E594E" w:rsidP="004C030B">
      <w:pPr>
        <w:spacing w:after="0" w:line="240" w:lineRule="auto"/>
      </w:pPr>
      <w:r>
        <w:separator/>
      </w:r>
    </w:p>
  </w:footnote>
  <w:footnote w:type="continuationSeparator" w:id="0">
    <w:p w14:paraId="50CFE124" w14:textId="77777777" w:rsidR="006E594E" w:rsidRDefault="006E594E" w:rsidP="004C030B">
      <w:pPr>
        <w:spacing w:after="0" w:line="240" w:lineRule="auto"/>
      </w:pPr>
      <w:r>
        <w:continuationSeparator/>
      </w:r>
    </w:p>
  </w:footnote>
  <w:footnote w:type="continuationNotice" w:id="1">
    <w:p w14:paraId="73CBDBD9" w14:textId="77777777" w:rsidR="006E594E" w:rsidRDefault="006E594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182D"/>
    <w:multiLevelType w:val="hybridMultilevel"/>
    <w:tmpl w:val="79C4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50A2"/>
    <w:multiLevelType w:val="multilevel"/>
    <w:tmpl w:val="666CB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266F"/>
    <w:multiLevelType w:val="hybridMultilevel"/>
    <w:tmpl w:val="24926780"/>
    <w:lvl w:ilvl="0" w:tplc="C020FDF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F19E1"/>
    <w:multiLevelType w:val="hybridMultilevel"/>
    <w:tmpl w:val="0E26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41546"/>
    <w:multiLevelType w:val="hybridMultilevel"/>
    <w:tmpl w:val="F9CA553A"/>
    <w:lvl w:ilvl="0" w:tplc="E4147E68">
      <w:start w:val="1"/>
      <w:numFmt w:val="decimal"/>
      <w:lvlText w:val="%1."/>
      <w:lvlJc w:val="left"/>
      <w:pPr>
        <w:ind w:left="720" w:hanging="360"/>
      </w:pPr>
    </w:lvl>
    <w:lvl w:ilvl="1" w:tplc="0304FE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6416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E4CFDCC">
      <w:start w:val="1"/>
      <w:numFmt w:val="decimal"/>
      <w:lvlText w:val="%4."/>
      <w:lvlJc w:val="left"/>
      <w:pPr>
        <w:ind w:left="2880" w:hanging="360"/>
      </w:pPr>
    </w:lvl>
    <w:lvl w:ilvl="4" w:tplc="FFA881E6">
      <w:start w:val="1"/>
      <w:numFmt w:val="lowerLetter"/>
      <w:lvlText w:val="%5."/>
      <w:lvlJc w:val="left"/>
      <w:pPr>
        <w:ind w:left="3600" w:hanging="360"/>
      </w:pPr>
    </w:lvl>
    <w:lvl w:ilvl="5" w:tplc="D630A7A8">
      <w:start w:val="1"/>
      <w:numFmt w:val="lowerRoman"/>
      <w:lvlText w:val="%6."/>
      <w:lvlJc w:val="right"/>
      <w:pPr>
        <w:ind w:left="4320" w:hanging="180"/>
      </w:pPr>
    </w:lvl>
    <w:lvl w:ilvl="6" w:tplc="6F06C430">
      <w:start w:val="1"/>
      <w:numFmt w:val="decimal"/>
      <w:lvlText w:val="%7."/>
      <w:lvlJc w:val="left"/>
      <w:pPr>
        <w:ind w:left="5040" w:hanging="360"/>
      </w:pPr>
    </w:lvl>
    <w:lvl w:ilvl="7" w:tplc="E1424E2A">
      <w:start w:val="1"/>
      <w:numFmt w:val="lowerLetter"/>
      <w:lvlText w:val="%8."/>
      <w:lvlJc w:val="left"/>
      <w:pPr>
        <w:ind w:left="5760" w:hanging="360"/>
      </w:pPr>
    </w:lvl>
    <w:lvl w:ilvl="8" w:tplc="1C8816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80DA"/>
    <w:multiLevelType w:val="multilevel"/>
    <w:tmpl w:val="9BB6F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374F3"/>
    <w:multiLevelType w:val="multilevel"/>
    <w:tmpl w:val="941A2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E4B3"/>
    <w:multiLevelType w:val="multilevel"/>
    <w:tmpl w:val="9FEEE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110302">
    <w:abstractNumId w:val="6"/>
  </w:num>
  <w:num w:numId="2" w16cid:durableId="1457527994">
    <w:abstractNumId w:val="5"/>
  </w:num>
  <w:num w:numId="3" w16cid:durableId="2111733676">
    <w:abstractNumId w:val="7"/>
  </w:num>
  <w:num w:numId="4" w16cid:durableId="1393776079">
    <w:abstractNumId w:val="4"/>
  </w:num>
  <w:num w:numId="5" w16cid:durableId="126238717">
    <w:abstractNumId w:val="1"/>
  </w:num>
  <w:num w:numId="6" w16cid:durableId="176038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1227175">
    <w:abstractNumId w:val="2"/>
  </w:num>
  <w:num w:numId="8" w16cid:durableId="1147091588">
    <w:abstractNumId w:val="0"/>
  </w:num>
  <w:num w:numId="9" w16cid:durableId="174950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A1ACBA"/>
    <w:rsid w:val="00002109"/>
    <w:rsid w:val="00026BB9"/>
    <w:rsid w:val="0003281F"/>
    <w:rsid w:val="000346E9"/>
    <w:rsid w:val="00074751"/>
    <w:rsid w:val="000756EE"/>
    <w:rsid w:val="00076172"/>
    <w:rsid w:val="0009134C"/>
    <w:rsid w:val="00092911"/>
    <w:rsid w:val="000965CB"/>
    <w:rsid w:val="000A7DB5"/>
    <w:rsid w:val="000C319B"/>
    <w:rsid w:val="000C6DB8"/>
    <w:rsid w:val="000E1EFE"/>
    <w:rsid w:val="001160D0"/>
    <w:rsid w:val="0019120A"/>
    <w:rsid w:val="001A62C6"/>
    <w:rsid w:val="001B4345"/>
    <w:rsid w:val="001D0404"/>
    <w:rsid w:val="00223954"/>
    <w:rsid w:val="0023220B"/>
    <w:rsid w:val="002765FA"/>
    <w:rsid w:val="0028188B"/>
    <w:rsid w:val="002A4D80"/>
    <w:rsid w:val="002A71CB"/>
    <w:rsid w:val="002F46C1"/>
    <w:rsid w:val="0030105F"/>
    <w:rsid w:val="00323BAF"/>
    <w:rsid w:val="003518E0"/>
    <w:rsid w:val="0035237A"/>
    <w:rsid w:val="00357BC8"/>
    <w:rsid w:val="00379ADA"/>
    <w:rsid w:val="00391AC8"/>
    <w:rsid w:val="003B4815"/>
    <w:rsid w:val="003C27DF"/>
    <w:rsid w:val="003D10AB"/>
    <w:rsid w:val="003D78BF"/>
    <w:rsid w:val="003F7474"/>
    <w:rsid w:val="00424061"/>
    <w:rsid w:val="00427542"/>
    <w:rsid w:val="0044512C"/>
    <w:rsid w:val="0046587C"/>
    <w:rsid w:val="004906F0"/>
    <w:rsid w:val="004916BF"/>
    <w:rsid w:val="004C030B"/>
    <w:rsid w:val="004C14AB"/>
    <w:rsid w:val="004C2890"/>
    <w:rsid w:val="00501565"/>
    <w:rsid w:val="00503767"/>
    <w:rsid w:val="00514EF8"/>
    <w:rsid w:val="00533880"/>
    <w:rsid w:val="00537CF8"/>
    <w:rsid w:val="00551929"/>
    <w:rsid w:val="00555C8F"/>
    <w:rsid w:val="005956FC"/>
    <w:rsid w:val="005F2D2E"/>
    <w:rsid w:val="0062454A"/>
    <w:rsid w:val="00625D72"/>
    <w:rsid w:val="00661B0B"/>
    <w:rsid w:val="00690051"/>
    <w:rsid w:val="006A22BF"/>
    <w:rsid w:val="006E33F3"/>
    <w:rsid w:val="006E594E"/>
    <w:rsid w:val="006F76EC"/>
    <w:rsid w:val="00705989"/>
    <w:rsid w:val="00716CDE"/>
    <w:rsid w:val="00720CD8"/>
    <w:rsid w:val="00725780"/>
    <w:rsid w:val="0073053B"/>
    <w:rsid w:val="00733E96"/>
    <w:rsid w:val="0074032F"/>
    <w:rsid w:val="00752EC2"/>
    <w:rsid w:val="00773CE9"/>
    <w:rsid w:val="007748EB"/>
    <w:rsid w:val="007831CF"/>
    <w:rsid w:val="007A549E"/>
    <w:rsid w:val="007B4D89"/>
    <w:rsid w:val="007D1C97"/>
    <w:rsid w:val="008676E2"/>
    <w:rsid w:val="00870691"/>
    <w:rsid w:val="008827FE"/>
    <w:rsid w:val="008957B9"/>
    <w:rsid w:val="008B68D0"/>
    <w:rsid w:val="008D2AEE"/>
    <w:rsid w:val="009010C4"/>
    <w:rsid w:val="0091317C"/>
    <w:rsid w:val="00926A74"/>
    <w:rsid w:val="0093175E"/>
    <w:rsid w:val="00953BC8"/>
    <w:rsid w:val="0095705E"/>
    <w:rsid w:val="009650AB"/>
    <w:rsid w:val="00971D5F"/>
    <w:rsid w:val="00980FAF"/>
    <w:rsid w:val="00983C6F"/>
    <w:rsid w:val="00996674"/>
    <w:rsid w:val="009A4581"/>
    <w:rsid w:val="009A7121"/>
    <w:rsid w:val="009B12AE"/>
    <w:rsid w:val="009C0E81"/>
    <w:rsid w:val="009F4A45"/>
    <w:rsid w:val="00A04F59"/>
    <w:rsid w:val="00A41A79"/>
    <w:rsid w:val="00A60283"/>
    <w:rsid w:val="00A90AE1"/>
    <w:rsid w:val="00AA34B3"/>
    <w:rsid w:val="00AC2132"/>
    <w:rsid w:val="00AE4C36"/>
    <w:rsid w:val="00B06FA2"/>
    <w:rsid w:val="00B234F8"/>
    <w:rsid w:val="00B52BE7"/>
    <w:rsid w:val="00B5783D"/>
    <w:rsid w:val="00B6104C"/>
    <w:rsid w:val="00B84155"/>
    <w:rsid w:val="00B85C0E"/>
    <w:rsid w:val="00BA5D6A"/>
    <w:rsid w:val="00BC2F19"/>
    <w:rsid w:val="00BC74A6"/>
    <w:rsid w:val="00C04D5A"/>
    <w:rsid w:val="00C31BD6"/>
    <w:rsid w:val="00C43C86"/>
    <w:rsid w:val="00C46B90"/>
    <w:rsid w:val="00C54A86"/>
    <w:rsid w:val="00C63E4F"/>
    <w:rsid w:val="00C92258"/>
    <w:rsid w:val="00CA6C68"/>
    <w:rsid w:val="00CA777A"/>
    <w:rsid w:val="00CB38BB"/>
    <w:rsid w:val="00CD1590"/>
    <w:rsid w:val="00CF08A8"/>
    <w:rsid w:val="00D0153F"/>
    <w:rsid w:val="00D042BC"/>
    <w:rsid w:val="00D13799"/>
    <w:rsid w:val="00D26281"/>
    <w:rsid w:val="00D469D8"/>
    <w:rsid w:val="00D46C34"/>
    <w:rsid w:val="00D72459"/>
    <w:rsid w:val="00D72626"/>
    <w:rsid w:val="00D91975"/>
    <w:rsid w:val="00D93207"/>
    <w:rsid w:val="00DA10E9"/>
    <w:rsid w:val="00DD170A"/>
    <w:rsid w:val="00DD1F5D"/>
    <w:rsid w:val="00DF4179"/>
    <w:rsid w:val="00E1005B"/>
    <w:rsid w:val="00E3234D"/>
    <w:rsid w:val="00E36A1B"/>
    <w:rsid w:val="00E375FC"/>
    <w:rsid w:val="00E71A7B"/>
    <w:rsid w:val="00E7258D"/>
    <w:rsid w:val="00E83B5A"/>
    <w:rsid w:val="00E93B80"/>
    <w:rsid w:val="00EB4AB5"/>
    <w:rsid w:val="00EE0164"/>
    <w:rsid w:val="00EE70A9"/>
    <w:rsid w:val="00F116DB"/>
    <w:rsid w:val="00F219AF"/>
    <w:rsid w:val="00F3223C"/>
    <w:rsid w:val="00F35DE8"/>
    <w:rsid w:val="00F84994"/>
    <w:rsid w:val="00F93A76"/>
    <w:rsid w:val="00FA03C2"/>
    <w:rsid w:val="00FA094D"/>
    <w:rsid w:val="00FB36D6"/>
    <w:rsid w:val="00FB7CF8"/>
    <w:rsid w:val="00FC3CDB"/>
    <w:rsid w:val="00FD5B24"/>
    <w:rsid w:val="00FD7633"/>
    <w:rsid w:val="00FE0C9A"/>
    <w:rsid w:val="00FE4B4C"/>
    <w:rsid w:val="00FF482A"/>
    <w:rsid w:val="019114C6"/>
    <w:rsid w:val="019D3AB6"/>
    <w:rsid w:val="01D2FAC0"/>
    <w:rsid w:val="0393FFF6"/>
    <w:rsid w:val="0433B296"/>
    <w:rsid w:val="048E979A"/>
    <w:rsid w:val="04B28800"/>
    <w:rsid w:val="0511F383"/>
    <w:rsid w:val="065968CD"/>
    <w:rsid w:val="06818880"/>
    <w:rsid w:val="08952A48"/>
    <w:rsid w:val="0BB6AE4B"/>
    <w:rsid w:val="0BBD2AA4"/>
    <w:rsid w:val="0C1BEF52"/>
    <w:rsid w:val="0D321225"/>
    <w:rsid w:val="0EB40A4B"/>
    <w:rsid w:val="0EE7E142"/>
    <w:rsid w:val="11132BD3"/>
    <w:rsid w:val="12F3C8DC"/>
    <w:rsid w:val="136F95DE"/>
    <w:rsid w:val="19DFAA39"/>
    <w:rsid w:val="1B826B90"/>
    <w:rsid w:val="1B90ECB5"/>
    <w:rsid w:val="1DAE1FFB"/>
    <w:rsid w:val="1E7F13D6"/>
    <w:rsid w:val="1F65BF8C"/>
    <w:rsid w:val="20E3B476"/>
    <w:rsid w:val="214FEF56"/>
    <w:rsid w:val="217CF6FA"/>
    <w:rsid w:val="22912209"/>
    <w:rsid w:val="229E00B9"/>
    <w:rsid w:val="24D1B5D4"/>
    <w:rsid w:val="258E8916"/>
    <w:rsid w:val="26A4C055"/>
    <w:rsid w:val="26A91D8C"/>
    <w:rsid w:val="2A8B79D2"/>
    <w:rsid w:val="2C504F37"/>
    <w:rsid w:val="2C7B9248"/>
    <w:rsid w:val="2D786A33"/>
    <w:rsid w:val="3007B8C0"/>
    <w:rsid w:val="316A5044"/>
    <w:rsid w:val="33BCFD7C"/>
    <w:rsid w:val="347CCD78"/>
    <w:rsid w:val="34E4B97B"/>
    <w:rsid w:val="351B8D9E"/>
    <w:rsid w:val="354BCA8B"/>
    <w:rsid w:val="354C0BB8"/>
    <w:rsid w:val="368D62E9"/>
    <w:rsid w:val="38209FDC"/>
    <w:rsid w:val="382FCA41"/>
    <w:rsid w:val="39456B43"/>
    <w:rsid w:val="397F7003"/>
    <w:rsid w:val="3A783586"/>
    <w:rsid w:val="3B43CAA3"/>
    <w:rsid w:val="3C3AFD92"/>
    <w:rsid w:val="3CF3173B"/>
    <w:rsid w:val="3D41F030"/>
    <w:rsid w:val="3D4B576C"/>
    <w:rsid w:val="3FC8AD7E"/>
    <w:rsid w:val="41E960DE"/>
    <w:rsid w:val="43D31969"/>
    <w:rsid w:val="442612FA"/>
    <w:rsid w:val="44A53333"/>
    <w:rsid w:val="44BBC5C7"/>
    <w:rsid w:val="45997E8D"/>
    <w:rsid w:val="47D94888"/>
    <w:rsid w:val="4835C6BB"/>
    <w:rsid w:val="491312BC"/>
    <w:rsid w:val="497D38C6"/>
    <w:rsid w:val="4BABE260"/>
    <w:rsid w:val="4CF57D99"/>
    <w:rsid w:val="51201C3C"/>
    <w:rsid w:val="523B2FE5"/>
    <w:rsid w:val="53445392"/>
    <w:rsid w:val="537397B6"/>
    <w:rsid w:val="54B414F9"/>
    <w:rsid w:val="551F1D1E"/>
    <w:rsid w:val="57737285"/>
    <w:rsid w:val="57910635"/>
    <w:rsid w:val="57B7F9FF"/>
    <w:rsid w:val="58A1ACBA"/>
    <w:rsid w:val="5B751E74"/>
    <w:rsid w:val="5BF497B6"/>
    <w:rsid w:val="5C477A87"/>
    <w:rsid w:val="5D51BFA7"/>
    <w:rsid w:val="5DE76417"/>
    <w:rsid w:val="5DFD8FC4"/>
    <w:rsid w:val="5E752FF0"/>
    <w:rsid w:val="5EBEF884"/>
    <w:rsid w:val="602901E2"/>
    <w:rsid w:val="60D15C63"/>
    <w:rsid w:val="6198BBCC"/>
    <w:rsid w:val="646DF065"/>
    <w:rsid w:val="66D9B32C"/>
    <w:rsid w:val="67CB99D0"/>
    <w:rsid w:val="6AB05D83"/>
    <w:rsid w:val="6B347F2A"/>
    <w:rsid w:val="6C124F1D"/>
    <w:rsid w:val="6C443BAA"/>
    <w:rsid w:val="6C77F5F5"/>
    <w:rsid w:val="6FD9BD51"/>
    <w:rsid w:val="72DAC82F"/>
    <w:rsid w:val="7643DB24"/>
    <w:rsid w:val="77207852"/>
    <w:rsid w:val="789D93C6"/>
    <w:rsid w:val="7A6C175A"/>
    <w:rsid w:val="7ACB9764"/>
    <w:rsid w:val="7C6F17DB"/>
    <w:rsid w:val="7D242286"/>
    <w:rsid w:val="7D530034"/>
    <w:rsid w:val="7DF6B4EF"/>
    <w:rsid w:val="7E2766DF"/>
    <w:rsid w:val="7E378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1ACBA"/>
  <w15:chartTrackingRefBased/>
  <w15:docId w15:val="{B11B591F-C23C-4F48-BBC0-4CFAC637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C0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0B"/>
  </w:style>
  <w:style w:type="paragraph" w:styleId="ListParagraph">
    <w:name w:val="List Paragraph"/>
    <w:basedOn w:val="Normal"/>
    <w:uiPriority w:val="34"/>
    <w:qFormat/>
    <w:rsid w:val="7C6F1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4C"/>
  </w:style>
  <w:style w:type="character" w:styleId="Hyperlink">
    <w:name w:val="Hyperlink"/>
    <w:basedOn w:val="DefaultParagraphFont"/>
    <w:uiPriority w:val="99"/>
    <w:unhideWhenUsed/>
    <w:rsid w:val="002F4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6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0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nv.com/article/what-is-a-fair-price-for-a-ppa--186034/" TargetMode="External"/><Relationship Id="rId18" Type="http://schemas.openxmlformats.org/officeDocument/2006/relationships/hyperlink" Target="https://pv-magazine-usa.com/2025/04/24/solar-ppa-market-remains-stable-in-q1-2025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wbcsd.org/wp-content/uploads/2023/10/Pricing-structures-for-corporate-renewable-PPAs.pdf" TargetMode="External"/><Relationship Id="rId17" Type="http://schemas.openxmlformats.org/officeDocument/2006/relationships/hyperlink" Target="https://www.ascendanalytics.com/blog/hedging-to-mitigate-power-market-forecast-ris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twco.com/en-us/insights/2025/06/valuation-trends-of-renewable-energy-asset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bcsd.org/corporate-renewable-power-purchase-agreements-ppas/what-is-a-corporate-renewable-power-purchase-agreement/" TargetMode="Externa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yperlink" Target="https://www.deloitte.com/us/en/insights/industry/renewable-energy/renewable-energy-industry-outlook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ckinsey.com/industries/electric-power-and-natural-gas/our-insights/managing-risk-in-renewable-energy-portfolios-the-role-of-flexible-asse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A1ABD2C20C54BA42575BFFBE9B28C" ma:contentTypeVersion="18" ma:contentTypeDescription="Create a new document." ma:contentTypeScope="" ma:versionID="f4875ea245685126d92f4c7a7c301ddd">
  <xsd:schema xmlns:xsd="http://www.w3.org/2001/XMLSchema" xmlns:xs="http://www.w3.org/2001/XMLSchema" xmlns:p="http://schemas.microsoft.com/office/2006/metadata/properties" xmlns:ns2="968785a4-a343-4e1d-9846-2467757011cc" xmlns:ns3="63617cda-2d94-4287-866c-169d55813abe" targetNamespace="http://schemas.microsoft.com/office/2006/metadata/properties" ma:root="true" ma:fieldsID="c9c9f90e0406c2111fa1b69fd5b247d1" ns2:_="" ns3:_="">
    <xsd:import namespace="968785a4-a343-4e1d-9846-2467757011cc"/>
    <xsd:import namespace="63617cda-2d94-4287-866c-169d55813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MediaServiceBillingMetadata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785a4-a343-4e1d-9846-246775701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84e374b-9a04-4d73-a251-4ce1ae2c83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17cda-2d94-4287-866c-169d55813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8785a4-a343-4e1d-9846-2467757011c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AA3A0D-7B9D-4A40-B534-5C93B938D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0EF10-97E5-4A12-9B1F-8B4C0D6CB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785a4-a343-4e1d-9846-2467757011cc"/>
    <ds:schemaRef ds:uri="63617cda-2d94-4287-866c-169d55813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B76F22-0DC9-4BC4-A138-C9AA78D8D5D4}">
  <ds:schemaRefs>
    <ds:schemaRef ds:uri="http://schemas.microsoft.com/office/2006/metadata/properties"/>
    <ds:schemaRef ds:uri="http://schemas.microsoft.com/office/infopath/2007/PartnerControls"/>
    <ds:schemaRef ds:uri="968785a4-a343-4e1d-9846-2467757011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20968</TotalTime>
  <Pages>1</Pages>
  <Words>751</Words>
  <Characters>4284</Characters>
  <Application>Microsoft Office Word</Application>
  <DocSecurity>4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MAGIN, LAUREN</dc:creator>
  <cp:keywords/>
  <dc:description/>
  <cp:lastModifiedBy>MAGIN, LAUREN</cp:lastModifiedBy>
  <cp:revision>97</cp:revision>
  <dcterms:created xsi:type="dcterms:W3CDTF">2025-09-12T03:00:00Z</dcterms:created>
  <dcterms:modified xsi:type="dcterms:W3CDTF">2025-10-17T16:29:00Z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0x0101008A7A1ABD2C20C54BA42575BFFBE9B28C</vt:lpwstr>
  </property>
  <property fmtid="{D5CDD505-2E9C-101B-9397-08002B2CF9AE}" pid="3" name="ClassificationContentMarkingFooterShapeIds">
    <vt:lpwstr>70460051,4084cb08,5547b671</vt:lpwstr>
  </property>
  <property fmtid="{D5CDD505-2E9C-101B-9397-08002B2CF9AE}" pid="4" name="ClassificationContentMarkingFooterFontProps">
    <vt:lpwstr>#008000,12,Aptos</vt:lpwstr>
  </property>
  <property fmtid="{D5CDD505-2E9C-101B-9397-08002B2CF9AE}" pid="5" name="ClassificationContentMarkingFooterText">
    <vt:lpwstr>Internal Use</vt:lpwstr>
  </property>
  <property fmtid="{D5CDD505-2E9C-101B-9397-08002B2CF9AE}" pid="6" name="MSIP_Label_019c027e-33b7-45fc-a572-8ffa5d09ec36_Enabled">
    <vt:lpwstr>true</vt:lpwstr>
  </property>
  <property fmtid="{D5CDD505-2E9C-101B-9397-08002B2CF9AE}" pid="7" name="MSIP_Label_019c027e-33b7-45fc-a572-8ffa5d09ec36_SetDate">
    <vt:lpwstr>2025-09-11T21:00:56Z</vt:lpwstr>
  </property>
  <property fmtid="{D5CDD505-2E9C-101B-9397-08002B2CF9AE}" pid="8" name="MSIP_Label_019c027e-33b7-45fc-a572-8ffa5d09ec36_Method">
    <vt:lpwstr>Standard</vt:lpwstr>
  </property>
  <property fmtid="{D5CDD505-2E9C-101B-9397-08002B2CF9AE}" pid="9" name="MSIP_Label_019c027e-33b7-45fc-a572-8ffa5d09ec36_Name">
    <vt:lpwstr>Internal Use</vt:lpwstr>
  </property>
  <property fmtid="{D5CDD505-2E9C-101B-9397-08002B2CF9AE}" pid="10" name="MSIP_Label_019c027e-33b7-45fc-a572-8ffa5d09ec36_SiteId">
    <vt:lpwstr>031a09bc-a2bf-44df-888e-4e09355b7a24</vt:lpwstr>
  </property>
  <property fmtid="{D5CDD505-2E9C-101B-9397-08002B2CF9AE}" pid="11" name="MSIP_Label_019c027e-33b7-45fc-a572-8ffa5d09ec36_ActionId">
    <vt:lpwstr>b4289a48-47c0-4132-ac49-7f91bdfcfe48</vt:lpwstr>
  </property>
  <property fmtid="{D5CDD505-2E9C-101B-9397-08002B2CF9AE}" pid="12" name="MSIP_Label_019c027e-33b7-45fc-a572-8ffa5d09ec36_ContentBits">
    <vt:lpwstr>2</vt:lpwstr>
  </property>
  <property fmtid="{D5CDD505-2E9C-101B-9397-08002B2CF9AE}" pid="13" name="MSIP_Label_019c027e-33b7-45fc-a572-8ffa5d09ec36_Tag">
    <vt:lpwstr>10, 3, 0, 2</vt:lpwstr>
  </property>
  <property fmtid="{D5CDD505-2E9C-101B-9397-08002B2CF9AE}" pid="14" name="docLang">
    <vt:lpwstr>en</vt:lpwstr>
  </property>
  <property fmtid="{D5CDD505-2E9C-101B-9397-08002B2CF9AE}" pid="15" name="GrammarlyDocumentId">
    <vt:lpwstr>52b727fd-60e8-424c-890e-a79352d285a1</vt:lpwstr>
  </property>
</Properties>
</file>