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33481" w14:textId="405C4253" w:rsidR="00D6233C" w:rsidRPr="001A0324" w:rsidRDefault="00D6233C" w:rsidP="00D6233C">
      <w:pPr>
        <w:spacing w:before="100" w:beforeAutospacing="1" w:after="100" w:afterAutospacing="1" w:line="240" w:lineRule="auto"/>
        <w:rPr>
          <w:rFonts w:ascii="Times New Roman" w:eastAsia="Times New Roman" w:hAnsi="Times New Roman" w:cs="Times New Roman"/>
          <w:b/>
          <w:bCs/>
          <w:kern w:val="0"/>
          <w14:ligatures w14:val="none"/>
        </w:rPr>
      </w:pPr>
      <w:r w:rsidRPr="001A0324">
        <w:rPr>
          <w:rFonts w:ascii="Times New Roman" w:eastAsia="Times New Roman" w:hAnsi="Times New Roman" w:cs="Times New Roman"/>
          <w:b/>
          <w:bCs/>
          <w:kern w:val="0"/>
          <w14:ligatures w14:val="none"/>
        </w:rPr>
        <w:t>Statistical Methods</w:t>
      </w:r>
    </w:p>
    <w:p w14:paraId="3886DE63" w14:textId="5C6AFB52" w:rsidR="00D6233C" w:rsidRDefault="00D6233C" w:rsidP="00D6233C">
      <w:pPr>
        <w:spacing w:before="100" w:beforeAutospacing="1" w:after="100" w:afterAutospacing="1" w:line="240" w:lineRule="auto"/>
        <w:rPr>
          <w:rFonts w:ascii="Times New Roman" w:eastAsia="Times New Roman" w:hAnsi="Times New Roman" w:cs="Times New Roman"/>
          <w:kern w:val="0"/>
          <w14:ligatures w14:val="none"/>
        </w:rPr>
      </w:pPr>
      <w:r w:rsidRPr="00D6233C">
        <w:rPr>
          <w:rFonts w:ascii="Times New Roman" w:eastAsia="Times New Roman" w:hAnsi="Times New Roman" w:cs="Times New Roman"/>
          <w:kern w:val="0"/>
          <w14:ligatures w14:val="none"/>
        </w:rPr>
        <w:t xml:space="preserve">Descriptive analyses were performed to summarize participant characteristics. Continuous variables were reported as </w:t>
      </w:r>
      <w:r w:rsidR="008B51CB">
        <w:rPr>
          <w:rFonts w:ascii="Times New Roman" w:eastAsia="Times New Roman" w:hAnsi="Times New Roman" w:cs="Times New Roman"/>
          <w:kern w:val="0"/>
          <w14:ligatures w14:val="none"/>
        </w:rPr>
        <w:t xml:space="preserve">means or </w:t>
      </w:r>
      <w:r w:rsidRPr="00D6233C">
        <w:rPr>
          <w:rFonts w:ascii="Times New Roman" w:eastAsia="Times New Roman" w:hAnsi="Times New Roman" w:cs="Times New Roman"/>
          <w:kern w:val="0"/>
          <w14:ligatures w14:val="none"/>
        </w:rPr>
        <w:t>medians with interquartile ranges (IQR), and categorical variables were summarized as counts and percentages.</w:t>
      </w:r>
    </w:p>
    <w:p w14:paraId="039E518E" w14:textId="6C2091D1" w:rsidR="00D6233C" w:rsidRPr="00D6233C" w:rsidRDefault="00D6233C" w:rsidP="00D6233C">
      <w:pPr>
        <w:spacing w:before="100" w:beforeAutospacing="1" w:after="100" w:afterAutospacing="1" w:line="240" w:lineRule="auto"/>
        <w:rPr>
          <w:rFonts w:ascii="Times New Roman" w:eastAsia="Times New Roman" w:hAnsi="Times New Roman" w:cs="Times New Roman"/>
          <w:kern w:val="0"/>
          <w14:ligatures w14:val="none"/>
        </w:rPr>
      </w:pPr>
      <w:r w:rsidRPr="00D6233C">
        <w:rPr>
          <w:rFonts w:ascii="Times New Roman" w:eastAsia="Times New Roman" w:hAnsi="Times New Roman" w:cs="Times New Roman"/>
          <w:kern w:val="0"/>
          <w14:ligatures w14:val="none"/>
        </w:rPr>
        <w:t>We conducted a diagnostic accuracy assessment using logistic regression and receiver operating characteristic (ROC) curve analysis to determine the optimal cutoff value of unmethylated circulating cell-free DNA (% Unmethylated) for identifying individuals at increased risk of diabetes. A logistic regression model was fitted with diabetes risk status as the binary outcome and % Unmethylated as the independent variable. Predicted probabilities from the model were used to derive classification thresholds, and for each threshold, we calculated sensitivity, specificity, positive predictive value (PPV), and negative predictive value (NPV). The Youden Index (sensitivity + specificity − 1) was computed to identify the threshold that maximizes overall diagnostic performance.</w:t>
      </w:r>
    </w:p>
    <w:p w14:paraId="6BAB6E34" w14:textId="77777777" w:rsidR="00D6233C" w:rsidRPr="00D6233C" w:rsidRDefault="00D6233C" w:rsidP="00D6233C">
      <w:pPr>
        <w:spacing w:before="100" w:beforeAutospacing="1" w:after="100" w:afterAutospacing="1" w:line="240" w:lineRule="auto"/>
        <w:rPr>
          <w:rFonts w:ascii="Times New Roman" w:eastAsia="Times New Roman" w:hAnsi="Times New Roman" w:cs="Times New Roman"/>
          <w:kern w:val="0"/>
          <w14:ligatures w14:val="none"/>
        </w:rPr>
      </w:pPr>
      <w:r w:rsidRPr="00D6233C">
        <w:rPr>
          <w:rFonts w:ascii="Times New Roman" w:eastAsia="Times New Roman" w:hAnsi="Times New Roman" w:cs="Times New Roman"/>
          <w:kern w:val="0"/>
          <w14:ligatures w14:val="none"/>
        </w:rPr>
        <w:t>For each estimate (sensitivity, specificity, PPV, and NPV), a 95% confidence interval (CI) was calculated using the Wilson score method. A smoothed Youden Index curve was generated to visualize the tradeoff between thresholds. The area under the ROC curve (AUC) was calculated using DeLong’s method to quantify the overall discriminatory performance of the marker.</w:t>
      </w:r>
    </w:p>
    <w:p w14:paraId="31BAFC79" w14:textId="4574DE27" w:rsidR="00D6233C" w:rsidRPr="00D6233C" w:rsidRDefault="00D6233C" w:rsidP="00D6233C">
      <w:pPr>
        <w:spacing w:before="100" w:beforeAutospacing="1" w:after="100" w:afterAutospacing="1" w:line="240" w:lineRule="auto"/>
        <w:rPr>
          <w:rFonts w:ascii="Times New Roman" w:eastAsia="Times New Roman" w:hAnsi="Times New Roman" w:cs="Times New Roman"/>
          <w:kern w:val="0"/>
          <w14:ligatures w14:val="none"/>
        </w:rPr>
      </w:pPr>
      <w:r w:rsidRPr="00D6233C">
        <w:rPr>
          <w:rFonts w:ascii="Times New Roman" w:eastAsia="Times New Roman" w:hAnsi="Times New Roman" w:cs="Times New Roman"/>
          <w:kern w:val="0"/>
          <w14:ligatures w14:val="none"/>
        </w:rPr>
        <w:t>Recognizing the potential of % Unmethylated as a screening biomarker in population-level settings, we also performed a secondary analysis focused on high sensitivity. We identified all thresholds with sensitivity ≥ 90%, and among them, selected the one with the highest specificity as the screening-optimized cutoff. All analyses were conducted using R.</w:t>
      </w:r>
    </w:p>
    <w:p w14:paraId="29A439A2" w14:textId="0E2590F0" w:rsidR="00D6233C" w:rsidRPr="00D6233C" w:rsidRDefault="00D6233C" w:rsidP="00D6233C">
      <w:pPr>
        <w:spacing w:before="100" w:beforeAutospacing="1" w:after="100" w:afterAutospacing="1" w:line="240" w:lineRule="auto"/>
        <w:rPr>
          <w:rFonts w:ascii="Times New Roman" w:eastAsia="Times New Roman" w:hAnsi="Times New Roman" w:cs="Times New Roman"/>
          <w:b/>
          <w:bCs/>
          <w:kern w:val="0"/>
          <w14:ligatures w14:val="none"/>
        </w:rPr>
      </w:pPr>
      <w:r w:rsidRPr="00D6233C">
        <w:rPr>
          <w:rFonts w:ascii="Times New Roman" w:eastAsia="Times New Roman" w:hAnsi="Times New Roman" w:cs="Times New Roman"/>
          <w:b/>
          <w:bCs/>
          <w:kern w:val="0"/>
          <w14:ligatures w14:val="none"/>
        </w:rPr>
        <w:t>Results</w:t>
      </w:r>
    </w:p>
    <w:p w14:paraId="27A7B005" w14:textId="61D8258B" w:rsidR="00D6233C" w:rsidRPr="00D6233C" w:rsidRDefault="00D6233C" w:rsidP="00D6233C">
      <w:pPr>
        <w:spacing w:before="100" w:beforeAutospacing="1" w:after="100" w:afterAutospacing="1" w:line="240" w:lineRule="auto"/>
        <w:rPr>
          <w:rFonts w:ascii="Times New Roman" w:eastAsia="Times New Roman" w:hAnsi="Times New Roman" w:cs="Times New Roman"/>
          <w:kern w:val="0"/>
          <w14:ligatures w14:val="none"/>
        </w:rPr>
      </w:pPr>
      <w:r w:rsidRPr="00D6233C">
        <w:rPr>
          <w:rFonts w:ascii="Times New Roman" w:eastAsia="Times New Roman" w:hAnsi="Times New Roman" w:cs="Times New Roman"/>
          <w:kern w:val="0"/>
          <w14:ligatures w14:val="none"/>
        </w:rPr>
        <w:t xml:space="preserve">A total of 57 participants were included in the analysis. </w:t>
      </w:r>
      <w:r w:rsidR="00606890" w:rsidRPr="00606890">
        <w:rPr>
          <w:rFonts w:ascii="Times New Roman" w:eastAsia="Times New Roman" w:hAnsi="Times New Roman" w:cs="Times New Roman"/>
          <w:kern w:val="0"/>
          <w14:ligatures w14:val="none"/>
        </w:rPr>
        <w:t>The median age was 40 years (interquartile range [IQR]: 34 to 50.5 years), and the mean age was 42.1 years (range: 19 to 74 years; SD: 13.1). Six participants had missing age information.</w:t>
      </w:r>
      <w:r w:rsidR="00606890">
        <w:rPr>
          <w:rFonts w:ascii="Times New Roman" w:eastAsia="Times New Roman" w:hAnsi="Times New Roman" w:cs="Times New Roman"/>
          <w:kern w:val="0"/>
          <w14:ligatures w14:val="none"/>
        </w:rPr>
        <w:t xml:space="preserve"> </w:t>
      </w:r>
      <w:r w:rsidRPr="00D6233C">
        <w:rPr>
          <w:rFonts w:ascii="Times New Roman" w:eastAsia="Times New Roman" w:hAnsi="Times New Roman" w:cs="Times New Roman"/>
          <w:kern w:val="0"/>
          <w14:ligatures w14:val="none"/>
        </w:rPr>
        <w:t>The sex distribution was balanced, with 50.9% female and 49.1% male. Most participants self-identified as White (71.9%), followed by African American (12.3%), Hispanic (8.8%), Asian (5.3%), and Other (1.8%).</w:t>
      </w:r>
    </w:p>
    <w:p w14:paraId="67187A38" w14:textId="77777777" w:rsidR="00D6233C" w:rsidRPr="00D6233C" w:rsidRDefault="00D6233C" w:rsidP="00D6233C">
      <w:pPr>
        <w:spacing w:before="100" w:beforeAutospacing="1" w:after="100" w:afterAutospacing="1" w:line="240" w:lineRule="auto"/>
        <w:rPr>
          <w:rFonts w:ascii="Times New Roman" w:eastAsia="Times New Roman" w:hAnsi="Times New Roman" w:cs="Times New Roman"/>
          <w:kern w:val="0"/>
          <w14:ligatures w14:val="none"/>
        </w:rPr>
      </w:pPr>
      <w:r w:rsidRPr="00D6233C">
        <w:rPr>
          <w:rFonts w:ascii="Times New Roman" w:eastAsia="Times New Roman" w:hAnsi="Times New Roman" w:cs="Times New Roman"/>
          <w:kern w:val="0"/>
          <w14:ligatures w14:val="none"/>
        </w:rPr>
        <w:t>Of the 57 participants, 23 (40.4%) were classified as being at risk for diabetes. The median % Unmethylated in the entire sample was 8.6% (IQR: 4.5–13.5), ranging from 0.0% to 26.4%. Participants at risk for diabetes had a substantially higher median % Unmethylated (13.1%, IQR: 7.3) compared to those not at risk (5.7%, IQR: 7.8). Males had a slightly higher median % Unmethylated (9.4%, IQR: 6.6) than females (7.8%, IQR: 11.1). By race, the highest median was among Asian participants (13.6%), followed by Other (17.3%, n = 1), White (8.6%), Hispanic (8.9%), and African American (6.7%). Participants aged ≤ 40 years had a median % Unmethylated of 10.2% (IQR: 8.4), compared to 8.7% (IQR: 9.0) among those older than 40. Among participants with missing age data, the median was 4.9% (IQR: 2.2).</w:t>
      </w:r>
    </w:p>
    <w:p w14:paraId="31159E58" w14:textId="77777777" w:rsidR="00D6233C" w:rsidRPr="00D6233C" w:rsidRDefault="00D6233C" w:rsidP="00D6233C">
      <w:pPr>
        <w:spacing w:before="100" w:beforeAutospacing="1" w:after="100" w:afterAutospacing="1" w:line="240" w:lineRule="auto"/>
        <w:rPr>
          <w:rFonts w:ascii="Times New Roman" w:eastAsia="Times New Roman" w:hAnsi="Times New Roman" w:cs="Times New Roman"/>
          <w:kern w:val="0"/>
          <w14:ligatures w14:val="none"/>
        </w:rPr>
      </w:pPr>
      <w:r w:rsidRPr="00D6233C">
        <w:rPr>
          <w:rFonts w:ascii="Times New Roman" w:eastAsia="Times New Roman" w:hAnsi="Times New Roman" w:cs="Times New Roman"/>
          <w:kern w:val="0"/>
          <w14:ligatures w14:val="none"/>
        </w:rPr>
        <w:lastRenderedPageBreak/>
        <w:t>The area under the ROC curve (AUC) for % Unmethylated was 0.9041 (95% CI: 0.8273–0.9809), indicating excellent discrimination. The optimal cutoff based on the maximum Youden Index was 9.98%, which yielded a sensitivity of 87.0% (95% CI: 67.9–95.5) and specificity of 85.3% (95% CI: 69.9–93.6), corresponding to a Youden Index of 0.723.</w:t>
      </w:r>
    </w:p>
    <w:p w14:paraId="2568744E" w14:textId="77777777" w:rsidR="00D6233C" w:rsidRPr="00D6233C" w:rsidRDefault="00D6233C" w:rsidP="00D6233C">
      <w:pPr>
        <w:spacing w:before="100" w:beforeAutospacing="1" w:after="100" w:afterAutospacing="1" w:line="240" w:lineRule="auto"/>
        <w:rPr>
          <w:rFonts w:ascii="Times New Roman" w:eastAsia="Times New Roman" w:hAnsi="Times New Roman" w:cs="Times New Roman"/>
          <w:kern w:val="0"/>
          <w14:ligatures w14:val="none"/>
        </w:rPr>
      </w:pPr>
      <w:r w:rsidRPr="00D6233C">
        <w:rPr>
          <w:rFonts w:ascii="Times New Roman" w:eastAsia="Times New Roman" w:hAnsi="Times New Roman" w:cs="Times New Roman"/>
          <w:kern w:val="0"/>
          <w14:ligatures w14:val="none"/>
        </w:rPr>
        <w:t>For screening applications prioritizing sensitivity, a cutoff of 8.6% was selected. This threshold provided a sensitivity of 91.3% (95% CI: 73.2–97.6), specificity of 76.5% (95% CI: 60.0–87.6), PPV of 72.4% (95% CI: 54.3–85.3), and NPV of 92.9% (95% CI: 77.4–98.0), with a corresponding Youden Index of 0.6777.</w:t>
      </w:r>
    </w:p>
    <w:p w14:paraId="3342A21D" w14:textId="77777777" w:rsidR="00D6233C" w:rsidRPr="00D6233C" w:rsidRDefault="00D6233C" w:rsidP="00D6233C">
      <w:pPr>
        <w:spacing w:before="100" w:beforeAutospacing="1" w:after="100" w:afterAutospacing="1" w:line="240" w:lineRule="auto"/>
        <w:rPr>
          <w:rFonts w:ascii="Times New Roman" w:eastAsia="Times New Roman" w:hAnsi="Times New Roman" w:cs="Times New Roman"/>
          <w:kern w:val="0"/>
          <w14:ligatures w14:val="none"/>
        </w:rPr>
      </w:pPr>
      <w:r w:rsidRPr="00D6233C">
        <w:rPr>
          <w:rFonts w:ascii="Times New Roman" w:eastAsia="Times New Roman" w:hAnsi="Times New Roman" w:cs="Times New Roman"/>
          <w:kern w:val="0"/>
          <w14:ligatures w14:val="none"/>
        </w:rPr>
        <w:t>A summary plot of the Youden Index across cutoffs is presented in Figure X, and detailed threshold-level diagnostic metrics, including 95% CIs, are provided in the supplementary materials.</w:t>
      </w:r>
    </w:p>
    <w:p w14:paraId="2187FF7C" w14:textId="43899211" w:rsidR="00D6233C" w:rsidRPr="008A3424" w:rsidRDefault="008B5C85" w:rsidP="008A342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0FB560BC" wp14:editId="372CCF64">
            <wp:extent cx="3291840" cy="2743200"/>
            <wp:effectExtent l="0" t="0" r="0" b="0"/>
            <wp:docPr id="7002668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66899" name="Picture 700266899"/>
                    <pic:cNvPicPr/>
                  </pic:nvPicPr>
                  <pic:blipFill>
                    <a:blip r:embed="rId5"/>
                    <a:stretch>
                      <a:fillRect/>
                    </a:stretch>
                  </pic:blipFill>
                  <pic:spPr>
                    <a:xfrm>
                      <a:off x="0" y="0"/>
                      <a:ext cx="3310931" cy="2759109"/>
                    </a:xfrm>
                    <a:prstGeom prst="rect">
                      <a:avLst/>
                    </a:prstGeom>
                  </pic:spPr>
                </pic:pic>
              </a:graphicData>
            </a:graphic>
          </wp:inline>
        </w:drawing>
      </w:r>
      <w:r>
        <w:rPr>
          <w:rFonts w:ascii="Times New Roman" w:eastAsia="Times New Roman" w:hAnsi="Times New Roman" w:cs="Times New Roman"/>
          <w:noProof/>
          <w:kern w:val="0"/>
        </w:rPr>
        <w:drawing>
          <wp:inline distT="0" distB="0" distL="0" distR="0" wp14:anchorId="3D6BC905" wp14:editId="435FD1FC">
            <wp:extent cx="3157087" cy="2367815"/>
            <wp:effectExtent l="0" t="0" r="0" b="0"/>
            <wp:docPr id="157928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83714" name="Picture 1579283714"/>
                    <pic:cNvPicPr/>
                  </pic:nvPicPr>
                  <pic:blipFill>
                    <a:blip r:embed="rId6"/>
                    <a:stretch>
                      <a:fillRect/>
                    </a:stretch>
                  </pic:blipFill>
                  <pic:spPr>
                    <a:xfrm>
                      <a:off x="0" y="0"/>
                      <a:ext cx="3169699" cy="2377274"/>
                    </a:xfrm>
                    <a:prstGeom prst="rect">
                      <a:avLst/>
                    </a:prstGeom>
                  </pic:spPr>
                </pic:pic>
              </a:graphicData>
            </a:graphic>
          </wp:inline>
        </w:drawing>
      </w:r>
    </w:p>
    <w:sectPr w:rsidR="00D6233C" w:rsidRPr="008A34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D34DD"/>
    <w:multiLevelType w:val="multilevel"/>
    <w:tmpl w:val="831C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D678C6"/>
    <w:multiLevelType w:val="multilevel"/>
    <w:tmpl w:val="4FD28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D45AFD"/>
    <w:multiLevelType w:val="multilevel"/>
    <w:tmpl w:val="E58E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5339408">
    <w:abstractNumId w:val="1"/>
  </w:num>
  <w:num w:numId="2" w16cid:durableId="2138912405">
    <w:abstractNumId w:val="0"/>
  </w:num>
  <w:num w:numId="3" w16cid:durableId="16730292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413"/>
    <w:rsid w:val="00066794"/>
    <w:rsid w:val="001A0324"/>
    <w:rsid w:val="001A71C2"/>
    <w:rsid w:val="003818BD"/>
    <w:rsid w:val="003D1AF8"/>
    <w:rsid w:val="00606890"/>
    <w:rsid w:val="008A3424"/>
    <w:rsid w:val="008B51CB"/>
    <w:rsid w:val="008B5C85"/>
    <w:rsid w:val="008D01D4"/>
    <w:rsid w:val="00A375AF"/>
    <w:rsid w:val="00BB3413"/>
    <w:rsid w:val="00D6233C"/>
    <w:rsid w:val="00EF231D"/>
    <w:rsid w:val="00FC5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121F9"/>
  <w15:chartTrackingRefBased/>
  <w15:docId w15:val="{458E4473-CC54-48DF-9F50-75B88BC42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4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34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34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34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4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4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4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4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4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4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34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34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4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4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4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4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4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413"/>
    <w:rPr>
      <w:rFonts w:eastAsiaTheme="majorEastAsia" w:cstheme="majorBidi"/>
      <w:color w:val="272727" w:themeColor="text1" w:themeTint="D8"/>
    </w:rPr>
  </w:style>
  <w:style w:type="paragraph" w:styleId="Title">
    <w:name w:val="Title"/>
    <w:basedOn w:val="Normal"/>
    <w:next w:val="Normal"/>
    <w:link w:val="TitleChar"/>
    <w:uiPriority w:val="10"/>
    <w:qFormat/>
    <w:rsid w:val="00BB34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4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4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4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413"/>
    <w:pPr>
      <w:spacing w:before="160"/>
      <w:jc w:val="center"/>
    </w:pPr>
    <w:rPr>
      <w:i/>
      <w:iCs/>
      <w:color w:val="404040" w:themeColor="text1" w:themeTint="BF"/>
    </w:rPr>
  </w:style>
  <w:style w:type="character" w:customStyle="1" w:styleId="QuoteChar">
    <w:name w:val="Quote Char"/>
    <w:basedOn w:val="DefaultParagraphFont"/>
    <w:link w:val="Quote"/>
    <w:uiPriority w:val="29"/>
    <w:rsid w:val="00BB3413"/>
    <w:rPr>
      <w:i/>
      <w:iCs/>
      <w:color w:val="404040" w:themeColor="text1" w:themeTint="BF"/>
    </w:rPr>
  </w:style>
  <w:style w:type="paragraph" w:styleId="ListParagraph">
    <w:name w:val="List Paragraph"/>
    <w:basedOn w:val="Normal"/>
    <w:uiPriority w:val="34"/>
    <w:qFormat/>
    <w:rsid w:val="00BB3413"/>
    <w:pPr>
      <w:ind w:left="720"/>
      <w:contextualSpacing/>
    </w:pPr>
  </w:style>
  <w:style w:type="character" w:styleId="IntenseEmphasis">
    <w:name w:val="Intense Emphasis"/>
    <w:basedOn w:val="DefaultParagraphFont"/>
    <w:uiPriority w:val="21"/>
    <w:qFormat/>
    <w:rsid w:val="00BB3413"/>
    <w:rPr>
      <w:i/>
      <w:iCs/>
      <w:color w:val="0F4761" w:themeColor="accent1" w:themeShade="BF"/>
    </w:rPr>
  </w:style>
  <w:style w:type="paragraph" w:styleId="IntenseQuote">
    <w:name w:val="Intense Quote"/>
    <w:basedOn w:val="Normal"/>
    <w:next w:val="Normal"/>
    <w:link w:val="IntenseQuoteChar"/>
    <w:uiPriority w:val="30"/>
    <w:qFormat/>
    <w:rsid w:val="00BB34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413"/>
    <w:rPr>
      <w:i/>
      <w:iCs/>
      <w:color w:val="0F4761" w:themeColor="accent1" w:themeShade="BF"/>
    </w:rPr>
  </w:style>
  <w:style w:type="character" w:styleId="IntenseReference">
    <w:name w:val="Intense Reference"/>
    <w:basedOn w:val="DefaultParagraphFont"/>
    <w:uiPriority w:val="32"/>
    <w:qFormat/>
    <w:rsid w:val="00BB3413"/>
    <w:rPr>
      <w:b/>
      <w:bCs/>
      <w:smallCaps/>
      <w:color w:val="0F4761" w:themeColor="accent1" w:themeShade="BF"/>
      <w:spacing w:val="5"/>
    </w:rPr>
  </w:style>
  <w:style w:type="paragraph" w:styleId="NormalWeb">
    <w:name w:val="Normal (Web)"/>
    <w:basedOn w:val="Normal"/>
    <w:uiPriority w:val="99"/>
    <w:unhideWhenUsed/>
    <w:rsid w:val="003818B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818BD"/>
    <w:rPr>
      <w:b/>
      <w:bCs/>
    </w:rPr>
  </w:style>
  <w:style w:type="character" w:styleId="Emphasis">
    <w:name w:val="Emphasis"/>
    <w:basedOn w:val="DefaultParagraphFont"/>
    <w:uiPriority w:val="20"/>
    <w:qFormat/>
    <w:rsid w:val="008A342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07227">
      <w:bodyDiv w:val="1"/>
      <w:marLeft w:val="0"/>
      <w:marRight w:val="0"/>
      <w:marTop w:val="0"/>
      <w:marBottom w:val="0"/>
      <w:divBdr>
        <w:top w:val="none" w:sz="0" w:space="0" w:color="auto"/>
        <w:left w:val="none" w:sz="0" w:space="0" w:color="auto"/>
        <w:bottom w:val="none" w:sz="0" w:space="0" w:color="auto"/>
        <w:right w:val="none" w:sz="0" w:space="0" w:color="auto"/>
      </w:divBdr>
    </w:div>
    <w:div w:id="339547152">
      <w:bodyDiv w:val="1"/>
      <w:marLeft w:val="0"/>
      <w:marRight w:val="0"/>
      <w:marTop w:val="0"/>
      <w:marBottom w:val="0"/>
      <w:divBdr>
        <w:top w:val="none" w:sz="0" w:space="0" w:color="auto"/>
        <w:left w:val="none" w:sz="0" w:space="0" w:color="auto"/>
        <w:bottom w:val="none" w:sz="0" w:space="0" w:color="auto"/>
        <w:right w:val="none" w:sz="0" w:space="0" w:color="auto"/>
      </w:divBdr>
    </w:div>
    <w:div w:id="496309260">
      <w:bodyDiv w:val="1"/>
      <w:marLeft w:val="0"/>
      <w:marRight w:val="0"/>
      <w:marTop w:val="0"/>
      <w:marBottom w:val="0"/>
      <w:divBdr>
        <w:top w:val="none" w:sz="0" w:space="0" w:color="auto"/>
        <w:left w:val="none" w:sz="0" w:space="0" w:color="auto"/>
        <w:bottom w:val="none" w:sz="0" w:space="0" w:color="auto"/>
        <w:right w:val="none" w:sz="0" w:space="0" w:color="auto"/>
      </w:divBdr>
    </w:div>
    <w:div w:id="1551725869">
      <w:bodyDiv w:val="1"/>
      <w:marLeft w:val="0"/>
      <w:marRight w:val="0"/>
      <w:marTop w:val="0"/>
      <w:marBottom w:val="0"/>
      <w:divBdr>
        <w:top w:val="none" w:sz="0" w:space="0" w:color="auto"/>
        <w:left w:val="none" w:sz="0" w:space="0" w:color="auto"/>
        <w:bottom w:val="none" w:sz="0" w:space="0" w:color="auto"/>
        <w:right w:val="none" w:sz="0" w:space="0" w:color="auto"/>
      </w:divBdr>
    </w:div>
    <w:div w:id="2084989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431</TotalTime>
  <Pages>2</Pages>
  <Words>574</Words>
  <Characters>3276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Missikpode, Celestin</dc:creator>
  <cp:keywords/>
  <dc:description/>
  <cp:lastModifiedBy>Clifford Morris PhD</cp:lastModifiedBy>
  <cp:revision>10</cp:revision>
  <dcterms:created xsi:type="dcterms:W3CDTF">2025-06-19T05:55:00Z</dcterms:created>
  <dcterms:modified xsi:type="dcterms:W3CDTF">2025-10-28T14:03:00Z</dcterms:modified>
</cp:coreProperties>
</file>