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MERIDIAN PARTS  /  BOARD DECISION NOTE</w:t>
      </w:r>
    </w:p>
    <w:p>
      <w:pPr>
        <w:pStyle w:val="Title"/>
      </w:pPr>
      <w:r>
        <w:t>European service-hub expansion</w:t>
      </w:r>
    </w:p>
    <w:p>
      <w:pPr>
        <w:pStyle w:val="Subtitle"/>
      </w:pPr>
      <w:r>
        <w:t>Decision brief • 27 September 2026 • Analysis of 2025 shipments and returns through 31 January 2026</w:t>
      </w:r>
    </w:p>
    <w:p>
      <w:pPr>
        <w:pStyle w:val="Heading1"/>
      </w:pPr>
      <w:r>
        <w:t>Recommendation: stage an envelope for NLD + ESP, pilot Spain first with country-specific reversible tests in the Netherlands, and release site capex only after the 90-day gates. This pair has the highest minimum annual increment across the supplied low/base/high/stress cases while staying under both caps: minimum €43,994, base €166,931, stress €107,630, on €270,000 capex and 6 FTE. These are scenario calculations, not a causal hub forecast.</w:t>
      </w:r>
    </w:p>
    <w:p>
      <w:r>
        <w:t>Board choice. With no board probability weights, the recommendation uses the feasible combination with the highest minimum across the specified low/base/high/stress cases. This favors resilience across the published cases and is an explicit judgment, not a statistical result. CZE + ESP is the strongest alternative by base contribution and adds EUR31,168/year in the base case, but its stress increment is EUR75,450/year lower. Defer remains available. The hard caps—EUR450,000 capex, seven FTE and at most two hubs—are met; additive economics assume no pair synergy.</w:t>
      </w:r>
    </w:p>
    <w:tbl>
      <w:tblPr>
        <w:tblStyle w:val="LightShading-Accent1"/>
        <w:tblW w:type="auto" w:w="0"/>
        <w:tblLook w:firstColumn="1" w:firstRow="1" w:lastColumn="0" w:lastRow="0" w:noHBand="0" w:noVBand="1" w:val="04A0"/>
      </w:tblPr>
      <w:tblGrid>
        <w:gridCol w:w="1452"/>
        <w:gridCol w:w="1452"/>
        <w:gridCol w:w="1452"/>
        <w:gridCol w:w="1452"/>
        <w:gridCol w:w="1452"/>
        <w:gridCol w:w="1452"/>
        <w:gridCol w:w="1452"/>
      </w:tblGrid>
      <w:tr>
        <w:tc>
          <w:tcPr>
            <w:tcW w:type="dxa" w:w="1452"/>
          </w:tcPr>
          <w:p>
            <w:pPr>
              <w:spacing w:after="20"/>
            </w:pPr>
            <w:r>
              <w:rPr>
                <w:sz w:val="16"/>
              </w:rPr>
              <w:t>Alternative</w:t>
            </w:r>
          </w:p>
        </w:tc>
        <w:tc>
          <w:tcPr>
            <w:tcW w:type="dxa" w:w="1452"/>
          </w:tcPr>
          <w:p>
            <w:pPr>
              <w:spacing w:after="20"/>
            </w:pPr>
            <w:r>
              <w:rPr>
                <w:sz w:val="16"/>
              </w:rPr>
              <w:t>Capex</w:t>
            </w:r>
          </w:p>
        </w:tc>
        <w:tc>
          <w:tcPr>
            <w:tcW w:type="dxa" w:w="1452"/>
          </w:tcPr>
          <w:p>
            <w:pPr>
              <w:spacing w:after="20"/>
            </w:pPr>
            <w:r>
              <w:rPr>
                <w:sz w:val="16"/>
              </w:rPr>
              <w:t>FTE</w:t>
            </w:r>
          </w:p>
        </w:tc>
        <w:tc>
          <w:tcPr>
            <w:tcW w:type="dxa" w:w="1452"/>
          </w:tcPr>
          <w:p>
            <w:pPr>
              <w:spacing w:after="20"/>
            </w:pPr>
            <w:r>
              <w:rPr>
                <w:sz w:val="16"/>
              </w:rPr>
              <w:t>Low / year</w:t>
            </w:r>
          </w:p>
        </w:tc>
        <w:tc>
          <w:tcPr>
            <w:tcW w:type="dxa" w:w="1452"/>
          </w:tcPr>
          <w:p>
            <w:pPr>
              <w:spacing w:after="20"/>
            </w:pPr>
            <w:r>
              <w:rPr>
                <w:sz w:val="16"/>
              </w:rPr>
              <w:t>Base / year</w:t>
            </w:r>
          </w:p>
        </w:tc>
        <w:tc>
          <w:tcPr>
            <w:tcW w:type="dxa" w:w="1452"/>
          </w:tcPr>
          <w:p>
            <w:pPr>
              <w:spacing w:after="20"/>
            </w:pPr>
            <w:r>
              <w:rPr>
                <w:sz w:val="16"/>
              </w:rPr>
              <w:t>High / year</w:t>
            </w:r>
          </w:p>
        </w:tc>
        <w:tc>
          <w:tcPr>
            <w:tcW w:type="dxa" w:w="1452"/>
          </w:tcPr>
          <w:p>
            <w:pPr>
              <w:spacing w:after="20"/>
            </w:pPr>
            <w:r>
              <w:rPr>
                <w:sz w:val="16"/>
              </w:rPr>
              <w:t>Stress / year</w:t>
            </w:r>
          </w:p>
        </w:tc>
      </w:tr>
      <w:tr>
        <w:tc>
          <w:tcPr>
            <w:tcW w:type="dxa" w:w="1452"/>
          </w:tcPr>
          <w:p>
            <w:pPr>
              <w:spacing w:after="20"/>
            </w:pPr>
            <w:r>
              <w:rPr>
                <w:sz w:val="16"/>
              </w:rPr>
              <w:t>CZE + ESP</w:t>
            </w:r>
          </w:p>
        </w:tc>
        <w:tc>
          <w:tcPr>
            <w:tcW w:type="dxa" w:w="1452"/>
          </w:tcPr>
          <w:p>
            <w:pPr>
              <w:spacing w:after="20"/>
            </w:pPr>
            <w:r>
              <w:rPr>
                <w:sz w:val="16"/>
              </w:rPr>
              <w:t>€225,000</w:t>
            </w:r>
          </w:p>
        </w:tc>
        <w:tc>
          <w:tcPr>
            <w:tcW w:type="dxa" w:w="1452"/>
          </w:tcPr>
          <w:p>
            <w:pPr>
              <w:spacing w:after="20"/>
            </w:pPr>
            <w:r>
              <w:rPr>
                <w:sz w:val="16"/>
              </w:rPr>
              <w:t>5</w:t>
            </w:r>
          </w:p>
        </w:tc>
        <w:tc>
          <w:tcPr>
            <w:tcW w:type="dxa" w:w="1452"/>
          </w:tcPr>
          <w:p>
            <w:pPr>
              <w:spacing w:after="20"/>
            </w:pPr>
            <w:r>
              <w:rPr>
                <w:sz w:val="16"/>
              </w:rPr>
              <w:t>€64,619</w:t>
            </w:r>
          </w:p>
        </w:tc>
        <w:tc>
          <w:tcPr>
            <w:tcW w:type="dxa" w:w="1452"/>
          </w:tcPr>
          <w:p>
            <w:pPr>
              <w:spacing w:after="20"/>
            </w:pPr>
            <w:r>
              <w:rPr>
                <w:sz w:val="16"/>
              </w:rPr>
              <w:t>€198,099</w:t>
            </w:r>
          </w:p>
        </w:tc>
        <w:tc>
          <w:tcPr>
            <w:tcW w:type="dxa" w:w="1452"/>
          </w:tcPr>
          <w:p>
            <w:pPr>
              <w:spacing w:after="20"/>
            </w:pPr>
            <w:r>
              <w:rPr>
                <w:sz w:val="16"/>
              </w:rPr>
              <w:t>€331,580</w:t>
            </w:r>
          </w:p>
        </w:tc>
        <w:tc>
          <w:tcPr>
            <w:tcW w:type="dxa" w:w="1452"/>
          </w:tcPr>
          <w:p>
            <w:pPr>
              <w:spacing w:after="20"/>
            </w:pPr>
            <w:r>
              <w:rPr>
                <w:sz w:val="16"/>
              </w:rPr>
              <w:t>€32,180</w:t>
            </w:r>
          </w:p>
        </w:tc>
      </w:tr>
      <w:tr>
        <w:tc>
          <w:tcPr>
            <w:tcW w:type="dxa" w:w="1452"/>
          </w:tcPr>
          <w:p>
            <w:pPr>
              <w:spacing w:after="20"/>
            </w:pPr>
            <w:r>
              <w:rPr>
                <w:sz w:val="16"/>
              </w:rPr>
              <w:t>POL + ESP</w:t>
            </w:r>
          </w:p>
        </w:tc>
        <w:tc>
          <w:tcPr>
            <w:tcW w:type="dxa" w:w="1452"/>
          </w:tcPr>
          <w:p>
            <w:pPr>
              <w:spacing w:after="20"/>
            </w:pPr>
            <w:r>
              <w:rPr>
                <w:sz w:val="16"/>
              </w:rPr>
              <w:t>€240,000</w:t>
            </w:r>
          </w:p>
        </w:tc>
        <w:tc>
          <w:tcPr>
            <w:tcW w:type="dxa" w:w="1452"/>
          </w:tcPr>
          <w:p>
            <w:pPr>
              <w:spacing w:after="20"/>
            </w:pPr>
            <w:r>
              <w:rPr>
                <w:sz w:val="16"/>
              </w:rPr>
              <w:t>6</w:t>
            </w:r>
          </w:p>
        </w:tc>
        <w:tc>
          <w:tcPr>
            <w:tcW w:type="dxa" w:w="1452"/>
          </w:tcPr>
          <w:p>
            <w:pPr>
              <w:spacing w:after="20"/>
            </w:pPr>
            <w:r>
              <w:rPr>
                <w:sz w:val="16"/>
              </w:rPr>
              <w:t>€58,562</w:t>
            </w:r>
          </w:p>
        </w:tc>
        <w:tc>
          <w:tcPr>
            <w:tcW w:type="dxa" w:w="1452"/>
          </w:tcPr>
          <w:p>
            <w:pPr>
              <w:spacing w:after="20"/>
            </w:pPr>
            <w:r>
              <w:rPr>
                <w:sz w:val="16"/>
              </w:rPr>
              <w:t>€186,329</w:t>
            </w:r>
          </w:p>
        </w:tc>
        <w:tc>
          <w:tcPr>
            <w:tcW w:type="dxa" w:w="1452"/>
          </w:tcPr>
          <w:p>
            <w:pPr>
              <w:spacing w:after="20"/>
            </w:pPr>
            <w:r>
              <w:rPr>
                <w:sz w:val="16"/>
              </w:rPr>
              <w:t>€314,096</w:t>
            </w:r>
          </w:p>
        </w:tc>
        <w:tc>
          <w:tcPr>
            <w:tcW w:type="dxa" w:w="1452"/>
          </w:tcPr>
          <w:p>
            <w:pPr>
              <w:spacing w:after="20"/>
            </w:pPr>
            <w:r>
              <w:rPr>
                <w:sz w:val="16"/>
              </w:rPr>
              <w:t>€29,264</w:t>
            </w:r>
          </w:p>
        </w:tc>
      </w:tr>
      <w:tr>
        <w:tc>
          <w:tcPr>
            <w:tcW w:type="dxa" w:w="1452"/>
          </w:tcPr>
          <w:p>
            <w:pPr>
              <w:spacing w:after="20"/>
            </w:pPr>
            <w:r>
              <w:rPr>
                <w:sz w:val="16"/>
              </w:rPr>
              <w:t>POL + CZE</w:t>
            </w:r>
          </w:p>
        </w:tc>
        <w:tc>
          <w:tcPr>
            <w:tcW w:type="dxa" w:w="1452"/>
          </w:tcPr>
          <w:p>
            <w:pPr>
              <w:spacing w:after="20"/>
            </w:pPr>
            <w:r>
              <w:rPr>
                <w:sz w:val="16"/>
              </w:rPr>
              <w:t>€205,000</w:t>
            </w:r>
          </w:p>
        </w:tc>
        <w:tc>
          <w:tcPr>
            <w:tcW w:type="dxa" w:w="1452"/>
          </w:tcPr>
          <w:p>
            <w:pPr>
              <w:spacing w:after="20"/>
            </w:pPr>
            <w:r>
              <w:rPr>
                <w:sz w:val="16"/>
              </w:rPr>
              <w:t>5</w:t>
            </w:r>
          </w:p>
        </w:tc>
        <w:tc>
          <w:tcPr>
            <w:tcW w:type="dxa" w:w="1452"/>
          </w:tcPr>
          <w:p>
            <w:pPr>
              <w:spacing w:after="20"/>
            </w:pPr>
            <w:r>
              <w:rPr>
                <w:sz w:val="16"/>
              </w:rPr>
              <w:t>€56,856</w:t>
            </w:r>
          </w:p>
        </w:tc>
        <w:tc>
          <w:tcPr>
            <w:tcW w:type="dxa" w:w="1452"/>
          </w:tcPr>
          <w:p>
            <w:pPr>
              <w:spacing w:after="20"/>
            </w:pPr>
            <w:r>
              <w:rPr>
                <w:sz w:val="16"/>
              </w:rPr>
              <w:t>€178,995</w:t>
            </w:r>
          </w:p>
        </w:tc>
        <w:tc>
          <w:tcPr>
            <w:tcW w:type="dxa" w:w="1452"/>
          </w:tcPr>
          <w:p>
            <w:pPr>
              <w:spacing w:after="20"/>
            </w:pPr>
            <w:r>
              <w:rPr>
                <w:sz w:val="16"/>
              </w:rPr>
              <w:t>€301,134</w:t>
            </w:r>
          </w:p>
        </w:tc>
        <w:tc>
          <w:tcPr>
            <w:tcW w:type="dxa" w:w="1452"/>
          </w:tcPr>
          <w:p>
            <w:pPr>
              <w:spacing w:after="20"/>
            </w:pPr>
            <w:r>
              <w:rPr>
                <w:sz w:val="16"/>
              </w:rPr>
              <w:t>€-78,570</w:t>
            </w:r>
          </w:p>
        </w:tc>
      </w:tr>
      <w:tr>
        <w:tc>
          <w:tcPr>
            <w:tcW w:type="dxa" w:w="1452"/>
          </w:tcPr>
          <w:p>
            <w:pPr>
              <w:spacing w:after="20"/>
            </w:pPr>
            <w:r>
              <w:rPr>
                <w:sz w:val="16"/>
              </w:rPr>
              <w:t>NLD + ESP</w:t>
            </w:r>
          </w:p>
        </w:tc>
        <w:tc>
          <w:tcPr>
            <w:tcW w:type="dxa" w:w="1452"/>
          </w:tcPr>
          <w:p>
            <w:pPr>
              <w:spacing w:after="20"/>
            </w:pPr>
            <w:r>
              <w:rPr>
                <w:sz w:val="16"/>
              </w:rPr>
              <w:t>€270,000</w:t>
            </w:r>
          </w:p>
        </w:tc>
        <w:tc>
          <w:tcPr>
            <w:tcW w:type="dxa" w:w="1452"/>
          </w:tcPr>
          <w:p>
            <w:pPr>
              <w:spacing w:after="20"/>
            </w:pPr>
            <w:r>
              <w:rPr>
                <w:sz w:val="16"/>
              </w:rPr>
              <w:t>6</w:t>
            </w:r>
          </w:p>
        </w:tc>
        <w:tc>
          <w:tcPr>
            <w:tcW w:type="dxa" w:w="1452"/>
          </w:tcPr>
          <w:p>
            <w:pPr>
              <w:spacing w:after="20"/>
            </w:pPr>
            <w:r>
              <w:rPr>
                <w:sz w:val="16"/>
              </w:rPr>
              <w:t>€43,994</w:t>
            </w:r>
          </w:p>
        </w:tc>
        <w:tc>
          <w:tcPr>
            <w:tcW w:type="dxa" w:w="1452"/>
          </w:tcPr>
          <w:p>
            <w:pPr>
              <w:spacing w:after="20"/>
            </w:pPr>
            <w:r>
              <w:rPr>
                <w:sz w:val="16"/>
              </w:rPr>
              <w:t>€166,931</w:t>
            </w:r>
          </w:p>
        </w:tc>
        <w:tc>
          <w:tcPr>
            <w:tcW w:type="dxa" w:w="1452"/>
          </w:tcPr>
          <w:p>
            <w:pPr>
              <w:spacing w:after="20"/>
            </w:pPr>
            <w:r>
              <w:rPr>
                <w:sz w:val="16"/>
              </w:rPr>
              <w:t>€289,869</w:t>
            </w:r>
          </w:p>
        </w:tc>
        <w:tc>
          <w:tcPr>
            <w:tcW w:type="dxa" w:w="1452"/>
          </w:tcPr>
          <w:p>
            <w:pPr>
              <w:spacing w:after="20"/>
            </w:pPr>
            <w:r>
              <w:rPr>
                <w:sz w:val="16"/>
              </w:rPr>
              <w:t>€107,630</w:t>
            </w:r>
          </w:p>
        </w:tc>
      </w:tr>
      <w:tr>
        <w:tc>
          <w:tcPr>
            <w:tcW w:type="dxa" w:w="1452"/>
          </w:tcPr>
          <w:p>
            <w:pPr>
              <w:spacing w:after="20"/>
            </w:pPr>
            <w:r>
              <w:rPr>
                <w:sz w:val="16"/>
              </w:rPr>
              <w:t>NLD + CZE</w:t>
            </w:r>
          </w:p>
        </w:tc>
        <w:tc>
          <w:tcPr>
            <w:tcW w:type="dxa" w:w="1452"/>
          </w:tcPr>
          <w:p>
            <w:pPr>
              <w:spacing w:after="20"/>
            </w:pPr>
            <w:r>
              <w:rPr>
                <w:sz w:val="16"/>
              </w:rPr>
              <w:t>€235,000</w:t>
            </w:r>
          </w:p>
        </w:tc>
        <w:tc>
          <w:tcPr>
            <w:tcW w:type="dxa" w:w="1452"/>
          </w:tcPr>
          <w:p>
            <w:pPr>
              <w:spacing w:after="20"/>
            </w:pPr>
            <w:r>
              <w:rPr>
                <w:sz w:val="16"/>
              </w:rPr>
              <w:t>5</w:t>
            </w:r>
          </w:p>
        </w:tc>
        <w:tc>
          <w:tcPr>
            <w:tcW w:type="dxa" w:w="1452"/>
          </w:tcPr>
          <w:p>
            <w:pPr>
              <w:spacing w:after="20"/>
            </w:pPr>
            <w:r>
              <w:rPr>
                <w:sz w:val="16"/>
              </w:rPr>
              <w:t>€42,289</w:t>
            </w:r>
          </w:p>
        </w:tc>
        <w:tc>
          <w:tcPr>
            <w:tcW w:type="dxa" w:w="1452"/>
          </w:tcPr>
          <w:p>
            <w:pPr>
              <w:spacing w:after="20"/>
            </w:pPr>
            <w:r>
              <w:rPr>
                <w:sz w:val="16"/>
              </w:rPr>
              <w:t>€159,598</w:t>
            </w:r>
          </w:p>
        </w:tc>
        <w:tc>
          <w:tcPr>
            <w:tcW w:type="dxa" w:w="1452"/>
          </w:tcPr>
          <w:p>
            <w:pPr>
              <w:spacing w:after="20"/>
            </w:pPr>
            <w:r>
              <w:rPr>
                <w:sz w:val="16"/>
              </w:rPr>
              <w:t>€276,907</w:t>
            </w:r>
          </w:p>
        </w:tc>
        <w:tc>
          <w:tcPr>
            <w:tcW w:type="dxa" w:w="1452"/>
          </w:tcPr>
          <w:p>
            <w:pPr>
              <w:spacing w:after="20"/>
            </w:pPr>
            <w:r>
              <w:rPr>
                <w:sz w:val="16"/>
              </w:rPr>
              <w:t>€-203</w:t>
            </w:r>
          </w:p>
        </w:tc>
      </w:tr>
      <w:tr>
        <w:tc>
          <w:tcPr>
            <w:tcW w:type="dxa" w:w="1452"/>
          </w:tcPr>
          <w:p>
            <w:pPr>
              <w:spacing w:after="20"/>
            </w:pPr>
            <w:r>
              <w:rPr>
                <w:sz w:val="16"/>
              </w:rPr>
              <w:t>NLD + POL</w:t>
            </w:r>
          </w:p>
        </w:tc>
        <w:tc>
          <w:tcPr>
            <w:tcW w:type="dxa" w:w="1452"/>
          </w:tcPr>
          <w:p>
            <w:pPr>
              <w:spacing w:after="20"/>
            </w:pPr>
            <w:r>
              <w:rPr>
                <w:sz w:val="16"/>
              </w:rPr>
              <w:t>€250,000</w:t>
            </w:r>
          </w:p>
        </w:tc>
        <w:tc>
          <w:tcPr>
            <w:tcW w:type="dxa" w:w="1452"/>
          </w:tcPr>
          <w:p>
            <w:pPr>
              <w:spacing w:after="20"/>
            </w:pPr>
            <w:r>
              <w:rPr>
                <w:sz w:val="16"/>
              </w:rPr>
              <w:t>6</w:t>
            </w:r>
          </w:p>
        </w:tc>
        <w:tc>
          <w:tcPr>
            <w:tcW w:type="dxa" w:w="1452"/>
          </w:tcPr>
          <w:p>
            <w:pPr>
              <w:spacing w:after="20"/>
            </w:pPr>
            <w:r>
              <w:rPr>
                <w:sz w:val="16"/>
              </w:rPr>
              <w:t>€36,232</w:t>
            </w:r>
          </w:p>
        </w:tc>
        <w:tc>
          <w:tcPr>
            <w:tcW w:type="dxa" w:w="1452"/>
          </w:tcPr>
          <w:p>
            <w:pPr>
              <w:spacing w:after="20"/>
            </w:pPr>
            <w:r>
              <w:rPr>
                <w:sz w:val="16"/>
              </w:rPr>
              <w:t>€147,828</w:t>
            </w:r>
          </w:p>
        </w:tc>
        <w:tc>
          <w:tcPr>
            <w:tcW w:type="dxa" w:w="1452"/>
          </w:tcPr>
          <w:p>
            <w:pPr>
              <w:spacing w:after="20"/>
            </w:pPr>
            <w:r>
              <w:rPr>
                <w:sz w:val="16"/>
              </w:rPr>
              <w:t>€259,423</w:t>
            </w:r>
          </w:p>
        </w:tc>
        <w:tc>
          <w:tcPr>
            <w:tcW w:type="dxa" w:w="1452"/>
          </w:tcPr>
          <w:p>
            <w:pPr>
              <w:spacing w:after="20"/>
            </w:pPr>
            <w:r>
              <w:rPr>
                <w:sz w:val="16"/>
              </w:rPr>
              <w:t>€-3,119</w:t>
            </w:r>
          </w:p>
        </w:tc>
      </w:tr>
    </w:tbl>
    <w:p>
      <w:r>
        <w:br w:type="page"/>
      </w:r>
    </w:p>
    <w:p>
      <w:pPr>
        <w:pStyle w:val="Heading1"/>
      </w:pPr>
      <w:r>
        <w:t>1  /  What the operating record says</w:t>
      </w:r>
    </w:p>
    <w:p>
      <w:r>
        <w:t>The 2025 shipment ledger is a strong baseline for where Meridian already sells and earns contribution, but it does not measure service-hub causality. The country values below use selected order revisions, eligible shipped orders, returned credits known by the cutoff, and month-matched ECB translation for PLN/CZK. The synthetic client data report actual booked shipment prices/cost fields; the option uplift and savings remain assumptions.</w:t>
      </w:r>
    </w:p>
    <w:tbl>
      <w:tblPr>
        <w:tblStyle w:val="LightShading-Accent1"/>
        <w:tblW w:type="auto" w:w="0"/>
        <w:tblLook w:firstColumn="1" w:firstRow="1" w:lastColumn="0" w:lastRow="0" w:noHBand="0" w:noVBand="1" w:val="04A0"/>
      </w:tblPr>
      <w:tblGrid>
        <w:gridCol w:w="1452"/>
        <w:gridCol w:w="1452"/>
        <w:gridCol w:w="1452"/>
        <w:gridCol w:w="1452"/>
        <w:gridCol w:w="1452"/>
        <w:gridCol w:w="1452"/>
        <w:gridCol w:w="1452"/>
      </w:tblGrid>
      <w:tr>
        <w:tc>
          <w:tcPr>
            <w:tcW w:type="dxa" w:w="1452"/>
          </w:tcPr>
          <w:p>
            <w:pPr>
              <w:spacing w:after="20"/>
            </w:pPr>
            <w:r>
              <w:rPr>
                <w:sz w:val="16"/>
              </w:rPr>
              <w:t>Country</w:t>
            </w:r>
          </w:p>
        </w:tc>
        <w:tc>
          <w:tcPr>
            <w:tcW w:type="dxa" w:w="1452"/>
          </w:tcPr>
          <w:p>
            <w:pPr>
              <w:spacing w:after="20"/>
            </w:pPr>
            <w:r>
              <w:rPr>
                <w:sz w:val="16"/>
              </w:rPr>
              <w:t>Orders</w:t>
            </w:r>
          </w:p>
        </w:tc>
        <w:tc>
          <w:tcPr>
            <w:tcW w:type="dxa" w:w="1452"/>
          </w:tcPr>
          <w:p>
            <w:pPr>
              <w:spacing w:after="20"/>
            </w:pPr>
            <w:r>
              <w:rPr>
                <w:sz w:val="16"/>
              </w:rPr>
              <w:t>Units</w:t>
            </w:r>
          </w:p>
        </w:tc>
        <w:tc>
          <w:tcPr>
            <w:tcW w:type="dxa" w:w="1452"/>
          </w:tcPr>
          <w:p>
            <w:pPr>
              <w:spacing w:after="20"/>
            </w:pPr>
            <w:r>
              <w:rPr>
                <w:sz w:val="16"/>
              </w:rPr>
              <w:t>Net sales</w:t>
            </w:r>
          </w:p>
        </w:tc>
        <w:tc>
          <w:tcPr>
            <w:tcW w:type="dxa" w:w="1452"/>
          </w:tcPr>
          <w:p>
            <w:pPr>
              <w:spacing w:after="20"/>
            </w:pPr>
            <w:r>
              <w:rPr>
                <w:sz w:val="16"/>
              </w:rPr>
              <w:t>Contribution</w:t>
            </w:r>
          </w:p>
        </w:tc>
        <w:tc>
          <w:tcPr>
            <w:tcW w:type="dxa" w:w="1452"/>
          </w:tcPr>
          <w:p>
            <w:pPr>
              <w:spacing w:after="20"/>
            </w:pPr>
            <w:r>
              <w:rPr>
                <w:sz w:val="16"/>
              </w:rPr>
              <w:t>Margin</w:t>
            </w:r>
          </w:p>
        </w:tc>
        <w:tc>
          <w:tcPr>
            <w:tcW w:type="dxa" w:w="1452"/>
          </w:tcPr>
          <w:p>
            <w:pPr>
              <w:spacing w:after="20"/>
            </w:pPr>
            <w:r>
              <w:rPr>
                <w:sz w:val="16"/>
              </w:rPr>
              <w:t>Returned units</w:t>
            </w:r>
          </w:p>
        </w:tc>
      </w:tr>
      <w:tr>
        <w:tc>
          <w:tcPr>
            <w:tcW w:type="dxa" w:w="1452"/>
          </w:tcPr>
          <w:p>
            <w:pPr>
              <w:spacing w:after="20"/>
            </w:pPr>
            <w:r>
              <w:rPr>
                <w:sz w:val="16"/>
              </w:rPr>
              <w:t>Germany</w:t>
            </w:r>
          </w:p>
        </w:tc>
        <w:tc>
          <w:tcPr>
            <w:tcW w:type="dxa" w:w="1452"/>
          </w:tcPr>
          <w:p>
            <w:pPr>
              <w:spacing w:after="20"/>
            </w:pPr>
            <w:r>
              <w:rPr>
                <w:sz w:val="16"/>
              </w:rPr>
              <w:t>209</w:t>
            </w:r>
          </w:p>
        </w:tc>
        <w:tc>
          <w:tcPr>
            <w:tcW w:type="dxa" w:w="1452"/>
          </w:tcPr>
          <w:p>
            <w:pPr>
              <w:spacing w:after="20"/>
            </w:pPr>
            <w:r>
              <w:rPr>
                <w:sz w:val="16"/>
              </w:rPr>
              <w:t>12,153</w:t>
            </w:r>
          </w:p>
        </w:tc>
        <w:tc>
          <w:tcPr>
            <w:tcW w:type="dxa" w:w="1452"/>
          </w:tcPr>
          <w:p>
            <w:pPr>
              <w:spacing w:after="20"/>
            </w:pPr>
            <w:r>
              <w:rPr>
                <w:sz w:val="16"/>
              </w:rPr>
              <w:t>€625,792</w:t>
            </w:r>
          </w:p>
        </w:tc>
        <w:tc>
          <w:tcPr>
            <w:tcW w:type="dxa" w:w="1452"/>
          </w:tcPr>
          <w:p>
            <w:pPr>
              <w:spacing w:after="20"/>
            </w:pPr>
            <w:r>
              <w:rPr>
                <w:sz w:val="16"/>
              </w:rPr>
              <w:t>€262,366</w:t>
            </w:r>
          </w:p>
        </w:tc>
        <w:tc>
          <w:tcPr>
            <w:tcW w:type="dxa" w:w="1452"/>
          </w:tcPr>
          <w:p>
            <w:pPr>
              <w:spacing w:after="20"/>
            </w:pPr>
            <w:r>
              <w:rPr>
                <w:sz w:val="16"/>
              </w:rPr>
              <w:t>41.9%</w:t>
            </w:r>
          </w:p>
        </w:tc>
        <w:tc>
          <w:tcPr>
            <w:tcW w:type="dxa" w:w="1452"/>
          </w:tcPr>
          <w:p>
            <w:pPr>
              <w:spacing w:after="20"/>
            </w:pPr>
            <w:r>
              <w:rPr>
                <w:sz w:val="16"/>
              </w:rPr>
              <w:t>73</w:t>
            </w:r>
          </w:p>
        </w:tc>
      </w:tr>
      <w:tr>
        <w:tc>
          <w:tcPr>
            <w:tcW w:type="dxa" w:w="1452"/>
          </w:tcPr>
          <w:p>
            <w:pPr>
              <w:spacing w:after="20"/>
            </w:pPr>
            <w:r>
              <w:rPr>
                <w:sz w:val="16"/>
              </w:rPr>
              <w:t>France</w:t>
            </w:r>
          </w:p>
        </w:tc>
        <w:tc>
          <w:tcPr>
            <w:tcW w:type="dxa" w:w="1452"/>
          </w:tcPr>
          <w:p>
            <w:pPr>
              <w:spacing w:after="20"/>
            </w:pPr>
            <w:r>
              <w:rPr>
                <w:sz w:val="16"/>
              </w:rPr>
              <w:t>209</w:t>
            </w:r>
          </w:p>
        </w:tc>
        <w:tc>
          <w:tcPr>
            <w:tcW w:type="dxa" w:w="1452"/>
          </w:tcPr>
          <w:p>
            <w:pPr>
              <w:spacing w:after="20"/>
            </w:pPr>
            <w:r>
              <w:rPr>
                <w:sz w:val="16"/>
              </w:rPr>
              <w:t>11,880</w:t>
            </w:r>
          </w:p>
        </w:tc>
        <w:tc>
          <w:tcPr>
            <w:tcW w:type="dxa" w:w="1452"/>
          </w:tcPr>
          <w:p>
            <w:pPr>
              <w:spacing w:after="20"/>
            </w:pPr>
            <w:r>
              <w:rPr>
                <w:sz w:val="16"/>
              </w:rPr>
              <w:t>€632,231</w:t>
            </w:r>
          </w:p>
        </w:tc>
        <w:tc>
          <w:tcPr>
            <w:tcW w:type="dxa" w:w="1452"/>
          </w:tcPr>
          <w:p>
            <w:pPr>
              <w:spacing w:after="20"/>
            </w:pPr>
            <w:r>
              <w:rPr>
                <w:sz w:val="16"/>
              </w:rPr>
              <w:t>€276,271</w:t>
            </w:r>
          </w:p>
        </w:tc>
        <w:tc>
          <w:tcPr>
            <w:tcW w:type="dxa" w:w="1452"/>
          </w:tcPr>
          <w:p>
            <w:pPr>
              <w:spacing w:after="20"/>
            </w:pPr>
            <w:r>
              <w:rPr>
                <w:sz w:val="16"/>
              </w:rPr>
              <w:t>43.7%</w:t>
            </w:r>
          </w:p>
        </w:tc>
        <w:tc>
          <w:tcPr>
            <w:tcW w:type="dxa" w:w="1452"/>
          </w:tcPr>
          <w:p>
            <w:pPr>
              <w:spacing w:after="20"/>
            </w:pPr>
            <w:r>
              <w:rPr>
                <w:sz w:val="16"/>
              </w:rPr>
              <w:t>144</w:t>
            </w:r>
          </w:p>
        </w:tc>
      </w:tr>
      <w:tr>
        <w:tc>
          <w:tcPr>
            <w:tcW w:type="dxa" w:w="1452"/>
          </w:tcPr>
          <w:p>
            <w:pPr>
              <w:spacing w:after="20"/>
            </w:pPr>
            <w:r>
              <w:rPr>
                <w:sz w:val="16"/>
              </w:rPr>
              <w:t>Netherlands</w:t>
            </w:r>
          </w:p>
        </w:tc>
        <w:tc>
          <w:tcPr>
            <w:tcW w:type="dxa" w:w="1452"/>
          </w:tcPr>
          <w:p>
            <w:pPr>
              <w:spacing w:after="20"/>
            </w:pPr>
            <w:r>
              <w:rPr>
                <w:sz w:val="16"/>
              </w:rPr>
              <w:t>209</w:t>
            </w:r>
          </w:p>
        </w:tc>
        <w:tc>
          <w:tcPr>
            <w:tcW w:type="dxa" w:w="1452"/>
          </w:tcPr>
          <w:p>
            <w:pPr>
              <w:spacing w:after="20"/>
            </w:pPr>
            <w:r>
              <w:rPr>
                <w:sz w:val="16"/>
              </w:rPr>
              <w:t>12,576</w:t>
            </w:r>
          </w:p>
        </w:tc>
        <w:tc>
          <w:tcPr>
            <w:tcW w:type="dxa" w:w="1452"/>
          </w:tcPr>
          <w:p>
            <w:pPr>
              <w:spacing w:after="20"/>
            </w:pPr>
            <w:r>
              <w:rPr>
                <w:sz w:val="16"/>
              </w:rPr>
              <w:t>€697,733</w:t>
            </w:r>
          </w:p>
        </w:tc>
        <w:tc>
          <w:tcPr>
            <w:tcW w:type="dxa" w:w="1452"/>
          </w:tcPr>
          <w:p>
            <w:pPr>
              <w:spacing w:after="20"/>
            </w:pPr>
            <w:r>
              <w:rPr>
                <w:sz w:val="16"/>
              </w:rPr>
              <w:t>€315,644</w:t>
            </w:r>
          </w:p>
        </w:tc>
        <w:tc>
          <w:tcPr>
            <w:tcW w:type="dxa" w:w="1452"/>
          </w:tcPr>
          <w:p>
            <w:pPr>
              <w:spacing w:after="20"/>
            </w:pPr>
            <w:r>
              <w:rPr>
                <w:sz w:val="16"/>
              </w:rPr>
              <w:t>45.2%</w:t>
            </w:r>
          </w:p>
        </w:tc>
        <w:tc>
          <w:tcPr>
            <w:tcW w:type="dxa" w:w="1452"/>
          </w:tcPr>
          <w:p>
            <w:pPr>
              <w:spacing w:after="20"/>
            </w:pPr>
            <w:r>
              <w:rPr>
                <w:sz w:val="16"/>
              </w:rPr>
              <w:t>144</w:t>
            </w:r>
          </w:p>
        </w:tc>
      </w:tr>
      <w:tr>
        <w:tc>
          <w:tcPr>
            <w:tcW w:type="dxa" w:w="1452"/>
          </w:tcPr>
          <w:p>
            <w:pPr>
              <w:spacing w:after="20"/>
            </w:pPr>
            <w:r>
              <w:rPr>
                <w:sz w:val="16"/>
              </w:rPr>
              <w:t>Poland</w:t>
            </w:r>
          </w:p>
        </w:tc>
        <w:tc>
          <w:tcPr>
            <w:tcW w:type="dxa" w:w="1452"/>
          </w:tcPr>
          <w:p>
            <w:pPr>
              <w:spacing w:after="20"/>
            </w:pPr>
            <w:r>
              <w:rPr>
                <w:sz w:val="16"/>
              </w:rPr>
              <w:t>209</w:t>
            </w:r>
          </w:p>
        </w:tc>
        <w:tc>
          <w:tcPr>
            <w:tcW w:type="dxa" w:w="1452"/>
          </w:tcPr>
          <w:p>
            <w:pPr>
              <w:spacing w:after="20"/>
            </w:pPr>
            <w:r>
              <w:rPr>
                <w:sz w:val="16"/>
              </w:rPr>
              <w:t>13,163</w:t>
            </w:r>
          </w:p>
        </w:tc>
        <w:tc>
          <w:tcPr>
            <w:tcW w:type="dxa" w:w="1452"/>
          </w:tcPr>
          <w:p>
            <w:pPr>
              <w:spacing w:after="20"/>
            </w:pPr>
            <w:r>
              <w:rPr>
                <w:sz w:val="16"/>
              </w:rPr>
              <w:t>€761,890</w:t>
            </w:r>
          </w:p>
        </w:tc>
        <w:tc>
          <w:tcPr>
            <w:tcW w:type="dxa" w:w="1452"/>
          </w:tcPr>
          <w:p>
            <w:pPr>
              <w:spacing w:after="20"/>
            </w:pPr>
            <w:r>
              <w:rPr>
                <w:sz w:val="16"/>
              </w:rPr>
              <w:t>€356,494</w:t>
            </w:r>
          </w:p>
        </w:tc>
        <w:tc>
          <w:tcPr>
            <w:tcW w:type="dxa" w:w="1452"/>
          </w:tcPr>
          <w:p>
            <w:pPr>
              <w:spacing w:after="20"/>
            </w:pPr>
            <w:r>
              <w:rPr>
                <w:sz w:val="16"/>
              </w:rPr>
              <w:t>46.8%</w:t>
            </w:r>
          </w:p>
        </w:tc>
        <w:tc>
          <w:tcPr>
            <w:tcW w:type="dxa" w:w="1452"/>
          </w:tcPr>
          <w:p>
            <w:pPr>
              <w:spacing w:after="20"/>
            </w:pPr>
            <w:r>
              <w:rPr>
                <w:sz w:val="16"/>
              </w:rPr>
              <w:t>180</w:t>
            </w:r>
          </w:p>
        </w:tc>
      </w:tr>
      <w:tr>
        <w:tc>
          <w:tcPr>
            <w:tcW w:type="dxa" w:w="1452"/>
          </w:tcPr>
          <w:p>
            <w:pPr>
              <w:spacing w:after="20"/>
            </w:pPr>
            <w:r>
              <w:rPr>
                <w:sz w:val="16"/>
              </w:rPr>
              <w:t>Czechia</w:t>
            </w:r>
          </w:p>
        </w:tc>
        <w:tc>
          <w:tcPr>
            <w:tcW w:type="dxa" w:w="1452"/>
          </w:tcPr>
          <w:p>
            <w:pPr>
              <w:spacing w:after="20"/>
            </w:pPr>
            <w:r>
              <w:rPr>
                <w:sz w:val="16"/>
              </w:rPr>
              <w:t>209</w:t>
            </w:r>
          </w:p>
        </w:tc>
        <w:tc>
          <w:tcPr>
            <w:tcW w:type="dxa" w:w="1452"/>
          </w:tcPr>
          <w:p>
            <w:pPr>
              <w:spacing w:after="20"/>
            </w:pPr>
            <w:r>
              <w:rPr>
                <w:sz w:val="16"/>
              </w:rPr>
              <w:t>13,733</w:t>
            </w:r>
          </w:p>
        </w:tc>
        <w:tc>
          <w:tcPr>
            <w:tcW w:type="dxa" w:w="1452"/>
          </w:tcPr>
          <w:p>
            <w:pPr>
              <w:spacing w:after="20"/>
            </w:pPr>
            <w:r>
              <w:rPr>
                <w:sz w:val="16"/>
              </w:rPr>
              <w:t>€815,307</w:t>
            </w:r>
          </w:p>
        </w:tc>
        <w:tc>
          <w:tcPr>
            <w:tcW w:type="dxa" w:w="1452"/>
          </w:tcPr>
          <w:p>
            <w:pPr>
              <w:spacing w:after="20"/>
            </w:pPr>
            <w:r>
              <w:rPr>
                <w:sz w:val="16"/>
              </w:rPr>
              <w:t>€397,335</w:t>
            </w:r>
          </w:p>
        </w:tc>
        <w:tc>
          <w:tcPr>
            <w:tcW w:type="dxa" w:w="1452"/>
          </w:tcPr>
          <w:p>
            <w:pPr>
              <w:spacing w:after="20"/>
            </w:pPr>
            <w:r>
              <w:rPr>
                <w:sz w:val="16"/>
              </w:rPr>
              <w:t>48.7%</w:t>
            </w:r>
          </w:p>
        </w:tc>
        <w:tc>
          <w:tcPr>
            <w:tcW w:type="dxa" w:w="1452"/>
          </w:tcPr>
          <w:p>
            <w:pPr>
              <w:spacing w:after="20"/>
            </w:pPr>
            <w:r>
              <w:rPr>
                <w:sz w:val="16"/>
              </w:rPr>
              <w:t>288</w:t>
            </w:r>
          </w:p>
        </w:tc>
      </w:tr>
      <w:tr>
        <w:tc>
          <w:tcPr>
            <w:tcW w:type="dxa" w:w="1452"/>
          </w:tcPr>
          <w:p>
            <w:pPr>
              <w:spacing w:after="20"/>
            </w:pPr>
            <w:r>
              <w:rPr>
                <w:sz w:val="16"/>
              </w:rPr>
              <w:t>Spain</w:t>
            </w:r>
          </w:p>
        </w:tc>
        <w:tc>
          <w:tcPr>
            <w:tcW w:type="dxa" w:w="1452"/>
          </w:tcPr>
          <w:p>
            <w:pPr>
              <w:spacing w:after="20"/>
            </w:pPr>
            <w:r>
              <w:rPr>
                <w:sz w:val="16"/>
              </w:rPr>
              <w:t>209</w:t>
            </w:r>
          </w:p>
        </w:tc>
        <w:tc>
          <w:tcPr>
            <w:tcW w:type="dxa" w:w="1452"/>
          </w:tcPr>
          <w:p>
            <w:pPr>
              <w:spacing w:after="20"/>
            </w:pPr>
            <w:r>
              <w:rPr>
                <w:sz w:val="16"/>
              </w:rPr>
              <w:t>13,931</w:t>
            </w:r>
          </w:p>
        </w:tc>
        <w:tc>
          <w:tcPr>
            <w:tcW w:type="dxa" w:w="1452"/>
          </w:tcPr>
          <w:p>
            <w:pPr>
              <w:spacing w:after="20"/>
            </w:pPr>
            <w:r>
              <w:rPr>
                <w:sz w:val="16"/>
              </w:rPr>
              <w:t>€850,839</w:t>
            </w:r>
          </w:p>
        </w:tc>
        <w:tc>
          <w:tcPr>
            <w:tcW w:type="dxa" w:w="1452"/>
          </w:tcPr>
          <w:p>
            <w:pPr>
              <w:spacing w:after="20"/>
            </w:pPr>
            <w:r>
              <w:rPr>
                <w:sz w:val="16"/>
              </w:rPr>
              <w:t>€421,900</w:t>
            </w:r>
          </w:p>
        </w:tc>
        <w:tc>
          <w:tcPr>
            <w:tcW w:type="dxa" w:w="1452"/>
          </w:tcPr>
          <w:p>
            <w:pPr>
              <w:spacing w:after="20"/>
            </w:pPr>
            <w:r>
              <w:rPr>
                <w:sz w:val="16"/>
              </w:rPr>
              <w:t>49.6%</w:t>
            </w:r>
          </w:p>
        </w:tc>
        <w:tc>
          <w:tcPr>
            <w:tcW w:type="dxa" w:w="1452"/>
          </w:tcPr>
          <w:p>
            <w:pPr>
              <w:spacing w:after="20"/>
            </w:pPr>
            <w:r>
              <w:rPr>
                <w:sz w:val="16"/>
              </w:rPr>
              <w:t>252</w:t>
            </w:r>
          </w:p>
        </w:tc>
      </w:tr>
    </w:tbl>
    <w:p>
      <w:r>
        <w:t>Diagnosis. The hub thesis has two modeled levers: added volume at each market’s existing contribution economics and a per-unit fulfillment saving, less recurring fixed cost. Current sales by themselves establish only the baseline; neither the historical mix nor country size proves incremental demand from faster/local service. A hub can improve local service and may change conversion, but no service-level, lost-sales, lead-time, customer-interview or controlled rollout data were supplied.</w:t>
      </w:r>
    </w:p>
    <w:p>
      <w:r>
        <w:t>Booked revenue, cash and contribution. Gross sales are order price times shipped quantity less discounts, translated and rounded per order; refunds reduce net sales. Net sales approximate booked revenue under the supplied credit ledger, not cash received: timing, settlement FX, payment fees and working capital are unavailable. Contribution further deducts net COGS after recoverable restocked units and nonrefundable fulfillment. It is not EBITDA or hub profit; annual option costs are then deducted separately in scenarios.</w:t>
      </w:r>
    </w:p>
    <w:p>
      <w:r>
        <w:br w:type="page"/>
      </w:r>
    </w:p>
    <w:p>
      <w:pPr>
        <w:pStyle w:val="Heading1"/>
      </w:pPr>
      <w:r>
        <w:t>2  /  Evidence base and quality controls</w:t>
      </w:r>
    </w:p>
    <w:p>
      <w:r>
        <w:t>Client transaction, cost, and option files are synthetic (seed documented by the source room). They were collected from the frozen local source room; no live client account or customer was accessed. Population/GDP and ECB exchange rates are official public snapshots preserved in the room with original URLs and a 27 September 2026 collection vintage; this may include subsequent revisions to historical observations. Provenance, hashes and local inputs are in sources/source-register.json.</w:t>
      </w:r>
    </w:p>
    <w:p>
      <w:r>
        <w:t>Across both extract pages and correction file, 1,328 order rows represent 1,297 order IDs. 18 IDs have revision history and 13 exact duplicate rows were removed. The highest numeric revision was selected for each ID, then only shipped, non-test rows with shipment dates in 2025 entered the base (1,254 orders); 43 selected rows were excluded by status, test flag or date. Valid zero-price shipments remain in the count. January 2026 orders are excluded.</w:t>
      </w:r>
    </w:p>
    <w:p>
      <w:r>
        <w:t>Returns: 264 raw rows reduce to 243 return IDs after selecting highest revision. Returns received through 31 January 2026 were included only when linked to an eligible selected sale. 1 orphan/ineligible returns were quarantined; 1 later-known returns were excluded. Distinct valid return IDs are additive. Returned units are physical return quantity; only restocked quantity recovers COGS.</w:t>
      </w:r>
    </w:p>
    <w:p>
      <w:r>
        <w:t>For non-euro sales and refunds, the exchange rate is the arithmetic mean of published 2025 ECB business-day references in the original sale month, quoted local currency units per EUR. This quote is not inverted and is not transaction FX. Individual order monetary components are rounded half-up to cents before sums. EUR is 1. See the workbook FX monthly tab for all 24 PLN/CZK values and observations per mean.</w:t>
      </w:r>
    </w:p>
    <w:p>
      <w:r>
        <w:t>Reconciliation: 72 country-month rows are generated, including zero-activity cells. Country totals equal the sum of their 12 monthly rows for orders, units, money and returned units; margins are recomputed on annual totals, not summed. Missing data and anomalies are recorded in metrics.json and the workbook Quality &amp; sources tab. World Bank nulls are retained without imputation.</w:t>
      </w:r>
    </w:p>
    <w:p>
      <w:r>
        <w:br w:type="page"/>
      </w:r>
    </w:p>
    <w:p>
      <w:pPr>
        <w:pStyle w:val="Heading1"/>
      </w:pPr>
      <w:r>
        <w:t>3  /  Market context</w:t>
      </w:r>
    </w:p>
    <w:p>
      <w:r>
        <w:t>The archived World Bank response reports population in persons and GDP per capita in current US dollars for 2022–2024. The 2022–2024 population change and 2024 income level below provide context for geographic scale and purchasing-power environment only. They do not establish Meridian product demand, fit, or addressable service pain.</w:t>
      </w:r>
    </w:p>
    <w:tbl>
      <w:tblPr>
        <w:tblStyle w:val="LightShading-Accent1"/>
        <w:tblW w:type="auto" w:w="0"/>
        <w:tblLook w:firstColumn="1" w:firstRow="1" w:lastColumn="0" w:lastRow="0" w:noHBand="0" w:noVBand="1" w:val="04A0"/>
      </w:tblPr>
      <w:tblGrid>
        <w:gridCol w:w="2033"/>
        <w:gridCol w:w="2033"/>
        <w:gridCol w:w="2033"/>
        <w:gridCol w:w="2033"/>
        <w:gridCol w:w="2033"/>
      </w:tblGrid>
      <w:tr>
        <w:tc>
          <w:tcPr>
            <w:tcW w:type="dxa" w:w="2033"/>
          </w:tcPr>
          <w:p>
            <w:pPr>
              <w:spacing w:after="20"/>
            </w:pPr>
            <w:r>
              <w:rPr>
                <w:sz w:val="16"/>
              </w:rPr>
              <w:t>Country</w:t>
            </w:r>
          </w:p>
        </w:tc>
        <w:tc>
          <w:tcPr>
            <w:tcW w:type="dxa" w:w="2033"/>
          </w:tcPr>
          <w:p>
            <w:pPr>
              <w:spacing w:after="20"/>
            </w:pPr>
            <w:r>
              <w:rPr>
                <w:sz w:val="16"/>
              </w:rPr>
              <w:t>Population 2022</w:t>
            </w:r>
          </w:p>
        </w:tc>
        <w:tc>
          <w:tcPr>
            <w:tcW w:type="dxa" w:w="2033"/>
          </w:tcPr>
          <w:p>
            <w:pPr>
              <w:spacing w:after="20"/>
            </w:pPr>
            <w:r>
              <w:rPr>
                <w:sz w:val="16"/>
              </w:rPr>
              <w:t>Population 2024</w:t>
            </w:r>
          </w:p>
        </w:tc>
        <w:tc>
          <w:tcPr>
            <w:tcW w:type="dxa" w:w="2033"/>
          </w:tcPr>
          <w:p>
            <w:pPr>
              <w:spacing w:after="20"/>
            </w:pPr>
            <w:r>
              <w:rPr>
                <w:sz w:val="16"/>
              </w:rPr>
              <w:t>Change 2022–24</w:t>
            </w:r>
          </w:p>
        </w:tc>
        <w:tc>
          <w:tcPr>
            <w:tcW w:type="dxa" w:w="2033"/>
          </w:tcPr>
          <w:p>
            <w:pPr>
              <w:spacing w:after="20"/>
            </w:pPr>
            <w:r>
              <w:rPr>
                <w:sz w:val="16"/>
              </w:rPr>
              <w:t>GDP/capita 2024, current USD</w:t>
            </w:r>
          </w:p>
        </w:tc>
      </w:tr>
      <w:tr>
        <w:tc>
          <w:tcPr>
            <w:tcW w:type="dxa" w:w="2033"/>
          </w:tcPr>
          <w:p>
            <w:pPr>
              <w:spacing w:after="20"/>
            </w:pPr>
            <w:r>
              <w:rPr>
                <w:sz w:val="16"/>
              </w:rPr>
              <w:t>Germany</w:t>
            </w:r>
          </w:p>
        </w:tc>
        <w:tc>
          <w:tcPr>
            <w:tcW w:type="dxa" w:w="2033"/>
          </w:tcPr>
          <w:p>
            <w:pPr>
              <w:spacing w:after="20"/>
            </w:pPr>
            <w:r>
              <w:rPr>
                <w:sz w:val="16"/>
              </w:rPr>
              <w:t>83,177,813</w:t>
            </w:r>
          </w:p>
        </w:tc>
        <w:tc>
          <w:tcPr>
            <w:tcW w:type="dxa" w:w="2033"/>
          </w:tcPr>
          <w:p>
            <w:pPr>
              <w:spacing w:after="20"/>
            </w:pPr>
            <w:r>
              <w:rPr>
                <w:sz w:val="16"/>
              </w:rPr>
              <w:t>83,516,593</w:t>
            </w:r>
          </w:p>
        </w:tc>
        <w:tc>
          <w:tcPr>
            <w:tcW w:type="dxa" w:w="2033"/>
          </w:tcPr>
          <w:p>
            <w:pPr>
              <w:spacing w:after="20"/>
            </w:pPr>
            <w:r>
              <w:rPr>
                <w:sz w:val="16"/>
              </w:rPr>
              <w:t>0.4%</w:t>
            </w:r>
          </w:p>
        </w:tc>
        <w:tc>
          <w:tcPr>
            <w:tcW w:type="dxa" w:w="2033"/>
          </w:tcPr>
          <w:p>
            <w:pPr>
              <w:spacing w:after="20"/>
            </w:pPr>
            <w:r>
              <w:rPr>
                <w:sz w:val="16"/>
              </w:rPr>
              <w:t>$56,104</w:t>
            </w:r>
          </w:p>
        </w:tc>
      </w:tr>
      <w:tr>
        <w:tc>
          <w:tcPr>
            <w:tcW w:type="dxa" w:w="2033"/>
          </w:tcPr>
          <w:p>
            <w:pPr>
              <w:spacing w:after="20"/>
            </w:pPr>
            <w:r>
              <w:rPr>
                <w:sz w:val="16"/>
              </w:rPr>
              <w:t>France</w:t>
            </w:r>
          </w:p>
        </w:tc>
        <w:tc>
          <w:tcPr>
            <w:tcW w:type="dxa" w:w="2033"/>
          </w:tcPr>
          <w:p>
            <w:pPr>
              <w:spacing w:after="20"/>
            </w:pPr>
            <w:r>
              <w:rPr>
                <w:sz w:val="16"/>
              </w:rPr>
              <w:t>68,184,457</w:t>
            </w:r>
          </w:p>
        </w:tc>
        <w:tc>
          <w:tcPr>
            <w:tcW w:type="dxa" w:w="2033"/>
          </w:tcPr>
          <w:p>
            <w:pPr>
              <w:spacing w:after="20"/>
            </w:pPr>
            <w:r>
              <w:rPr>
                <w:sz w:val="16"/>
              </w:rPr>
              <w:t>68,551,653</w:t>
            </w:r>
          </w:p>
        </w:tc>
        <w:tc>
          <w:tcPr>
            <w:tcW w:type="dxa" w:w="2033"/>
          </w:tcPr>
          <w:p>
            <w:pPr>
              <w:spacing w:after="20"/>
            </w:pPr>
            <w:r>
              <w:rPr>
                <w:sz w:val="16"/>
              </w:rPr>
              <w:t>0.5%</w:t>
            </w:r>
          </w:p>
        </w:tc>
        <w:tc>
          <w:tcPr>
            <w:tcW w:type="dxa" w:w="2033"/>
          </w:tcPr>
          <w:p>
            <w:pPr>
              <w:spacing w:after="20"/>
            </w:pPr>
            <w:r>
              <w:rPr>
                <w:sz w:val="16"/>
              </w:rPr>
              <w:t>$46,103</w:t>
            </w:r>
          </w:p>
        </w:tc>
      </w:tr>
      <w:tr>
        <w:tc>
          <w:tcPr>
            <w:tcW w:type="dxa" w:w="2033"/>
          </w:tcPr>
          <w:p>
            <w:pPr>
              <w:spacing w:after="20"/>
            </w:pPr>
            <w:r>
              <w:rPr>
                <w:sz w:val="16"/>
              </w:rPr>
              <w:t>Netherlands</w:t>
            </w:r>
          </w:p>
        </w:tc>
        <w:tc>
          <w:tcPr>
            <w:tcW w:type="dxa" w:w="2033"/>
          </w:tcPr>
          <w:p>
            <w:pPr>
              <w:spacing w:after="20"/>
            </w:pPr>
            <w:r>
              <w:rPr>
                <w:sz w:val="16"/>
              </w:rPr>
              <w:t>17,700,982</w:t>
            </w:r>
          </w:p>
        </w:tc>
        <w:tc>
          <w:tcPr>
            <w:tcW w:type="dxa" w:w="2033"/>
          </w:tcPr>
          <w:p>
            <w:pPr>
              <w:spacing w:after="20"/>
            </w:pPr>
            <w:r>
              <w:rPr>
                <w:sz w:val="16"/>
              </w:rPr>
              <w:t>17,993,485</w:t>
            </w:r>
          </w:p>
        </w:tc>
        <w:tc>
          <w:tcPr>
            <w:tcW w:type="dxa" w:w="2033"/>
          </w:tcPr>
          <w:p>
            <w:pPr>
              <w:spacing w:after="20"/>
            </w:pPr>
            <w:r>
              <w:rPr>
                <w:sz w:val="16"/>
              </w:rPr>
              <w:t>1.7%</w:t>
            </w:r>
          </w:p>
        </w:tc>
        <w:tc>
          <w:tcPr>
            <w:tcW w:type="dxa" w:w="2033"/>
          </w:tcPr>
          <w:p>
            <w:pPr>
              <w:spacing w:after="20"/>
            </w:pPr>
            <w:r>
              <w:rPr>
                <w:sz w:val="16"/>
              </w:rPr>
              <w:t>$67,465</w:t>
            </w:r>
          </w:p>
        </w:tc>
      </w:tr>
      <w:tr>
        <w:tc>
          <w:tcPr>
            <w:tcW w:type="dxa" w:w="2033"/>
          </w:tcPr>
          <w:p>
            <w:pPr>
              <w:spacing w:after="20"/>
            </w:pPr>
            <w:r>
              <w:rPr>
                <w:sz w:val="16"/>
              </w:rPr>
              <w:t>Poland</w:t>
            </w:r>
          </w:p>
        </w:tc>
        <w:tc>
          <w:tcPr>
            <w:tcW w:type="dxa" w:w="2033"/>
          </w:tcPr>
          <w:p>
            <w:pPr>
              <w:spacing w:after="20"/>
            </w:pPr>
            <w:r>
              <w:rPr>
                <w:sz w:val="16"/>
              </w:rPr>
              <w:t>36,821,749</w:t>
            </w:r>
          </w:p>
        </w:tc>
        <w:tc>
          <w:tcPr>
            <w:tcW w:type="dxa" w:w="2033"/>
          </w:tcPr>
          <w:p>
            <w:pPr>
              <w:spacing w:after="20"/>
            </w:pPr>
            <w:r>
              <w:rPr>
                <w:sz w:val="16"/>
              </w:rPr>
              <w:t>36,559,233</w:t>
            </w:r>
          </w:p>
        </w:tc>
        <w:tc>
          <w:tcPr>
            <w:tcW w:type="dxa" w:w="2033"/>
          </w:tcPr>
          <w:p>
            <w:pPr>
              <w:spacing w:after="20"/>
            </w:pPr>
            <w:r>
              <w:rPr>
                <w:sz w:val="16"/>
              </w:rPr>
              <w:t>-0.7%</w:t>
            </w:r>
          </w:p>
        </w:tc>
        <w:tc>
          <w:tcPr>
            <w:tcW w:type="dxa" w:w="2033"/>
          </w:tcPr>
          <w:p>
            <w:pPr>
              <w:spacing w:after="20"/>
            </w:pPr>
            <w:r>
              <w:rPr>
                <w:sz w:val="16"/>
              </w:rPr>
              <w:t>$25,104</w:t>
            </w:r>
          </w:p>
        </w:tc>
      </w:tr>
      <w:tr>
        <w:tc>
          <w:tcPr>
            <w:tcW w:type="dxa" w:w="2033"/>
          </w:tcPr>
          <w:p>
            <w:pPr>
              <w:spacing w:after="20"/>
            </w:pPr>
            <w:r>
              <w:rPr>
                <w:sz w:val="16"/>
              </w:rPr>
              <w:t>Czechia</w:t>
            </w:r>
          </w:p>
        </w:tc>
        <w:tc>
          <w:tcPr>
            <w:tcW w:type="dxa" w:w="2033"/>
          </w:tcPr>
          <w:p>
            <w:pPr>
              <w:spacing w:after="20"/>
            </w:pPr>
            <w:r>
              <w:rPr>
                <w:sz w:val="16"/>
              </w:rPr>
              <w:t>10,672,118</w:t>
            </w:r>
          </w:p>
        </w:tc>
        <w:tc>
          <w:tcPr>
            <w:tcW w:type="dxa" w:w="2033"/>
          </w:tcPr>
          <w:p>
            <w:pPr>
              <w:spacing w:after="20"/>
            </w:pPr>
            <w:r>
              <w:rPr>
                <w:sz w:val="16"/>
              </w:rPr>
              <w:t>10,905,028</w:t>
            </w:r>
          </w:p>
        </w:tc>
        <w:tc>
          <w:tcPr>
            <w:tcW w:type="dxa" w:w="2033"/>
          </w:tcPr>
          <w:p>
            <w:pPr>
              <w:spacing w:after="20"/>
            </w:pPr>
            <w:r>
              <w:rPr>
                <w:sz w:val="16"/>
              </w:rPr>
              <w:t>2.2%</w:t>
            </w:r>
          </w:p>
        </w:tc>
        <w:tc>
          <w:tcPr>
            <w:tcW w:type="dxa" w:w="2033"/>
          </w:tcPr>
          <w:p>
            <w:pPr>
              <w:spacing w:after="20"/>
            </w:pPr>
            <w:r>
              <w:rPr>
                <w:sz w:val="16"/>
              </w:rPr>
              <w:t>$31,828</w:t>
            </w:r>
          </w:p>
        </w:tc>
      </w:tr>
      <w:tr>
        <w:tc>
          <w:tcPr>
            <w:tcW w:type="dxa" w:w="2033"/>
          </w:tcPr>
          <w:p>
            <w:pPr>
              <w:spacing w:after="20"/>
            </w:pPr>
            <w:r>
              <w:rPr>
                <w:sz w:val="16"/>
              </w:rPr>
              <w:t>Spain</w:t>
            </w:r>
          </w:p>
        </w:tc>
        <w:tc>
          <w:tcPr>
            <w:tcW w:type="dxa" w:w="2033"/>
          </w:tcPr>
          <w:p>
            <w:pPr>
              <w:spacing w:after="20"/>
            </w:pPr>
            <w:r>
              <w:rPr>
                <w:sz w:val="16"/>
              </w:rPr>
              <w:t>47,786,102</w:t>
            </w:r>
          </w:p>
        </w:tc>
        <w:tc>
          <w:tcPr>
            <w:tcW w:type="dxa" w:w="2033"/>
          </w:tcPr>
          <w:p>
            <w:pPr>
              <w:spacing w:after="20"/>
            </w:pPr>
            <w:r>
              <w:rPr>
                <w:sz w:val="16"/>
              </w:rPr>
              <w:t>48,848,840</w:t>
            </w:r>
          </w:p>
        </w:tc>
        <w:tc>
          <w:tcPr>
            <w:tcW w:type="dxa" w:w="2033"/>
          </w:tcPr>
          <w:p>
            <w:pPr>
              <w:spacing w:after="20"/>
            </w:pPr>
            <w:r>
              <w:rPr>
                <w:sz w:val="16"/>
              </w:rPr>
              <w:t>2.2%</w:t>
            </w:r>
          </w:p>
        </w:tc>
        <w:tc>
          <w:tcPr>
            <w:tcW w:type="dxa" w:w="2033"/>
          </w:tcPr>
          <w:p>
            <w:pPr>
              <w:spacing w:after="20"/>
            </w:pPr>
            <w:r>
              <w:rPr>
                <w:sz w:val="16"/>
              </w:rPr>
              <w:t>$35,327</w:t>
            </w:r>
          </w:p>
        </w:tc>
      </w:tr>
    </w:tbl>
    <w:p>
      <w:r>
        <w:t>Source limits. Current-US-dollar GDP per capita is affected by prices and exchange rates; it is neither PPP-adjusted nor a real growth series. No market-size estimate, product category demand estimate, competitors, labor market or localized regulatory/real-estate evidence was added. Public evidence is limited to the archived official population, GDP/capita and ECB snapshots, as requested.</w:t>
      </w:r>
    </w:p>
    <w:p>
      <w:r>
        <w:br w:type="page"/>
      </w:r>
    </w:p>
    <w:p>
      <w:pPr>
        <w:pStyle w:val="Heading1"/>
      </w:pPr>
      <w:r>
        <w:t>4  /  Option economics and decision</w:t>
      </w:r>
    </w:p>
    <w:p>
      <w:r>
        <w:t>For each country, annual incremental contribution is C×u + U×(1+u)×s − F, where C is 2025 contribution, U shipped units, u is an assumed volume uplift, s is assumed saving per unit, and F is recurring annual fixed cost. Capex K is kept separate; simple payback is K divided by positive annual incremental contribution. Stress applies the policy’s 3% gross-sales refund shock and 10% net-sales depreciation shock for PLN/CZK markets, then compares stressed 1.25× contribution with the unchanged base contribution and adds uplifted unit savings less F. Stress is a joint sensitivity, not a likely outcome.</w:t>
      </w:r>
    </w:p>
    <w:tbl>
      <w:tblPr>
        <w:tblStyle w:val="LightShading-Accent1"/>
        <w:tblW w:type="auto" w:w="0"/>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tcPr>
          <w:p>
            <w:pPr>
              <w:spacing w:after="20"/>
            </w:pPr>
            <w:r>
              <w:rPr>
                <w:sz w:val="16"/>
              </w:rPr>
              <w:t>Option</w:t>
            </w:r>
          </w:p>
        </w:tc>
        <w:tc>
          <w:tcPr>
            <w:tcW w:type="dxa" w:w="1130"/>
          </w:tcPr>
          <w:p>
            <w:pPr>
              <w:spacing w:after="20"/>
            </w:pPr>
            <w:r>
              <w:rPr>
                <w:sz w:val="16"/>
              </w:rPr>
              <w:t>Capex year 0</w:t>
            </w:r>
          </w:p>
        </w:tc>
        <w:tc>
          <w:tcPr>
            <w:tcW w:type="dxa" w:w="1130"/>
          </w:tcPr>
          <w:p>
            <w:pPr>
              <w:spacing w:after="20"/>
            </w:pPr>
            <w:r>
              <w:rPr>
                <w:sz w:val="16"/>
              </w:rPr>
              <w:t>Fixed / yr</w:t>
            </w:r>
          </w:p>
        </w:tc>
        <w:tc>
          <w:tcPr>
            <w:tcW w:type="dxa" w:w="1130"/>
          </w:tcPr>
          <w:p>
            <w:pPr>
              <w:spacing w:after="20"/>
            </w:pPr>
            <w:r>
              <w:rPr>
                <w:sz w:val="16"/>
              </w:rPr>
              <w:t>FTE</w:t>
            </w:r>
          </w:p>
        </w:tc>
        <w:tc>
          <w:tcPr>
            <w:tcW w:type="dxa" w:w="1130"/>
          </w:tcPr>
          <w:p>
            <w:pPr>
              <w:spacing w:after="20"/>
            </w:pPr>
            <w:r>
              <w:rPr>
                <w:sz w:val="16"/>
              </w:rPr>
              <w:t>Low / yr</w:t>
            </w:r>
          </w:p>
        </w:tc>
        <w:tc>
          <w:tcPr>
            <w:tcW w:type="dxa" w:w="1130"/>
          </w:tcPr>
          <w:p>
            <w:pPr>
              <w:spacing w:after="20"/>
            </w:pPr>
            <w:r>
              <w:rPr>
                <w:sz w:val="16"/>
              </w:rPr>
              <w:t>Base / yr</w:t>
            </w:r>
          </w:p>
        </w:tc>
        <w:tc>
          <w:tcPr>
            <w:tcW w:type="dxa" w:w="1130"/>
          </w:tcPr>
          <w:p>
            <w:pPr>
              <w:spacing w:after="20"/>
            </w:pPr>
            <w:r>
              <w:rPr>
                <w:sz w:val="16"/>
              </w:rPr>
              <w:t>High / yr</w:t>
            </w:r>
          </w:p>
        </w:tc>
        <w:tc>
          <w:tcPr>
            <w:tcW w:type="dxa" w:w="1130"/>
          </w:tcPr>
          <w:p>
            <w:pPr>
              <w:spacing w:after="20"/>
            </w:pPr>
            <w:r>
              <w:rPr>
                <w:sz w:val="16"/>
              </w:rPr>
              <w:t>Stress / yr</w:t>
            </w:r>
          </w:p>
        </w:tc>
        <w:tc>
          <w:tcPr>
            <w:tcW w:type="dxa" w:w="1130"/>
          </w:tcPr>
          <w:p>
            <w:pPr>
              <w:spacing w:after="20"/>
            </w:pPr>
            <w:r>
              <w:rPr>
                <w:sz w:val="16"/>
              </w:rPr>
              <w:t>Base payback</w:t>
            </w:r>
          </w:p>
        </w:tc>
      </w:tr>
      <w:tr>
        <w:tc>
          <w:tcPr>
            <w:tcW w:type="dxa" w:w="1130"/>
          </w:tcPr>
          <w:p>
            <w:pPr>
              <w:spacing w:after="20"/>
            </w:pPr>
            <w:r>
              <w:rPr>
                <w:sz w:val="16"/>
              </w:rPr>
              <w:t>NLD + ESP</w:t>
            </w:r>
          </w:p>
        </w:tc>
        <w:tc>
          <w:tcPr>
            <w:tcW w:type="dxa" w:w="1130"/>
          </w:tcPr>
          <w:p>
            <w:pPr>
              <w:spacing w:after="20"/>
            </w:pPr>
            <w:r>
              <w:rPr>
                <w:sz w:val="16"/>
              </w:rPr>
              <w:t>€270,000</w:t>
            </w:r>
          </w:p>
        </w:tc>
        <w:tc>
          <w:tcPr>
            <w:tcW w:type="dxa" w:w="1130"/>
          </w:tcPr>
          <w:p>
            <w:pPr>
              <w:spacing w:after="20"/>
            </w:pPr>
            <w:r>
              <w:rPr>
                <w:sz w:val="16"/>
              </w:rPr>
              <w:t>€120,000</w:t>
            </w:r>
          </w:p>
        </w:tc>
        <w:tc>
          <w:tcPr>
            <w:tcW w:type="dxa" w:w="1130"/>
          </w:tcPr>
          <w:p>
            <w:pPr>
              <w:spacing w:after="20"/>
            </w:pPr>
            <w:r>
              <w:rPr>
                <w:sz w:val="16"/>
              </w:rPr>
              <w:t>6</w:t>
            </w:r>
          </w:p>
        </w:tc>
        <w:tc>
          <w:tcPr>
            <w:tcW w:type="dxa" w:w="1130"/>
          </w:tcPr>
          <w:p>
            <w:pPr>
              <w:spacing w:after="20"/>
            </w:pPr>
            <w:r>
              <w:rPr>
                <w:sz w:val="16"/>
              </w:rPr>
              <w:t>€43,994</w:t>
            </w:r>
          </w:p>
        </w:tc>
        <w:tc>
          <w:tcPr>
            <w:tcW w:type="dxa" w:w="1130"/>
          </w:tcPr>
          <w:p>
            <w:pPr>
              <w:spacing w:after="20"/>
            </w:pPr>
            <w:r>
              <w:rPr>
                <w:sz w:val="16"/>
              </w:rPr>
              <w:t>€166,931</w:t>
            </w:r>
          </w:p>
        </w:tc>
        <w:tc>
          <w:tcPr>
            <w:tcW w:type="dxa" w:w="1130"/>
          </w:tcPr>
          <w:p>
            <w:pPr>
              <w:spacing w:after="20"/>
            </w:pPr>
            <w:r>
              <w:rPr>
                <w:sz w:val="16"/>
              </w:rPr>
              <w:t>€289,869</w:t>
            </w:r>
          </w:p>
        </w:tc>
        <w:tc>
          <w:tcPr>
            <w:tcW w:type="dxa" w:w="1130"/>
          </w:tcPr>
          <w:p>
            <w:pPr>
              <w:spacing w:after="20"/>
            </w:pPr>
            <w:r>
              <w:rPr>
                <w:sz w:val="16"/>
              </w:rPr>
              <w:t>€107,630</w:t>
            </w:r>
          </w:p>
        </w:tc>
        <w:tc>
          <w:tcPr>
            <w:tcW w:type="dxa" w:w="1130"/>
          </w:tcPr>
          <w:p>
            <w:pPr>
              <w:spacing w:after="20"/>
            </w:pPr>
            <w:r>
              <w:rPr>
                <w:sz w:val="16"/>
              </w:rPr>
              <w:t>1.6y</w:t>
            </w:r>
          </w:p>
        </w:tc>
      </w:tr>
      <w:tr>
        <w:tc>
          <w:tcPr>
            <w:tcW w:type="dxa" w:w="1130"/>
          </w:tcPr>
          <w:p>
            <w:pPr>
              <w:spacing w:after="20"/>
            </w:pPr>
            <w:r>
              <w:rPr>
                <w:sz w:val="16"/>
              </w:rPr>
              <w:t>CZE + ESP</w:t>
            </w:r>
          </w:p>
        </w:tc>
        <w:tc>
          <w:tcPr>
            <w:tcW w:type="dxa" w:w="1130"/>
          </w:tcPr>
          <w:p>
            <w:pPr>
              <w:spacing w:after="20"/>
            </w:pPr>
            <w:r>
              <w:rPr>
                <w:sz w:val="16"/>
              </w:rPr>
              <w:t>€225,000</w:t>
            </w:r>
          </w:p>
        </w:tc>
        <w:tc>
          <w:tcPr>
            <w:tcW w:type="dxa" w:w="1130"/>
          </w:tcPr>
          <w:p>
            <w:pPr>
              <w:spacing w:after="20"/>
            </w:pPr>
            <w:r>
              <w:rPr>
                <w:sz w:val="16"/>
              </w:rPr>
              <w:t>€95,000</w:t>
            </w:r>
          </w:p>
        </w:tc>
        <w:tc>
          <w:tcPr>
            <w:tcW w:type="dxa" w:w="1130"/>
          </w:tcPr>
          <w:p>
            <w:pPr>
              <w:spacing w:after="20"/>
            </w:pPr>
            <w:r>
              <w:rPr>
                <w:sz w:val="16"/>
              </w:rPr>
              <w:t>5</w:t>
            </w:r>
          </w:p>
        </w:tc>
        <w:tc>
          <w:tcPr>
            <w:tcW w:type="dxa" w:w="1130"/>
          </w:tcPr>
          <w:p>
            <w:pPr>
              <w:spacing w:after="20"/>
            </w:pPr>
            <w:r>
              <w:rPr>
                <w:sz w:val="16"/>
              </w:rPr>
              <w:t>€64,619</w:t>
            </w:r>
          </w:p>
        </w:tc>
        <w:tc>
          <w:tcPr>
            <w:tcW w:type="dxa" w:w="1130"/>
          </w:tcPr>
          <w:p>
            <w:pPr>
              <w:spacing w:after="20"/>
            </w:pPr>
            <w:r>
              <w:rPr>
                <w:sz w:val="16"/>
              </w:rPr>
              <w:t>€198,099</w:t>
            </w:r>
          </w:p>
        </w:tc>
        <w:tc>
          <w:tcPr>
            <w:tcW w:type="dxa" w:w="1130"/>
          </w:tcPr>
          <w:p>
            <w:pPr>
              <w:spacing w:after="20"/>
            </w:pPr>
            <w:r>
              <w:rPr>
                <w:sz w:val="16"/>
              </w:rPr>
              <w:t>€331,580</w:t>
            </w:r>
          </w:p>
        </w:tc>
        <w:tc>
          <w:tcPr>
            <w:tcW w:type="dxa" w:w="1130"/>
          </w:tcPr>
          <w:p>
            <w:pPr>
              <w:spacing w:after="20"/>
            </w:pPr>
            <w:r>
              <w:rPr>
                <w:sz w:val="16"/>
              </w:rPr>
              <w:t>€32,180</w:t>
            </w:r>
          </w:p>
        </w:tc>
        <w:tc>
          <w:tcPr>
            <w:tcW w:type="dxa" w:w="1130"/>
          </w:tcPr>
          <w:p>
            <w:pPr>
              <w:spacing w:after="20"/>
            </w:pPr>
            <w:r>
              <w:rPr>
                <w:sz w:val="16"/>
              </w:rPr>
              <w:t>1.1y</w:t>
            </w:r>
          </w:p>
        </w:tc>
      </w:tr>
      <w:tr>
        <w:tc>
          <w:tcPr>
            <w:tcW w:type="dxa" w:w="1130"/>
          </w:tcPr>
          <w:p>
            <w:pPr>
              <w:spacing w:after="20"/>
            </w:pPr>
            <w:r>
              <w:rPr>
                <w:sz w:val="16"/>
              </w:rPr>
              <w:t>POL + ESP</w:t>
            </w:r>
          </w:p>
        </w:tc>
        <w:tc>
          <w:tcPr>
            <w:tcW w:type="dxa" w:w="1130"/>
          </w:tcPr>
          <w:p>
            <w:pPr>
              <w:spacing w:after="20"/>
            </w:pPr>
            <w:r>
              <w:rPr>
                <w:sz w:val="16"/>
              </w:rPr>
              <w:t>€240,000</w:t>
            </w:r>
          </w:p>
        </w:tc>
        <w:tc>
          <w:tcPr>
            <w:tcW w:type="dxa" w:w="1130"/>
          </w:tcPr>
          <w:p>
            <w:pPr>
              <w:spacing w:after="20"/>
            </w:pPr>
            <w:r>
              <w:rPr>
                <w:sz w:val="16"/>
              </w:rPr>
              <w:t>€100,000</w:t>
            </w:r>
          </w:p>
        </w:tc>
        <w:tc>
          <w:tcPr>
            <w:tcW w:type="dxa" w:w="1130"/>
          </w:tcPr>
          <w:p>
            <w:pPr>
              <w:spacing w:after="20"/>
            </w:pPr>
            <w:r>
              <w:rPr>
                <w:sz w:val="16"/>
              </w:rPr>
              <w:t>6</w:t>
            </w:r>
          </w:p>
        </w:tc>
        <w:tc>
          <w:tcPr>
            <w:tcW w:type="dxa" w:w="1130"/>
          </w:tcPr>
          <w:p>
            <w:pPr>
              <w:spacing w:after="20"/>
            </w:pPr>
            <w:r>
              <w:rPr>
                <w:sz w:val="16"/>
              </w:rPr>
              <w:t>€58,562</w:t>
            </w:r>
          </w:p>
        </w:tc>
        <w:tc>
          <w:tcPr>
            <w:tcW w:type="dxa" w:w="1130"/>
          </w:tcPr>
          <w:p>
            <w:pPr>
              <w:spacing w:after="20"/>
            </w:pPr>
            <w:r>
              <w:rPr>
                <w:sz w:val="16"/>
              </w:rPr>
              <w:t>€186,329</w:t>
            </w:r>
          </w:p>
        </w:tc>
        <w:tc>
          <w:tcPr>
            <w:tcW w:type="dxa" w:w="1130"/>
          </w:tcPr>
          <w:p>
            <w:pPr>
              <w:spacing w:after="20"/>
            </w:pPr>
            <w:r>
              <w:rPr>
                <w:sz w:val="16"/>
              </w:rPr>
              <w:t>€314,096</w:t>
            </w:r>
          </w:p>
        </w:tc>
        <w:tc>
          <w:tcPr>
            <w:tcW w:type="dxa" w:w="1130"/>
          </w:tcPr>
          <w:p>
            <w:pPr>
              <w:spacing w:after="20"/>
            </w:pPr>
            <w:r>
              <w:rPr>
                <w:sz w:val="16"/>
              </w:rPr>
              <w:t>€29,264</w:t>
            </w:r>
          </w:p>
        </w:tc>
        <w:tc>
          <w:tcPr>
            <w:tcW w:type="dxa" w:w="1130"/>
          </w:tcPr>
          <w:p>
            <w:pPr>
              <w:spacing w:after="20"/>
            </w:pPr>
            <w:r>
              <w:rPr>
                <w:sz w:val="16"/>
              </w:rPr>
              <w:t>1.3y</w:t>
            </w:r>
          </w:p>
        </w:tc>
      </w:tr>
      <w:tr>
        <w:tc>
          <w:tcPr>
            <w:tcW w:type="dxa" w:w="1130"/>
          </w:tcPr>
          <w:p>
            <w:pPr>
              <w:spacing w:after="20"/>
            </w:pPr>
            <w:r>
              <w:rPr>
                <w:sz w:val="16"/>
              </w:rPr>
              <w:t>POL + CZE</w:t>
            </w:r>
          </w:p>
        </w:tc>
        <w:tc>
          <w:tcPr>
            <w:tcW w:type="dxa" w:w="1130"/>
          </w:tcPr>
          <w:p>
            <w:pPr>
              <w:spacing w:after="20"/>
            </w:pPr>
            <w:r>
              <w:rPr>
                <w:sz w:val="16"/>
              </w:rPr>
              <w:t>€205,000</w:t>
            </w:r>
          </w:p>
        </w:tc>
        <w:tc>
          <w:tcPr>
            <w:tcW w:type="dxa" w:w="1130"/>
          </w:tcPr>
          <w:p>
            <w:pPr>
              <w:spacing w:after="20"/>
            </w:pPr>
            <w:r>
              <w:rPr>
                <w:sz w:val="16"/>
              </w:rPr>
              <w:t>€85,000</w:t>
            </w:r>
          </w:p>
        </w:tc>
        <w:tc>
          <w:tcPr>
            <w:tcW w:type="dxa" w:w="1130"/>
          </w:tcPr>
          <w:p>
            <w:pPr>
              <w:spacing w:after="20"/>
            </w:pPr>
            <w:r>
              <w:rPr>
                <w:sz w:val="16"/>
              </w:rPr>
              <w:t>5</w:t>
            </w:r>
          </w:p>
        </w:tc>
        <w:tc>
          <w:tcPr>
            <w:tcW w:type="dxa" w:w="1130"/>
          </w:tcPr>
          <w:p>
            <w:pPr>
              <w:spacing w:after="20"/>
            </w:pPr>
            <w:r>
              <w:rPr>
                <w:sz w:val="16"/>
              </w:rPr>
              <w:t>€56,856</w:t>
            </w:r>
          </w:p>
        </w:tc>
        <w:tc>
          <w:tcPr>
            <w:tcW w:type="dxa" w:w="1130"/>
          </w:tcPr>
          <w:p>
            <w:pPr>
              <w:spacing w:after="20"/>
            </w:pPr>
            <w:r>
              <w:rPr>
                <w:sz w:val="16"/>
              </w:rPr>
              <w:t>€178,995</w:t>
            </w:r>
          </w:p>
        </w:tc>
        <w:tc>
          <w:tcPr>
            <w:tcW w:type="dxa" w:w="1130"/>
          </w:tcPr>
          <w:p>
            <w:pPr>
              <w:spacing w:after="20"/>
            </w:pPr>
            <w:r>
              <w:rPr>
                <w:sz w:val="16"/>
              </w:rPr>
              <w:t>€301,134</w:t>
            </w:r>
          </w:p>
        </w:tc>
        <w:tc>
          <w:tcPr>
            <w:tcW w:type="dxa" w:w="1130"/>
          </w:tcPr>
          <w:p>
            <w:pPr>
              <w:spacing w:after="20"/>
            </w:pPr>
            <w:r>
              <w:rPr>
                <w:sz w:val="16"/>
              </w:rPr>
              <w:t>€-78,570</w:t>
            </w:r>
          </w:p>
        </w:tc>
        <w:tc>
          <w:tcPr>
            <w:tcW w:type="dxa" w:w="1130"/>
          </w:tcPr>
          <w:p>
            <w:pPr>
              <w:spacing w:after="20"/>
            </w:pPr>
            <w:r>
              <w:rPr>
                <w:sz w:val="16"/>
              </w:rPr>
              <w:t>1.1y</w:t>
            </w:r>
          </w:p>
        </w:tc>
      </w:tr>
    </w:tbl>
    <w:p>
      <w:r>
        <w:t>Strongest feasible alternative excluding the recommendation, ranked by base annual increment: CZE + ESP at €198,099/year, €225,000 capex and 5 FTE. It gives up €-31,168/year versus the selected combination under the same additive base arithmetic. In the stress case it produces €32,180/year versus €107,630/year for the recommendation; the comparison is sensitive to the stress assumptions and should be treated as a sequencing choice, not a proven ranking of real-world hub outcomes.</w:t>
      </w:r>
    </w:p>
    <w:p>
      <w:r>
        <w:t>Decision-changing assumption. The recommendation rests on assumed volume uplifts of 10%–40% and recurring per-unit fulfillment savings. For each option, the break-even volume uplift solves u=(F−U×s)/(C+U×s) when denominator is positive. Use the pilot to verify actual avoidable fulfillment savings, incremental volume, repeat purchase effects and annual fixed costs before releasing full capex. If measured savings/volume fall below a selected option’s break-even, defer or compare a lower-cost pair.</w:t>
      </w:r>
    </w:p>
    <w:p>
      <w:r>
        <w:t>Hard constraints are the board-set budget, staffing and maximum number of hubs. The scenario model is additive with no network synergy. Maximizing the minimum supplied-case increment is a conservative preference chosen for this recommendation, not a board-provided weight or probability. A base-only decision would choose CZE + ESP: EUR31,168 more annual base contribution, but EUR75,450 less in the defined stress case.</w:t>
      </w:r>
    </w:p>
    <w:p>
      <w:r>
        <w:br w:type="page"/>
      </w:r>
    </w:p>
    <w:p>
      <w:pPr>
        <w:pStyle w:val="Heading1"/>
      </w:pPr>
      <w:r>
        <w:t>5  /  90-day execution and gates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pPr>
              <w:spacing w:after="20"/>
            </w:pPr>
            <w:r>
              <w:rPr>
                <w:sz w:val="16"/>
              </w:rPr>
              <w:t>Timing / owner</w:t>
            </w:r>
          </w:p>
        </w:tc>
        <w:tc>
          <w:tcPr>
            <w:tcW w:type="dxa" w:w="3389"/>
          </w:tcPr>
          <w:p>
            <w:pPr>
              <w:spacing w:after="20"/>
            </w:pPr>
            <w:r>
              <w:rPr>
                <w:sz w:val="16"/>
              </w:rPr>
              <w:t>Work and dependency</w:t>
            </w:r>
          </w:p>
        </w:tc>
        <w:tc>
          <w:tcPr>
            <w:tcW w:type="dxa" w:w="3389"/>
          </w:tcPr>
          <w:p>
            <w:pPr>
              <w:spacing w:after="20"/>
            </w:pPr>
            <w:r>
              <w:rPr>
                <w:sz w:val="16"/>
              </w:rPr>
              <w:t>Gate / evidence</w:t>
            </w:r>
          </w:p>
        </w:tc>
      </w:tr>
      <w:tr>
        <w:tc>
          <w:tcPr>
            <w:tcW w:type="dxa" w:w="3389"/>
          </w:tcPr>
          <w:p>
            <w:pPr>
              <w:spacing w:after="20"/>
            </w:pPr>
            <w:r>
              <w:rPr>
                <w:sz w:val="16"/>
              </w:rPr>
              <w:t>Days 0–15 • COO + Finance</w:t>
            </w:r>
          </w:p>
        </w:tc>
        <w:tc>
          <w:tcPr>
            <w:tcW w:type="dxa" w:w="3389"/>
          </w:tcPr>
          <w:p>
            <w:pPr>
              <w:spacing w:after="20"/>
            </w:pPr>
            <w:r>
              <w:rPr>
                <w:sz w:val="16"/>
              </w:rPr>
              <w:t>Authorize discovery and pilot design; validate option scope, actual avoidable freight/handling baseline, fixed-cost quote, FX treatment, service geography and KPI definitions. Finance reconciles shipment/return baseline.</w:t>
            </w:r>
          </w:p>
        </w:tc>
        <w:tc>
          <w:tcPr>
            <w:tcW w:type="dxa" w:w="3389"/>
          </w:tcPr>
          <w:p>
            <w:pPr>
              <w:spacing w:after="20"/>
            </w:pPr>
            <w:r>
              <w:rPr>
                <w:sz w:val="16"/>
              </w:rPr>
              <w:t>Gate 1: approve only if auditable baseline and target cohort exist; set cash capex release schedule.</w:t>
            </w:r>
          </w:p>
        </w:tc>
      </w:tr>
      <w:tr>
        <w:tc>
          <w:tcPr>
            <w:tcW w:type="dxa" w:w="3389"/>
          </w:tcPr>
          <w:p>
            <w:pPr>
              <w:spacing w:after="20"/>
            </w:pPr>
            <w:r>
              <w:rPr>
                <w:sz w:val="16"/>
              </w:rPr>
              <w:t>Days 16–35 • Operations + Data</w:t>
            </w:r>
          </w:p>
        </w:tc>
        <w:tc>
          <w:tcPr>
            <w:tcW w:type="dxa" w:w="3389"/>
          </w:tcPr>
          <w:p>
            <w:pPr>
              <w:spacing w:after="20"/>
            </w:pPr>
            <w:r>
              <w:rPr>
                <w:sz w:val="16"/>
              </w:rPr>
              <w:t>Select service zone and eligible SKUs; map lead-time promise, inventory/transfer design, labor plan, landlord/3PL quotes, returns/restock process, country tax/legal review. Establish holdout or matched comparison.</w:t>
            </w:r>
          </w:p>
        </w:tc>
        <w:tc>
          <w:tcPr>
            <w:tcW w:type="dxa" w:w="3389"/>
          </w:tcPr>
          <w:p>
            <w:pPr>
              <w:spacing w:after="20"/>
            </w:pPr>
            <w:r>
              <w:rPr>
                <w:sz w:val="16"/>
              </w:rPr>
              <w:t>Gate 2: signed costed operating design, service SLA, owner, data completeness ≥98%, and capex within budget.</w:t>
            </w:r>
          </w:p>
        </w:tc>
      </w:tr>
      <w:tr>
        <w:tc>
          <w:tcPr>
            <w:tcW w:type="dxa" w:w="3389"/>
          </w:tcPr>
          <w:p>
            <w:pPr>
              <w:spacing w:after="20"/>
            </w:pPr>
            <w:r>
              <w:rPr>
                <w:sz w:val="16"/>
              </w:rPr>
              <w:t>Days 36–65 • Country lead + Supply Chain</w:t>
            </w:r>
          </w:p>
        </w:tc>
        <w:tc>
          <w:tcPr>
            <w:tcW w:type="dxa" w:w="3389"/>
          </w:tcPr>
          <w:p>
            <w:pPr>
              <w:spacing w:after="20"/>
            </w:pPr>
            <w:r>
              <w:rPr>
                <w:sz w:val="16"/>
              </w:rPr>
              <w:t>Run reversible pilot using temporary space/3PL or reserved stock before lease/build; train staff; monitor order cohorts, promise-date performance, fill rate, incremental volume and unit handling cost.</w:t>
            </w:r>
          </w:p>
        </w:tc>
        <w:tc>
          <w:tcPr>
            <w:tcW w:type="dxa" w:w="3389"/>
          </w:tcPr>
          <w:p>
            <w:pPr>
              <w:spacing w:after="20"/>
            </w:pPr>
            <w:r>
              <w:rPr>
                <w:sz w:val="16"/>
              </w:rPr>
              <w:t>Gate 3: no scale decision until ≥4 weeks usable pilot data; stop for safety/compliance breach, stock accuracy &lt;98%, or negative contribution trend.</w:t>
            </w:r>
          </w:p>
        </w:tc>
      </w:tr>
      <w:tr>
        <w:tc>
          <w:tcPr>
            <w:tcW w:type="dxa" w:w="3389"/>
          </w:tcPr>
          <w:p>
            <w:pPr>
              <w:spacing w:after="20"/>
            </w:pPr>
            <w:r>
              <w:rPr>
                <w:sz w:val="16"/>
              </w:rPr>
              <w:t>Days 66–90 • CFO + COO + Board sponsor</w:t>
            </w:r>
          </w:p>
        </w:tc>
        <w:tc>
          <w:tcPr>
            <w:tcW w:type="dxa" w:w="3389"/>
          </w:tcPr>
          <w:p>
            <w:pPr>
              <w:spacing w:after="20"/>
            </w:pPr>
            <w:r>
              <w:rPr>
                <w:sz w:val="16"/>
              </w:rPr>
              <w:t>Compare pilot to pre-registered baseline/holdout; update low/base/high and return/FX stress; validate capex, hiring and recurring cost quotes; document strongest alternative and defer case.</w:t>
            </w:r>
          </w:p>
        </w:tc>
        <w:tc>
          <w:tcPr>
            <w:tcW w:type="dxa" w:w="3389"/>
          </w:tcPr>
          <w:p>
            <w:pPr>
              <w:spacing w:after="20"/>
            </w:pPr>
            <w:r>
              <w:rPr>
                <w:sz w:val="16"/>
              </w:rPr>
              <w:t>Gate 4: release full site capex only if annualized incremental contribution after recurring fixed cost is positive in base, capex/FTE caps hold, and downside is accepted. Otherwise defer/reconfigure.</w:t>
            </w:r>
          </w:p>
        </w:tc>
      </w:tr>
    </w:tbl>
    <w:p>
      <w:r>
        <w:t>KPI plan (weekly pilot; monthly board view): incremental shipped orders and units against matched/control baseline; net sales and return rate by sale cohort; contribution after product cost and fulfillment; avoidable fulfillment EUR/unit; median and 90th-percentile order-to-delivery days; on-time-in-full; fill rate; stock accuracy; restocked share and return cycle time; annualized recurring hub cost; capex committed versus approved; staffed FTE. Report numerator, denominator, comparison period and confidence/coverage. Do not label seasonal or mix differences as hub lift without a credible comparison design.</w:t>
      </w:r>
    </w:p>
    <w:p>
      <w:r>
        <w:t>Key risks and mitigations. Demand uplift may not materialize: use matched holdout and reversible pilot. Claimed unit savings may not be avoidable: validate invoice-level cost stack. Currency translation may differ from actual settlements: stress PLN/CZK and monitor booked-to-cash FX separately. Inventory fragmentation can lower availability or inflate working capital: pilot limited SKU set and enforce stock accuracy. Return behavior may erode margin: monitor cohort refunds and restocking, and gate scale on contribution after returns. Fixed-cost, labor, lease and legal assumptions are synthetic or absent: obtain local quotes and counsel before commitment.</w:t>
      </w:r>
    </w:p>
    <w:p>
      <w:r>
        <w:br w:type="page"/>
      </w:r>
    </w:p>
    <w:p>
      <w:pPr>
        <w:pStyle w:val="Heading1"/>
      </w:pPr>
      <w:r>
        <w:t>Appendix  /  Sources, reproducibility and limits</w:t>
      </w:r>
    </w:p>
    <w:p>
      <w:r>
        <w:t>Evidence-linked source set (all original files saved in sources/raw):</w:t>
      </w:r>
    </w:p>
    <w:p>
      <w:pPr>
        <w:pStyle w:val="ListBullet"/>
      </w:pPr>
      <w:r>
        <w:t>Synthetic order pages and corrections, return file, unit costs, hub options and scenario policy: source-room files; source register records local hash, file size and status.</w:t>
      </w:r>
    </w:p>
    <w:p>
      <w:pPr>
        <w:pStyle w:val="ListBullet"/>
      </w:pPr>
      <w:r>
        <w:t>ECB daily reference rates: https://www.ecb.europa.eu/stats/eurofxref/eurofxref-hist.zip (frozen public snapshot; retrieval timestamp in source-room source-register.json).</w:t>
      </w:r>
    </w:p>
    <w:p>
      <w:pPr>
        <w:pStyle w:val="ListBullet"/>
      </w:pPr>
      <w:r>
        <w:t>World Bank population: https://api.worldbank.org/v2/country/DEU;FRA;NLD;POL;CZE;ESP/indicator/SP.POP.TOTL?date=2022:2024&amp;format=json&amp;per_page=1000</w:t>
      </w:r>
    </w:p>
    <w:p>
      <w:pPr>
        <w:pStyle w:val="ListBullet"/>
      </w:pPr>
      <w:r>
        <w:t>World Bank GDP/capita: https://api.worldbank.org/v2/country/DEU;FRA;NLD;POL;CZE;ESP/indicator/NY.GDP.PCAP.CD?date=2022:2024&amp;format=json&amp;per_page=1000</w:t>
      </w:r>
    </w:p>
    <w:p>
      <w:r>
        <w:t>Rebuild from the project directory with: python3 analysis/build.py. Inputs are saved, so no network access is needed after collection. The script produces deliverables/metrics.json, deliverables/meridian_analysis.xlsx, deliverables/meridian_board_brief.docx and deliverables/meridian_board_deck.pptx, plus sources/source-register.json. A separate validation script checks reconciliation, deterministic JSON keys, decision constraints, and workbook integrity.</w:t>
      </w:r>
    </w:p>
    <w:p>
      <w:r>
        <w:t>Limitations: inputs are synthetic; archived World Bank/ECB snapshots may include historical revisions after 2025. Reference FX is an analytical translation convention. 2025 is one year and has no seasonal adjustment; no causal lift data or confidence intervals exist. Scenario payback is undiscounted, assumes steady annual run rate and additive/no-synergy pair economics, and omits tax, depreciation, ramp, working capital, lease exit, labor-market dynamics and discounting. The recommendation is conditional and not statistically proven.</w:t>
      </w:r>
    </w:p>
    <w:sectPr w:rsidR="00FC693F" w:rsidRPr="0006063C" w:rsidSect="00034616">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7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B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