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AUTHORITATIVE SOURCE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Portfolio delivery report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Source narrative for the June executive update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Executive context</w:t>
      </w:r>
    </w:p>
    <w:p>
      <w:r>
        <w:rPr>
          <w:rFonts w:ascii="Calibri" w:hAnsi="Calibri"/>
          <w:b w:val="0"/>
          <w:i w:val="0"/>
          <w:color w:val="182230"/>
          <w:sz w:val="22"/>
        </w:rPr>
        <w:t>Three of four workstreams remain on plan. Enablement is constrained by facilitator capacity, while Support still needs a named post-launch escalation owner.</w:t>
      </w:r>
    </w:p>
    <w:p>
      <w:pPr>
        <w:pStyle w:val="Heading1"/>
      </w:pPr>
      <w:r>
        <w:t>Decision required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Approve one additional facilitator through 2026-07-18.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Keep the Platform change freeze until migration validation closes.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Name the Support escalation owner before launch readiness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