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CALIBRATION REFERENCE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Campaign performance readout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Scale and efficiency separated for the next-cycle decision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Finding</w:t>
      </w:r>
    </w:p>
    <w:p>
      <w:r>
        <w:rPr>
          <w:rFonts w:ascii="Calibri" w:hAnsi="Calibri"/>
          <w:b w:val="0"/>
          <w:i w:val="0"/>
          <w:color w:val="182230"/>
          <w:sz w:val="22"/>
        </w:rPr>
        <w:t>Partner produced the most efficient qualified demand at approximately $130 per qualified lead. Search generated the largest pipeline at $310,000.</w:t>
      </w:r>
    </w:p>
    <w:p>
      <w:pPr>
        <w:pStyle w:val="Heading1"/>
      </w:pPr>
      <w:r>
        <w:t>Channel comparison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400"/>
        <w:gridCol w:w="1400"/>
        <w:gridCol w:w="1700"/>
        <w:gridCol w:w="3360"/>
      </w:tblGrid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Channel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Spend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Qualified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Pipeline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F6B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Decision role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Search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$24,000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198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$310,000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Scale with tighter intent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Events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$18,000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104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$220,000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Selective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Partner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$12,000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92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$205,000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Efficiency test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Email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$6,000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84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$98,000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82230"/>
                <w:sz w:val="19"/>
              </w:rPr>
              <w:t>Nurture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