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CALIBRATION REFERENCE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Facilities vendor comparison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Decision brief with an explicit source conflict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Decision summary</w:t>
      </w:r>
    </w:p>
    <w:p>
      <w:r>
        <w:rPr>
          <w:rFonts w:ascii="Calibri" w:hAnsi="Calibri"/>
          <w:b w:val="0"/>
          <w:i w:val="0"/>
          <w:color w:val="182230"/>
          <w:sz w:val="22"/>
        </w:rPr>
        <w:t>Cobalt cannot be ranked on price until procurement resolves the conflict between the $48,500 table value and the revised $51,000 quote.</w:t>
      </w:r>
    </w:p>
    <w:p>
      <w:pPr>
        <w:pStyle w:val="Heading1"/>
      </w:pPr>
      <w:r>
        <w:t>Comparable facts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000"/>
        <w:gridCol w:w="1700"/>
        <w:gridCol w:w="276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Vendor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Price evidence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Lead time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Service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Northline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$52,000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4 weeks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Weekdays 08:00-18:00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Cobalt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$48,500 / $51,000 conflict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6 weeks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Weekdays 07:00-19:00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Harbor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$55,000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3 weeks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24/5</w:t>
            </w:r>
          </w:p>
        </w:tc>
      </w:tr>
    </w:tbl>
    <w:p>
      <w:pPr>
        <w:spacing w:after="40"/>
      </w:pPr>
    </w:p>
    <w:p>
      <w:pPr>
        <w:pStyle w:val="Heading1"/>
      </w:pPr>
      <w:r>
        <w:t>Recommended next step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Hold the price-based recommendation.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Ask procurement to confirm the controlling Cobalt quote before 2026-08-07.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Retain lead time and service-window differences for the final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