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1F014F3" w14:textId="77777777" w:rsidR="00753BC0" w:rsidRPr="0056655F" w:rsidRDefault="00753BC0" w:rsidP="00753BC0">
      <w:pPr>
        <w:spacing w:before="480" w:after="120" w:line="240" w:lineRule="auto"/>
        <w:outlineLvl w:val="0"/>
        <w:rPr>
          <w:rFonts w:ascii="Times New Roman" w:eastAsia="Times New Roman" w:hAnsi="Times New Roman" w:cs="Times New Roman"/>
          <w:b/>
          <w:bCs/>
          <w:color w:val="000000"/>
          <w:kern w:val="36"/>
          <w:sz w:val="22"/>
          <w:szCs w:val="22"/>
          <w14:ligatures w14:val="none"/>
        </w:rPr>
      </w:pPr>
      <w:r w:rsidRPr="0056655F">
        <w:rPr>
          <w:rFonts w:ascii="Arial" w:eastAsia="Times New Roman" w:hAnsi="Arial" w:cs="Arial"/>
          <w:b/>
          <w:bCs/>
          <w:color w:val="000000"/>
          <w:kern w:val="36"/>
          <w:sz w:val="22"/>
          <w:szCs w:val="22"/>
          <w14:ligatures w14:val="none"/>
        </w:rPr>
        <w:t>A Decomposed Knobe-Effect Stimulus Set for LLMs</w:t>
      </w:r>
    </w:p>
    <w:p w14:paraId="75C6E3F7" w14:textId="77777777" w:rsidR="00753BC0" w:rsidRPr="0056655F" w:rsidRDefault="00753BC0" w:rsidP="00753BC0">
      <w:pPr>
        <w:spacing w:before="240" w:after="240" w:line="240" w:lineRule="auto"/>
        <w:rPr>
          <w:rFonts w:ascii="Times New Roman" w:eastAsia="Times New Roman" w:hAnsi="Times New Roman" w:cs="Times New Roman"/>
          <w:color w:val="000000"/>
          <w:kern w:val="0"/>
          <w:sz w:val="22"/>
          <w:szCs w:val="22"/>
          <w14:ligatures w14:val="none"/>
        </w:rPr>
      </w:pPr>
      <w:r w:rsidRPr="0056655F">
        <w:rPr>
          <w:rFonts w:ascii="Arial" w:eastAsia="Times New Roman" w:hAnsi="Arial" w:cs="Arial"/>
          <w:color w:val="000000"/>
          <w:kern w:val="0"/>
          <w:sz w:val="22"/>
          <w:szCs w:val="22"/>
          <w14:ligatures w14:val="none"/>
        </w:rPr>
        <w:t xml:space="preserve">This project extends Raimondi et al.'s three-stage investigation of the Knobe effect in LLMs — behavioral existence, mechanistic localization, and causal intervention — by asking, at each stage, not just </w:t>
      </w:r>
      <w:r w:rsidRPr="0056655F">
        <w:rPr>
          <w:rFonts w:ascii="Arial" w:eastAsia="Times New Roman" w:hAnsi="Arial" w:cs="Arial"/>
          <w:i/>
          <w:iCs/>
          <w:color w:val="000000"/>
          <w:kern w:val="0"/>
          <w:sz w:val="22"/>
          <w:szCs w:val="22"/>
          <w14:ligatures w14:val="none"/>
        </w:rPr>
        <w:t>whether</w:t>
      </w:r>
      <w:r w:rsidRPr="0056655F">
        <w:rPr>
          <w:rFonts w:ascii="Arial" w:eastAsia="Times New Roman" w:hAnsi="Arial" w:cs="Arial"/>
          <w:color w:val="000000"/>
          <w:kern w:val="0"/>
          <w:sz w:val="22"/>
          <w:szCs w:val="22"/>
          <w14:ligatures w14:val="none"/>
        </w:rPr>
        <w:t xml:space="preserve"> the effect is present, localizable, or patchable, but </w:t>
      </w:r>
      <w:r w:rsidRPr="0056655F">
        <w:rPr>
          <w:rFonts w:ascii="Arial" w:eastAsia="Times New Roman" w:hAnsi="Arial" w:cs="Arial"/>
          <w:i/>
          <w:iCs/>
          <w:color w:val="000000"/>
          <w:kern w:val="0"/>
          <w:sz w:val="22"/>
          <w:szCs w:val="22"/>
          <w14:ligatures w14:val="none"/>
        </w:rPr>
        <w:t>what it is actually made of</w:t>
      </w:r>
      <w:r w:rsidRPr="0056655F">
        <w:rPr>
          <w:rFonts w:ascii="Arial" w:eastAsia="Times New Roman" w:hAnsi="Arial" w:cs="Arial"/>
          <w:color w:val="000000"/>
          <w:kern w:val="0"/>
          <w:sz w:val="22"/>
          <w:szCs w:val="22"/>
          <w14:ligatures w14:val="none"/>
        </w:rPr>
        <w:t xml:space="preserve">. Raimondi et al. operationalize the effect as a single categorical contrast (negative versus positive side effects) and report a single scalar summary of its localization and </w:t>
      </w:r>
      <w:proofErr w:type="spellStart"/>
      <w:r w:rsidRPr="0056655F">
        <w:rPr>
          <w:rFonts w:ascii="Arial" w:eastAsia="Times New Roman" w:hAnsi="Arial" w:cs="Arial"/>
          <w:color w:val="000000"/>
          <w:kern w:val="0"/>
          <w:sz w:val="22"/>
          <w:szCs w:val="22"/>
          <w14:ligatures w14:val="none"/>
        </w:rPr>
        <w:t>patchability</w:t>
      </w:r>
      <w:proofErr w:type="spellEnd"/>
      <w:r w:rsidRPr="0056655F">
        <w:rPr>
          <w:rFonts w:ascii="Arial" w:eastAsia="Times New Roman" w:hAnsi="Arial" w:cs="Arial"/>
          <w:color w:val="000000"/>
          <w:kern w:val="0"/>
          <w:sz w:val="22"/>
          <w:szCs w:val="22"/>
          <w14:ligatures w14:val="none"/>
        </w:rPr>
        <w:t>. Every research question below asks whether that single contrast is in fact a composite of several dissociable component effects — and each one depends directly on a design choice made above, without which the question could not be asked in decomposable form at all.</w:t>
      </w:r>
    </w:p>
    <w:p w14:paraId="6A24832C" w14:textId="77777777" w:rsidR="00753BC0" w:rsidRPr="0056655F" w:rsidRDefault="00753BC0" w:rsidP="00753BC0">
      <w:pPr>
        <w:spacing w:before="280" w:after="80" w:line="240" w:lineRule="auto"/>
        <w:outlineLvl w:val="2"/>
        <w:rPr>
          <w:rFonts w:ascii="Times New Roman" w:eastAsia="Times New Roman" w:hAnsi="Times New Roman" w:cs="Times New Roman"/>
          <w:b/>
          <w:bCs/>
          <w:color w:val="000000"/>
          <w:kern w:val="0"/>
          <w:sz w:val="22"/>
          <w:szCs w:val="22"/>
          <w14:ligatures w14:val="none"/>
        </w:rPr>
      </w:pPr>
      <w:r w:rsidRPr="0056655F">
        <w:rPr>
          <w:rFonts w:ascii="Arial" w:eastAsia="Times New Roman" w:hAnsi="Arial" w:cs="Arial"/>
          <w:b/>
          <w:bCs/>
          <w:color w:val="000000"/>
          <w:kern w:val="0"/>
          <w:sz w:val="22"/>
          <w:szCs w:val="22"/>
          <w14:ligatures w14:val="none"/>
        </w:rPr>
        <w:t>RQ1 (behavioral existence/dissociation, extends Raimondi RQ1)</w:t>
      </w:r>
    </w:p>
    <w:p w14:paraId="15C92659" w14:textId="77777777" w:rsidR="00753BC0" w:rsidRPr="0056655F" w:rsidRDefault="00753BC0" w:rsidP="00753BC0">
      <w:pPr>
        <w:spacing w:before="240" w:after="240" w:line="240" w:lineRule="auto"/>
        <w:rPr>
          <w:rFonts w:ascii="Times New Roman" w:eastAsia="Times New Roman" w:hAnsi="Times New Roman" w:cs="Times New Roman"/>
          <w:color w:val="000000"/>
          <w:kern w:val="0"/>
          <w:sz w:val="22"/>
          <w:szCs w:val="22"/>
          <w14:ligatures w14:val="none"/>
        </w:rPr>
      </w:pPr>
      <w:r w:rsidRPr="0056655F">
        <w:rPr>
          <w:rFonts w:ascii="Arial" w:eastAsia="Times New Roman" w:hAnsi="Arial" w:cs="Arial"/>
          <w:color w:val="000000"/>
          <w:kern w:val="0"/>
          <w:sz w:val="22"/>
          <w:szCs w:val="22"/>
          <w14:ligatures w14:val="none"/>
        </w:rPr>
        <w:t>Beyond confirming a general negative-greater-than-positive intentionality asymmetry in finetuned models, is that asymmetry actually a composite of several dissociable component effects? This question is motivated directly by Raimondi et al.'s own finding that the base asymmetry is finetuning-contingent rather than a fixed property of language models in general — its presence cannot be assumed, only established per model, which is why RQ1 is framed as a live empirical question rather than a formality preceding the mechanistic stages.</w:t>
      </w:r>
    </w:p>
    <w:p w14:paraId="60D0E55E" w14:textId="77777777" w:rsidR="00753BC0" w:rsidRPr="0056655F" w:rsidRDefault="00753BC0" w:rsidP="00753BC0">
      <w:pPr>
        <w:numPr>
          <w:ilvl w:val="0"/>
          <w:numId w:val="1"/>
        </w:numPr>
        <w:spacing w:before="240" w:after="0" w:line="240" w:lineRule="auto"/>
        <w:textAlignment w:val="baseline"/>
        <w:rPr>
          <w:rFonts w:ascii="Arial" w:eastAsia="Times New Roman" w:hAnsi="Arial" w:cs="Arial"/>
          <w:color w:val="000000"/>
          <w:kern w:val="0"/>
          <w:sz w:val="22"/>
          <w:szCs w:val="22"/>
          <w14:ligatures w14:val="none"/>
        </w:rPr>
      </w:pPr>
      <w:r w:rsidRPr="0056655F">
        <w:rPr>
          <w:rFonts w:ascii="Arial" w:eastAsia="Times New Roman" w:hAnsi="Arial" w:cs="Arial"/>
          <w:b/>
          <w:bCs/>
          <w:color w:val="000000"/>
          <w:kern w:val="0"/>
          <w:sz w:val="22"/>
          <w:szCs w:val="22"/>
          <w14:ligatures w14:val="none"/>
        </w:rPr>
        <w:t>1a (valence type)</w:t>
      </w:r>
      <w:r w:rsidRPr="0056655F">
        <w:rPr>
          <w:rFonts w:ascii="Arial" w:eastAsia="Times New Roman" w:hAnsi="Arial" w:cs="Arial"/>
          <w:color w:val="000000"/>
          <w:kern w:val="0"/>
          <w:sz w:val="22"/>
          <w:szCs w:val="22"/>
          <w14:ligatures w14:val="none"/>
        </w:rPr>
        <w:t xml:space="preserve"> asks whether the asymmetry persists, shrinks, or disappears for nonmoral valence, holding intensity and typicality constant. This is only askable because of the five-category taxonomy (Sections 3–4): without an explicit, criterion-based distinction between moral and nonmoral valence, a simple good/bad contrast cannot separate "the model responds to badness" from "the model responds to moral badness specifically."</w:t>
      </w:r>
    </w:p>
    <w:p w14:paraId="48FC3A76" w14:textId="77777777" w:rsidR="00753BC0" w:rsidRPr="0056655F" w:rsidRDefault="00753BC0" w:rsidP="00753BC0">
      <w:pPr>
        <w:numPr>
          <w:ilvl w:val="0"/>
          <w:numId w:val="1"/>
        </w:numPr>
        <w:spacing w:after="0" w:line="240" w:lineRule="auto"/>
        <w:textAlignment w:val="baseline"/>
        <w:rPr>
          <w:rFonts w:ascii="Arial" w:eastAsia="Times New Roman" w:hAnsi="Arial" w:cs="Arial"/>
          <w:color w:val="000000"/>
          <w:kern w:val="0"/>
          <w:sz w:val="22"/>
          <w:szCs w:val="22"/>
          <w14:ligatures w14:val="none"/>
        </w:rPr>
      </w:pPr>
      <w:r w:rsidRPr="0056655F">
        <w:rPr>
          <w:rFonts w:ascii="Arial" w:eastAsia="Times New Roman" w:hAnsi="Arial" w:cs="Arial"/>
          <w:b/>
          <w:bCs/>
          <w:color w:val="000000"/>
          <w:kern w:val="0"/>
          <w:sz w:val="22"/>
          <w:szCs w:val="22"/>
          <w14:ligatures w14:val="none"/>
        </w:rPr>
        <w:t>1b (responsibility)</w:t>
      </w:r>
      <w:r w:rsidRPr="0056655F">
        <w:rPr>
          <w:rFonts w:ascii="Arial" w:eastAsia="Times New Roman" w:hAnsi="Arial" w:cs="Arial"/>
          <w:color w:val="000000"/>
          <w:kern w:val="0"/>
          <w:sz w:val="22"/>
          <w:szCs w:val="22"/>
          <w14:ligatures w14:val="none"/>
        </w:rPr>
        <w:t xml:space="preserve"> asks whether intentionality correlates with blame on negative items without a corresponding correlation between intentionality and praise on positive items (the </w:t>
      </w:r>
      <w:proofErr w:type="spellStart"/>
      <w:r w:rsidRPr="0056655F">
        <w:rPr>
          <w:rFonts w:ascii="Arial" w:eastAsia="Times New Roman" w:hAnsi="Arial" w:cs="Arial"/>
          <w:color w:val="000000"/>
          <w:kern w:val="0"/>
          <w:sz w:val="22"/>
          <w:szCs w:val="22"/>
          <w14:ligatures w14:val="none"/>
        </w:rPr>
        <w:t>Hindriks</w:t>
      </w:r>
      <w:proofErr w:type="spellEnd"/>
      <w:r w:rsidRPr="0056655F">
        <w:rPr>
          <w:rFonts w:ascii="Arial" w:eastAsia="Times New Roman" w:hAnsi="Arial" w:cs="Arial"/>
          <w:color w:val="000000"/>
          <w:kern w:val="0"/>
          <w:sz w:val="22"/>
          <w:szCs w:val="22"/>
          <w14:ligatures w14:val="none"/>
        </w:rPr>
        <w:t xml:space="preserve"> asymmetry), tested within both moral and nonmoral items. This depends on blame and praise being collected as separate unipolar main-experiment measures (Section 13) rather than a single unlabeled valence score, and on the moral/nonmoral taxonomy from 1a to check whether the asymmetry is moral-specific or general.</w:t>
      </w:r>
    </w:p>
    <w:p w14:paraId="0F5BAF9D" w14:textId="77777777" w:rsidR="00753BC0" w:rsidRPr="0056655F" w:rsidRDefault="00753BC0" w:rsidP="00753BC0">
      <w:pPr>
        <w:numPr>
          <w:ilvl w:val="0"/>
          <w:numId w:val="1"/>
        </w:numPr>
        <w:spacing w:after="0" w:line="240" w:lineRule="auto"/>
        <w:textAlignment w:val="baseline"/>
        <w:rPr>
          <w:rFonts w:ascii="Arial" w:eastAsia="Times New Roman" w:hAnsi="Arial" w:cs="Arial"/>
          <w:color w:val="000000"/>
          <w:kern w:val="0"/>
          <w:sz w:val="22"/>
          <w:szCs w:val="22"/>
          <w14:ligatures w14:val="none"/>
        </w:rPr>
      </w:pPr>
      <w:r w:rsidRPr="0056655F">
        <w:rPr>
          <w:rFonts w:ascii="Arial" w:eastAsia="Times New Roman" w:hAnsi="Arial" w:cs="Arial"/>
          <w:b/>
          <w:bCs/>
          <w:color w:val="000000"/>
          <w:kern w:val="0"/>
          <w:sz w:val="22"/>
          <w:szCs w:val="22"/>
          <w14:ligatures w14:val="none"/>
        </w:rPr>
        <w:t>1c (mechanism)</w:t>
      </w:r>
      <w:r w:rsidRPr="0056655F">
        <w:rPr>
          <w:rFonts w:ascii="Arial" w:eastAsia="Times New Roman" w:hAnsi="Arial" w:cs="Arial"/>
          <w:color w:val="000000"/>
          <w:kern w:val="0"/>
          <w:sz w:val="22"/>
          <w:szCs w:val="22"/>
          <w14:ligatures w14:val="none"/>
        </w:rPr>
        <w:t xml:space="preserve"> asks whether typicality and evocativeness reproduce Ngo et al.'s two-mechanism dissociation — normativity predicting the denial of intentionality on positive items, evocative presentation predicting its ascription on negative items — at the level of item ratings, not just condition means. This is only testable because typicality and evocativeness are manipulated as independent, factorially crossed dimensions on top of a fixed underlying fact (Sections 5, 6, 9, 10); without the semantic-equivalence constraints in Section 9, a rating difference between an abstract and a concrete rendering could reflect a change in content rather than in construal, and the mechanism claim would be uninterpretable.</w:t>
      </w:r>
    </w:p>
    <w:p w14:paraId="4B6CDF58" w14:textId="77777777" w:rsidR="00753BC0" w:rsidRPr="0056655F" w:rsidRDefault="00753BC0" w:rsidP="00753BC0">
      <w:pPr>
        <w:numPr>
          <w:ilvl w:val="0"/>
          <w:numId w:val="1"/>
        </w:numPr>
        <w:spacing w:after="240" w:line="240" w:lineRule="auto"/>
        <w:textAlignment w:val="baseline"/>
        <w:rPr>
          <w:rFonts w:ascii="Arial" w:eastAsia="Times New Roman" w:hAnsi="Arial" w:cs="Arial"/>
          <w:color w:val="000000"/>
          <w:kern w:val="0"/>
          <w:sz w:val="22"/>
          <w:szCs w:val="22"/>
          <w14:ligatures w14:val="none"/>
        </w:rPr>
      </w:pPr>
      <w:r w:rsidRPr="0056655F">
        <w:rPr>
          <w:rFonts w:ascii="Arial" w:eastAsia="Times New Roman" w:hAnsi="Arial" w:cs="Arial"/>
          <w:b/>
          <w:bCs/>
          <w:color w:val="000000"/>
          <w:kern w:val="0"/>
          <w:sz w:val="22"/>
          <w:szCs w:val="22"/>
          <w14:ligatures w14:val="none"/>
        </w:rPr>
        <w:t>1d (</w:t>
      </w:r>
      <w:proofErr w:type="spellStart"/>
      <w:r w:rsidRPr="0056655F">
        <w:rPr>
          <w:rFonts w:ascii="Arial" w:eastAsia="Times New Roman" w:hAnsi="Arial" w:cs="Arial"/>
          <w:b/>
          <w:bCs/>
          <w:color w:val="000000"/>
          <w:kern w:val="0"/>
          <w:sz w:val="22"/>
          <w:szCs w:val="22"/>
          <w14:ligatures w14:val="none"/>
        </w:rPr>
        <w:t>stakeless</w:t>
      </w:r>
      <w:proofErr w:type="spellEnd"/>
      <w:r w:rsidRPr="0056655F">
        <w:rPr>
          <w:rFonts w:ascii="Arial" w:eastAsia="Times New Roman" w:hAnsi="Arial" w:cs="Arial"/>
          <w:b/>
          <w:bCs/>
          <w:color w:val="000000"/>
          <w:kern w:val="0"/>
          <w:sz w:val="22"/>
          <w:szCs w:val="22"/>
          <w14:ligatures w14:val="none"/>
        </w:rPr>
        <w:t xml:space="preserve"> baseline)</w:t>
      </w:r>
      <w:r w:rsidRPr="0056655F">
        <w:rPr>
          <w:rFonts w:ascii="Arial" w:eastAsia="Times New Roman" w:hAnsi="Arial" w:cs="Arial"/>
          <w:color w:val="000000"/>
          <w:kern w:val="0"/>
          <w:sz w:val="22"/>
          <w:szCs w:val="22"/>
          <w14:ligatures w14:val="none"/>
        </w:rPr>
        <w:t xml:space="preserve"> asks whether foreseen-plus-indifferent action alone, with no valence of any kind at stake, produces any intentionality elevation, and whether typicality alone can move it in the absence of any valence. This requires the </w:t>
      </w:r>
      <w:proofErr w:type="spellStart"/>
      <w:r w:rsidRPr="0056655F">
        <w:rPr>
          <w:rFonts w:ascii="Arial" w:eastAsia="Times New Roman" w:hAnsi="Arial" w:cs="Arial"/>
          <w:color w:val="000000"/>
          <w:kern w:val="0"/>
          <w:sz w:val="22"/>
          <w:szCs w:val="22"/>
          <w14:ligatures w14:val="none"/>
        </w:rPr>
        <w:t>stakeless</w:t>
      </w:r>
      <w:proofErr w:type="spellEnd"/>
      <w:r w:rsidRPr="0056655F">
        <w:rPr>
          <w:rFonts w:ascii="Arial" w:eastAsia="Times New Roman" w:hAnsi="Arial" w:cs="Arial"/>
          <w:color w:val="000000"/>
          <w:kern w:val="0"/>
          <w:sz w:val="22"/>
          <w:szCs w:val="22"/>
          <w14:ligatures w14:val="none"/>
        </w:rPr>
        <w:t xml:space="preserve"> category's strict definition (Section 4.6) — a category defined by the absence of every evaluative stake the taxonomy recognizes, not merely low-stakes instances of another category.</w:t>
      </w:r>
    </w:p>
    <w:p w14:paraId="2AC10D7C" w14:textId="77777777" w:rsidR="00753BC0" w:rsidRPr="0056655F" w:rsidRDefault="00753BC0" w:rsidP="00753BC0">
      <w:pPr>
        <w:spacing w:before="280" w:after="80" w:line="240" w:lineRule="auto"/>
        <w:outlineLvl w:val="2"/>
        <w:rPr>
          <w:rFonts w:ascii="Times New Roman" w:eastAsia="Times New Roman" w:hAnsi="Times New Roman" w:cs="Times New Roman"/>
          <w:b/>
          <w:bCs/>
          <w:color w:val="000000"/>
          <w:kern w:val="0"/>
          <w:sz w:val="22"/>
          <w:szCs w:val="22"/>
          <w14:ligatures w14:val="none"/>
        </w:rPr>
      </w:pPr>
      <w:r w:rsidRPr="0056655F">
        <w:rPr>
          <w:rFonts w:ascii="Arial" w:eastAsia="Times New Roman" w:hAnsi="Arial" w:cs="Arial"/>
          <w:b/>
          <w:bCs/>
          <w:color w:val="000000"/>
          <w:kern w:val="0"/>
          <w:sz w:val="22"/>
          <w:szCs w:val="22"/>
          <w14:ligatures w14:val="none"/>
        </w:rPr>
        <w:t>RQ2 (mechanistic localization, extends Raimondi RQ2)</w:t>
      </w:r>
    </w:p>
    <w:p w14:paraId="4B2F11B5" w14:textId="77777777" w:rsidR="00753BC0" w:rsidRPr="0056655F" w:rsidRDefault="00753BC0" w:rsidP="00753BC0">
      <w:pPr>
        <w:spacing w:before="240" w:after="240" w:line="240" w:lineRule="auto"/>
        <w:rPr>
          <w:rFonts w:ascii="Times New Roman" w:eastAsia="Times New Roman" w:hAnsi="Times New Roman" w:cs="Times New Roman"/>
          <w:color w:val="000000"/>
          <w:kern w:val="0"/>
          <w:sz w:val="22"/>
          <w:szCs w:val="22"/>
          <w14:ligatures w14:val="none"/>
        </w:rPr>
      </w:pPr>
      <w:r w:rsidRPr="0056655F">
        <w:rPr>
          <w:rFonts w:ascii="Arial" w:eastAsia="Times New Roman" w:hAnsi="Arial" w:cs="Arial"/>
          <w:color w:val="000000"/>
          <w:kern w:val="0"/>
          <w:sz w:val="22"/>
          <w:szCs w:val="22"/>
          <w14:ligatures w14:val="none"/>
        </w:rPr>
        <w:lastRenderedPageBreak/>
        <w:t>For whichever components RQ1 shows to be genuinely dissociable, are the activation patterns tracking each one (valence type, blame, evocativeness, typicality) localized to the same critical layer(s) Raimondi et al. identified via whole-layer analysis, or dissociable across distinct layers or subspaces? This question is downstream of RQ1 by design: it only makes sense to localize a construct that RQ1 has already shown to have a real behavioral footprint, which is why the staged validation plan (Section 15) defers the mechanistic stages until the behavioral stage's results are in hand. It also depends on the curation-stage ratings (Section 13) existing as continuous, graded measures (severity, evocativeness, perceived typicality) rather than binary condition labels — this is what allows activation patterns to be correlated against a graded construct rating per item, rather than limited to Raimondi's coarser mean-difference-between-two-conditions approach.</w:t>
      </w:r>
    </w:p>
    <w:p w14:paraId="67C7276A" w14:textId="77777777" w:rsidR="00753BC0" w:rsidRPr="0056655F" w:rsidRDefault="00753BC0" w:rsidP="00753BC0">
      <w:pPr>
        <w:spacing w:before="280" w:after="80" w:line="240" w:lineRule="auto"/>
        <w:outlineLvl w:val="2"/>
        <w:rPr>
          <w:rFonts w:ascii="Times New Roman" w:eastAsia="Times New Roman" w:hAnsi="Times New Roman" w:cs="Times New Roman"/>
          <w:b/>
          <w:bCs/>
          <w:color w:val="000000"/>
          <w:kern w:val="0"/>
          <w:sz w:val="22"/>
          <w:szCs w:val="22"/>
          <w14:ligatures w14:val="none"/>
        </w:rPr>
      </w:pPr>
      <w:r w:rsidRPr="0056655F">
        <w:rPr>
          <w:rFonts w:ascii="Arial" w:eastAsia="Times New Roman" w:hAnsi="Arial" w:cs="Arial"/>
          <w:b/>
          <w:bCs/>
          <w:color w:val="000000"/>
          <w:kern w:val="0"/>
          <w:sz w:val="22"/>
          <w:szCs w:val="22"/>
          <w14:ligatures w14:val="none"/>
        </w:rPr>
        <w:t>RQ3 (causal intervention, extends Raimondi RQ3)</w:t>
      </w:r>
    </w:p>
    <w:p w14:paraId="5E400577" w14:textId="77777777" w:rsidR="00753BC0" w:rsidRPr="0056655F" w:rsidRDefault="00753BC0" w:rsidP="00753BC0">
      <w:pPr>
        <w:spacing w:before="240" w:after="240" w:line="240" w:lineRule="auto"/>
        <w:rPr>
          <w:rFonts w:ascii="Times New Roman" w:eastAsia="Times New Roman" w:hAnsi="Times New Roman" w:cs="Times New Roman"/>
          <w:color w:val="000000"/>
          <w:kern w:val="0"/>
          <w:sz w:val="22"/>
          <w:szCs w:val="22"/>
          <w14:ligatures w14:val="none"/>
        </w:rPr>
      </w:pPr>
      <w:r w:rsidRPr="0056655F">
        <w:rPr>
          <w:rFonts w:ascii="Arial" w:eastAsia="Times New Roman" w:hAnsi="Arial" w:cs="Arial"/>
          <w:color w:val="000000"/>
          <w:kern w:val="0"/>
          <w:sz w:val="22"/>
          <w:szCs w:val="22"/>
          <w14:ligatures w14:val="none"/>
        </w:rPr>
        <w:t>When the critical layer(s) identified in RQ2 are patched, is the reduction in the whole-layer intentionality gap driven by suppressing one specific component — the valence-type-linked variance, the blame-linked variance, the evocativeness-linked variance, the typicality-linked variance — while leaving the others intact, or does the patch suppress all of them uniformly? This directly tests whether Raimondi et al.'s patch is a generic "Knobe patch" or a construct-specific one, and it is only answerable because every vignette in the final dataset carries labels or ratings for all of these constructs simultaneously (a consequence of the combined, non-siloed dataset described in Section 15) rather than each construct having been tested in isolation.</w:t>
      </w:r>
    </w:p>
    <w:p w14:paraId="591E9F03" w14:textId="77777777" w:rsidR="00753BC0" w:rsidRPr="0056655F" w:rsidRDefault="00753BC0" w:rsidP="00753BC0">
      <w:pPr>
        <w:spacing w:before="280" w:after="80" w:line="240" w:lineRule="auto"/>
        <w:outlineLvl w:val="2"/>
        <w:rPr>
          <w:rFonts w:ascii="Times New Roman" w:eastAsia="Times New Roman" w:hAnsi="Times New Roman" w:cs="Times New Roman"/>
          <w:b/>
          <w:bCs/>
          <w:color w:val="000000"/>
          <w:kern w:val="0"/>
          <w:sz w:val="22"/>
          <w:szCs w:val="22"/>
          <w14:ligatures w14:val="none"/>
        </w:rPr>
      </w:pPr>
      <w:r w:rsidRPr="0056655F">
        <w:rPr>
          <w:rFonts w:ascii="Arial" w:eastAsia="Times New Roman" w:hAnsi="Arial" w:cs="Arial"/>
          <w:b/>
          <w:bCs/>
          <w:color w:val="000000"/>
          <w:kern w:val="0"/>
          <w:sz w:val="22"/>
          <w:szCs w:val="22"/>
          <w14:ligatures w14:val="none"/>
        </w:rPr>
        <w:t>RQ4 (concept-level probing, new)</w:t>
      </w:r>
    </w:p>
    <w:p w14:paraId="06C72ECE" w14:textId="77777777" w:rsidR="00753BC0" w:rsidRPr="0056655F" w:rsidRDefault="00753BC0" w:rsidP="00753BC0">
      <w:pPr>
        <w:spacing w:before="240" w:after="240" w:line="240" w:lineRule="auto"/>
        <w:rPr>
          <w:rFonts w:ascii="Times New Roman" w:eastAsia="Times New Roman" w:hAnsi="Times New Roman" w:cs="Times New Roman"/>
          <w:color w:val="000000"/>
          <w:kern w:val="0"/>
          <w:sz w:val="22"/>
          <w:szCs w:val="22"/>
          <w14:ligatures w14:val="none"/>
        </w:rPr>
      </w:pPr>
      <w:r w:rsidRPr="0056655F">
        <w:rPr>
          <w:rFonts w:ascii="Arial" w:eastAsia="Times New Roman" w:hAnsi="Arial" w:cs="Arial"/>
          <w:color w:val="000000"/>
          <w:kern w:val="0"/>
          <w:sz w:val="22"/>
          <w:szCs w:val="22"/>
          <w14:ligatures w14:val="none"/>
        </w:rPr>
        <w:t>Do the patch's induced activation shifts align with independently-trained linear probe directions corresponding to each named construct (blameworthiness, evocativeness, typicality/normativity, moral-versus-nonmoral valence), or do they produce a generic distributional shift not well explained by any single construct? This question requires the same per-item curation-stage and main-experiment ratings as RQ2 and RQ3 to serve as probe training labels, and it is deliberately scoped as exploratory (Section 6.1) with respect to the evocativeness probe specifically, since a positive finding there would license only the modest claim that the model has learned a representational correlate of an affect-associated presentation feature — not a claim about machine affect itself.</w:t>
      </w:r>
    </w:p>
    <w:p w14:paraId="225B39DA" w14:textId="77777777" w:rsidR="00753BC0" w:rsidRPr="0056655F" w:rsidRDefault="00753BC0" w:rsidP="00753BC0">
      <w:pPr>
        <w:spacing w:before="280" w:after="80" w:line="240" w:lineRule="auto"/>
        <w:outlineLvl w:val="2"/>
        <w:rPr>
          <w:rFonts w:ascii="Times New Roman" w:eastAsia="Times New Roman" w:hAnsi="Times New Roman" w:cs="Times New Roman"/>
          <w:b/>
          <w:bCs/>
          <w:color w:val="000000"/>
          <w:kern w:val="0"/>
          <w:sz w:val="22"/>
          <w:szCs w:val="22"/>
          <w14:ligatures w14:val="none"/>
        </w:rPr>
      </w:pPr>
      <w:r w:rsidRPr="0056655F">
        <w:rPr>
          <w:rFonts w:ascii="Arial" w:eastAsia="Times New Roman" w:hAnsi="Arial" w:cs="Arial"/>
          <w:b/>
          <w:bCs/>
          <w:color w:val="000000"/>
          <w:kern w:val="0"/>
          <w:sz w:val="22"/>
          <w:szCs w:val="22"/>
          <w14:ligatures w14:val="none"/>
        </w:rPr>
        <w:t>Summary of the dependency structure</w:t>
      </w:r>
    </w:p>
    <w:p w14:paraId="20C72FB2" w14:textId="77777777" w:rsidR="00753BC0" w:rsidRPr="0056655F" w:rsidRDefault="00753BC0" w:rsidP="00753BC0">
      <w:pPr>
        <w:spacing w:before="240" w:after="240" w:line="240" w:lineRule="auto"/>
        <w:rPr>
          <w:rFonts w:ascii="Times New Roman" w:eastAsia="Times New Roman" w:hAnsi="Times New Roman" w:cs="Times New Roman"/>
          <w:color w:val="000000"/>
          <w:kern w:val="0"/>
          <w:sz w:val="22"/>
          <w:szCs w:val="22"/>
          <w14:ligatures w14:val="none"/>
        </w:rPr>
      </w:pPr>
      <w:r w:rsidRPr="0056655F">
        <w:rPr>
          <w:rFonts w:ascii="Arial" w:eastAsia="Times New Roman" w:hAnsi="Arial" w:cs="Arial"/>
          <w:color w:val="000000"/>
          <w:kern w:val="0"/>
          <w:sz w:val="22"/>
          <w:szCs w:val="22"/>
          <w14:ligatures w14:val="none"/>
        </w:rPr>
        <w:t xml:space="preserve">RQ1's sub-questions are only separable because Sections 3–6 define independently manipulable variables with explicit operational criteria rather than an undifferentiated positive/negative contrast; RQ2–4 are only interpretable as </w:t>
      </w:r>
      <w:r w:rsidRPr="0056655F">
        <w:rPr>
          <w:rFonts w:ascii="Arial" w:eastAsia="Times New Roman" w:hAnsi="Arial" w:cs="Arial"/>
          <w:i/>
          <w:iCs/>
          <w:color w:val="000000"/>
          <w:kern w:val="0"/>
          <w:sz w:val="22"/>
          <w:szCs w:val="22"/>
          <w14:ligatures w14:val="none"/>
        </w:rPr>
        <w:t>decompositions</w:t>
      </w:r>
      <w:r w:rsidRPr="0056655F">
        <w:rPr>
          <w:rFonts w:ascii="Arial" w:eastAsia="Times New Roman" w:hAnsi="Arial" w:cs="Arial"/>
          <w:color w:val="000000"/>
          <w:kern w:val="0"/>
          <w:sz w:val="22"/>
          <w:szCs w:val="22"/>
          <w14:ligatures w14:val="none"/>
        </w:rPr>
        <w:t xml:space="preserve"> of Raimondi et al.'s single localization and patching result because RQ1 first establishes which components have genuine behavioral reality to decompose. Every design choice in Sections 1–16 exists because it is a precondition for asking one or more of these four research questions in a form that isolates a specific construct, rather than a generic elaboration of the original Knobe paradigm for its own sake.</w:t>
      </w:r>
    </w:p>
    <w:p w14:paraId="147D8ECB" w14:textId="77777777" w:rsidR="00753BC0" w:rsidRPr="0056655F" w:rsidRDefault="00753BC0" w:rsidP="00753BC0">
      <w:pPr>
        <w:spacing w:before="280" w:after="80" w:line="240" w:lineRule="auto"/>
        <w:outlineLvl w:val="2"/>
        <w:rPr>
          <w:rFonts w:ascii="Times New Roman" w:eastAsia="Times New Roman" w:hAnsi="Times New Roman" w:cs="Times New Roman"/>
          <w:b/>
          <w:bCs/>
          <w:color w:val="000000"/>
          <w:kern w:val="0"/>
          <w:sz w:val="22"/>
          <w:szCs w:val="22"/>
          <w14:ligatures w14:val="none"/>
        </w:rPr>
      </w:pPr>
      <w:r w:rsidRPr="0056655F">
        <w:rPr>
          <w:rFonts w:ascii="Arial" w:eastAsia="Times New Roman" w:hAnsi="Arial" w:cs="Arial"/>
          <w:b/>
          <w:bCs/>
          <w:color w:val="000000"/>
          <w:kern w:val="0"/>
          <w:sz w:val="22"/>
          <w:szCs w:val="22"/>
          <w14:ligatures w14:val="none"/>
        </w:rPr>
        <w:t>Two further ambiguities this design must reckon with</w:t>
      </w:r>
    </w:p>
    <w:p w14:paraId="2FDBAE08" w14:textId="77777777" w:rsidR="00753BC0" w:rsidRPr="0056655F" w:rsidRDefault="00753BC0" w:rsidP="00753BC0">
      <w:pPr>
        <w:spacing w:before="240" w:after="240" w:line="240" w:lineRule="auto"/>
        <w:rPr>
          <w:rFonts w:ascii="Times New Roman" w:eastAsia="Times New Roman" w:hAnsi="Times New Roman" w:cs="Times New Roman"/>
          <w:color w:val="000000"/>
          <w:kern w:val="0"/>
          <w:sz w:val="22"/>
          <w:szCs w:val="22"/>
          <w14:ligatures w14:val="none"/>
        </w:rPr>
      </w:pPr>
      <w:r w:rsidRPr="0056655F">
        <w:rPr>
          <w:rFonts w:ascii="Arial" w:eastAsia="Times New Roman" w:hAnsi="Arial" w:cs="Arial"/>
          <w:color w:val="000000"/>
          <w:kern w:val="0"/>
          <w:sz w:val="22"/>
          <w:szCs w:val="22"/>
          <w14:ligatures w14:val="none"/>
        </w:rPr>
        <w:t xml:space="preserve">The taxonomy-driven decomposition above is not the first attempt to argue that "the Knobe effect" is not one thing. Scanlon (2010) argues that Knobe's own results are compatible with a reading on which no moral considerations enter the concept of intentional action at all: </w:t>
      </w:r>
      <w:r w:rsidRPr="0056655F">
        <w:rPr>
          <w:rFonts w:ascii="Arial" w:eastAsia="Times New Roman" w:hAnsi="Arial" w:cs="Arial"/>
          <w:color w:val="000000"/>
          <w:kern w:val="0"/>
          <w:sz w:val="22"/>
          <w:szCs w:val="22"/>
          <w14:ligatures w14:val="none"/>
        </w:rPr>
        <w:lastRenderedPageBreak/>
        <w:t xml:space="preserve">"intentional" is ambiguous between a </w:t>
      </w:r>
      <w:r w:rsidRPr="0056655F">
        <w:rPr>
          <w:rFonts w:ascii="Arial" w:eastAsia="Times New Roman" w:hAnsi="Arial" w:cs="Arial"/>
          <w:i/>
          <w:iCs/>
          <w:color w:val="000000"/>
          <w:kern w:val="0"/>
          <w:sz w:val="22"/>
          <w:szCs w:val="22"/>
          <w14:ligatures w14:val="none"/>
        </w:rPr>
        <w:t>belief-intentional</w:t>
      </w:r>
      <w:r w:rsidRPr="0056655F">
        <w:rPr>
          <w:rFonts w:ascii="Arial" w:eastAsia="Times New Roman" w:hAnsi="Arial" w:cs="Arial"/>
          <w:color w:val="000000"/>
          <w:kern w:val="0"/>
          <w:sz w:val="22"/>
          <w:szCs w:val="22"/>
          <w14:ligatures w14:val="none"/>
        </w:rPr>
        <w:t xml:space="preserve"> sense (the agent knowingly brought the effect about) and an </w:t>
      </w:r>
      <w:r w:rsidRPr="0056655F">
        <w:rPr>
          <w:rFonts w:ascii="Arial" w:eastAsia="Times New Roman" w:hAnsi="Arial" w:cs="Arial"/>
          <w:i/>
          <w:iCs/>
          <w:color w:val="000000"/>
          <w:kern w:val="0"/>
          <w:sz w:val="22"/>
          <w:szCs w:val="22"/>
          <w14:ligatures w14:val="none"/>
        </w:rPr>
        <w:t>aim-intentional</w:t>
      </w:r>
      <w:r w:rsidRPr="0056655F">
        <w:rPr>
          <w:rFonts w:ascii="Arial" w:eastAsia="Times New Roman" w:hAnsi="Arial" w:cs="Arial"/>
          <w:color w:val="000000"/>
          <w:kern w:val="0"/>
          <w:sz w:val="22"/>
          <w:szCs w:val="22"/>
          <w14:ligatures w14:val="none"/>
        </w:rPr>
        <w:t xml:space="preserve"> sense (the agent was aiming at the effect). On Scanlon's account, subjects shift which sense of "intentional" they are answering under depending on whether the effect is bad (where belief-intentional is the sense relevant to moral criticism) or good (where aim-intentional is the sense relevant to moral credit) — producing the asymmetry without any evaluative consideration acting on a single unified concept of intentional action. This is a live rival to every account this project's RQ1 tests: it predicts the same behavioral asymmetry as the moral-valence, blame, and normativity accounts, but locates its source in ambiguity of the target concept itself rather than in any of the constructs this project's taxonomy manipulates.</w:t>
      </w:r>
    </w:p>
    <w:p w14:paraId="19B029CC" w14:textId="77777777" w:rsidR="00753BC0" w:rsidRPr="0056655F" w:rsidRDefault="00753BC0" w:rsidP="00753BC0">
      <w:pPr>
        <w:spacing w:before="240" w:after="240" w:line="240" w:lineRule="auto"/>
        <w:rPr>
          <w:rFonts w:ascii="Times New Roman" w:eastAsia="Times New Roman" w:hAnsi="Times New Roman" w:cs="Times New Roman"/>
          <w:color w:val="000000"/>
          <w:kern w:val="0"/>
          <w:sz w:val="22"/>
          <w:szCs w:val="22"/>
          <w14:ligatures w14:val="none"/>
        </w:rPr>
      </w:pPr>
      <w:r w:rsidRPr="0056655F">
        <w:rPr>
          <w:rFonts w:ascii="Arial" w:eastAsia="Times New Roman" w:hAnsi="Arial" w:cs="Arial"/>
          <w:color w:val="000000"/>
          <w:kern w:val="0"/>
          <w:sz w:val="22"/>
          <w:szCs w:val="22"/>
          <w14:ligatures w14:val="none"/>
        </w:rPr>
        <w:t xml:space="preserve">A second, methodologically sharper challenge comes from Lindauer and Southwood (2021), who report that the human Knobe asymmetry can be </w:t>
      </w:r>
      <w:r w:rsidRPr="0056655F">
        <w:rPr>
          <w:rFonts w:ascii="Arial" w:eastAsia="Times New Roman" w:hAnsi="Arial" w:cs="Arial"/>
          <w:i/>
          <w:iCs/>
          <w:color w:val="000000"/>
          <w:kern w:val="0"/>
          <w:sz w:val="22"/>
          <w:szCs w:val="22"/>
          <w14:ligatures w14:val="none"/>
        </w:rPr>
        <w:t>cancelled</w:t>
      </w:r>
      <w:r w:rsidRPr="0056655F">
        <w:rPr>
          <w:rFonts w:ascii="Arial" w:eastAsia="Times New Roman" w:hAnsi="Arial" w:cs="Arial"/>
          <w:color w:val="000000"/>
          <w:kern w:val="0"/>
          <w:sz w:val="22"/>
          <w:szCs w:val="22"/>
          <w14:ligatures w14:val="none"/>
        </w:rPr>
        <w:t>: when subjects are given a statement that lets them deny intentional action while simultaneously registering sufficiently strong moral censure of the agent ("the chairman didn't intentionally harm the environment, but he knowingly harmed the environment, and he is morally responsible and should be blamed for doing so"), agreement with the denial matches the positive-condition baseline almost exactly. Their interpretation is pragmatic: subjects in the harm condition ascribe intentional action not because of any belief about the agent's mental states, valence, blame, or normativity, but because ascribing intentionality is, in that conversational context, the only available way to register sufficiently strong condemnation — an implicature that evaporates once a separate channel for condemnation is offered.</w:t>
      </w:r>
    </w:p>
    <w:p w14:paraId="16403620" w14:textId="77777777" w:rsidR="00753BC0" w:rsidRPr="0056655F" w:rsidRDefault="00753BC0" w:rsidP="00753BC0">
      <w:pPr>
        <w:spacing w:before="240" w:after="240" w:line="240" w:lineRule="auto"/>
        <w:rPr>
          <w:rFonts w:ascii="Times New Roman" w:eastAsia="Times New Roman" w:hAnsi="Times New Roman" w:cs="Times New Roman"/>
          <w:color w:val="000000"/>
          <w:kern w:val="0"/>
          <w:sz w:val="22"/>
          <w:szCs w:val="22"/>
          <w14:ligatures w14:val="none"/>
        </w:rPr>
      </w:pPr>
      <w:r w:rsidRPr="0056655F">
        <w:rPr>
          <w:rFonts w:ascii="Arial" w:eastAsia="Times New Roman" w:hAnsi="Arial" w:cs="Arial"/>
          <w:color w:val="000000"/>
          <w:kern w:val="0"/>
          <w:sz w:val="22"/>
          <w:szCs w:val="22"/>
          <w14:ligatures w14:val="none"/>
        </w:rPr>
        <w:t xml:space="preserve">This bears directly on the present design's validity, and the design as specified does not yet control for it. The independent-completion elicitation protocol (Section 12) already asks blame as a question separate from intentionality, but that is not the same manipulation Lindauer and Southwood ran: their cancelling statement offers the alternative channel for condemnation </w:t>
      </w:r>
      <w:r w:rsidRPr="0056655F">
        <w:rPr>
          <w:rFonts w:ascii="Arial" w:eastAsia="Times New Roman" w:hAnsi="Arial" w:cs="Arial"/>
          <w:i/>
          <w:iCs/>
          <w:color w:val="000000"/>
          <w:kern w:val="0"/>
          <w:sz w:val="22"/>
          <w:szCs w:val="22"/>
          <w14:ligatures w14:val="none"/>
        </w:rPr>
        <w:t>within the same judgment</w:t>
      </w:r>
      <w:r w:rsidRPr="0056655F">
        <w:rPr>
          <w:rFonts w:ascii="Arial" w:eastAsia="Times New Roman" w:hAnsi="Arial" w:cs="Arial"/>
          <w:color w:val="000000"/>
          <w:kern w:val="0"/>
          <w:sz w:val="22"/>
          <w:szCs w:val="22"/>
          <w14:ligatures w14:val="none"/>
        </w:rPr>
        <w:t>, not in a separate completion the model may never connect to the intentionality question at all. It remains an open possibility that this project's intentionality ratings partly reflect the same pragmatic pressure documented in humans, rather than genuine sensitivity to valence, blame, normativity, or evocativeness as such. A direct test — presenting the test-subject models with an LLM-adapted cancelling statement modeled on Lindauer and Southwood's, and checking whether the intentionality asymmetry attenuates the same way it does for their human subjects — is noted here as a planned robustness check on RQ1, to be run once the primary dissociation results are in hand, rather than a requirement that must be resolved before the main study can proceed.</w:t>
      </w:r>
    </w:p>
    <w:p w14:paraId="38693A40" w14:textId="77777777" w:rsidR="00753BC0" w:rsidRPr="0056655F" w:rsidRDefault="00753BC0" w:rsidP="00753BC0">
      <w:pPr>
        <w:spacing w:before="280" w:after="80" w:line="240" w:lineRule="auto"/>
        <w:outlineLvl w:val="2"/>
        <w:rPr>
          <w:rFonts w:ascii="Times New Roman" w:eastAsia="Times New Roman" w:hAnsi="Times New Roman" w:cs="Times New Roman"/>
          <w:b/>
          <w:bCs/>
          <w:color w:val="000000"/>
          <w:kern w:val="0"/>
          <w:sz w:val="22"/>
          <w:szCs w:val="22"/>
          <w14:ligatures w14:val="none"/>
        </w:rPr>
      </w:pPr>
      <w:r w:rsidRPr="0056655F">
        <w:rPr>
          <w:rFonts w:ascii="Arial" w:eastAsia="Times New Roman" w:hAnsi="Arial" w:cs="Arial"/>
          <w:b/>
          <w:bCs/>
          <w:color w:val="000000"/>
          <w:kern w:val="0"/>
          <w:sz w:val="22"/>
          <w:szCs w:val="22"/>
          <w14:ligatures w14:val="none"/>
        </w:rPr>
        <w:t>Locating this project in the research landscape</w:t>
      </w:r>
    </w:p>
    <w:p w14:paraId="37EC6DCF" w14:textId="77777777" w:rsidR="00753BC0" w:rsidRPr="0056655F" w:rsidRDefault="00753BC0" w:rsidP="00753BC0">
      <w:pPr>
        <w:spacing w:before="240" w:after="240" w:line="240" w:lineRule="auto"/>
        <w:rPr>
          <w:rFonts w:ascii="Times New Roman" w:eastAsia="Times New Roman" w:hAnsi="Times New Roman" w:cs="Times New Roman"/>
          <w:color w:val="000000"/>
          <w:kern w:val="0"/>
          <w:sz w:val="22"/>
          <w:szCs w:val="22"/>
          <w14:ligatures w14:val="none"/>
        </w:rPr>
      </w:pPr>
      <w:r w:rsidRPr="0056655F">
        <w:rPr>
          <w:rFonts w:ascii="Arial" w:eastAsia="Times New Roman" w:hAnsi="Arial" w:cs="Arial"/>
          <w:color w:val="000000"/>
          <w:kern w:val="0"/>
          <w:sz w:val="22"/>
          <w:szCs w:val="22"/>
          <w14:ligatures w14:val="none"/>
        </w:rPr>
        <w:t xml:space="preserve">This project sits at the intersection of four literatures that have, until now, largely developed independently of one another. The experimental-philosophy tradition beginning with Knobe (2003a, 2003b) and extended through Ngo et al. (2015), </w:t>
      </w:r>
      <w:proofErr w:type="spellStart"/>
      <w:r w:rsidRPr="0056655F">
        <w:rPr>
          <w:rFonts w:ascii="Arial" w:eastAsia="Times New Roman" w:hAnsi="Arial" w:cs="Arial"/>
          <w:color w:val="000000"/>
          <w:kern w:val="0"/>
          <w:sz w:val="22"/>
          <w:szCs w:val="22"/>
          <w14:ligatures w14:val="none"/>
        </w:rPr>
        <w:t>Uttich</w:t>
      </w:r>
      <w:proofErr w:type="spellEnd"/>
      <w:r w:rsidRPr="0056655F">
        <w:rPr>
          <w:rFonts w:ascii="Arial" w:eastAsia="Times New Roman" w:hAnsi="Arial" w:cs="Arial"/>
          <w:color w:val="000000"/>
          <w:kern w:val="0"/>
          <w:sz w:val="22"/>
          <w:szCs w:val="22"/>
          <w14:ligatures w14:val="none"/>
        </w:rPr>
        <w:t xml:space="preserve"> and </w:t>
      </w:r>
      <w:proofErr w:type="spellStart"/>
      <w:r w:rsidRPr="0056655F">
        <w:rPr>
          <w:rFonts w:ascii="Arial" w:eastAsia="Times New Roman" w:hAnsi="Arial" w:cs="Arial"/>
          <w:color w:val="000000"/>
          <w:kern w:val="0"/>
          <w:sz w:val="22"/>
          <w:szCs w:val="22"/>
          <w14:ligatures w14:val="none"/>
        </w:rPr>
        <w:t>Lombrozo</w:t>
      </w:r>
      <w:proofErr w:type="spellEnd"/>
      <w:r w:rsidRPr="0056655F">
        <w:rPr>
          <w:rFonts w:ascii="Arial" w:eastAsia="Times New Roman" w:hAnsi="Arial" w:cs="Arial"/>
          <w:color w:val="000000"/>
          <w:kern w:val="0"/>
          <w:sz w:val="22"/>
          <w:szCs w:val="22"/>
          <w14:ligatures w14:val="none"/>
        </w:rPr>
        <w:t xml:space="preserve"> (2010), Pettit and Knobe (2009), and </w:t>
      </w:r>
      <w:proofErr w:type="spellStart"/>
      <w:r w:rsidRPr="0056655F">
        <w:rPr>
          <w:rFonts w:ascii="Arial" w:eastAsia="Times New Roman" w:hAnsi="Arial" w:cs="Arial"/>
          <w:color w:val="000000"/>
          <w:kern w:val="0"/>
          <w:sz w:val="22"/>
          <w:szCs w:val="22"/>
          <w14:ligatures w14:val="none"/>
        </w:rPr>
        <w:t>Hindriks</w:t>
      </w:r>
      <w:proofErr w:type="spellEnd"/>
      <w:r w:rsidRPr="0056655F">
        <w:rPr>
          <w:rFonts w:ascii="Arial" w:eastAsia="Times New Roman" w:hAnsi="Arial" w:cs="Arial"/>
          <w:color w:val="000000"/>
          <w:kern w:val="0"/>
          <w:sz w:val="22"/>
          <w:szCs w:val="22"/>
          <w14:ligatures w14:val="none"/>
        </w:rPr>
        <w:t xml:space="preserve"> et al. (2016) has established the phenomenon and proposed several mutually incompatible mechanisms for it in humans, without settling which mechanism is correct. A parallel philosophy-of-action debate — Bratman (1987), Harman (1976), Duff (1982, 1990), and Mele and </w:t>
      </w:r>
      <w:proofErr w:type="spellStart"/>
      <w:r w:rsidRPr="0056655F">
        <w:rPr>
          <w:rFonts w:ascii="Arial" w:eastAsia="Times New Roman" w:hAnsi="Arial" w:cs="Arial"/>
          <w:color w:val="000000"/>
          <w:kern w:val="0"/>
          <w:sz w:val="22"/>
          <w:szCs w:val="22"/>
          <w14:ligatures w14:val="none"/>
        </w:rPr>
        <w:t>Sverdlik</w:t>
      </w:r>
      <w:proofErr w:type="spellEnd"/>
      <w:r w:rsidRPr="0056655F">
        <w:rPr>
          <w:rFonts w:ascii="Arial" w:eastAsia="Times New Roman" w:hAnsi="Arial" w:cs="Arial"/>
          <w:color w:val="000000"/>
          <w:kern w:val="0"/>
          <w:sz w:val="22"/>
          <w:szCs w:val="22"/>
          <w14:ligatures w14:val="none"/>
        </w:rPr>
        <w:t xml:space="preserve"> (1996) arguing on opposing sides, with Scanlon (2010) and Lindauer and Southwood (2021) offering deflationary alternatives — has argued for decades over whether evaluative considerations belong in the concept of intentional action at all, independently of any experimental resolution. A newer, smaller literature has begun asking whether the human effect and its candidate mechanisms transfer to artificial agents at all — Kegel and Ghanem (2024) find the effect present for human and android agents but absent for a </w:t>
      </w:r>
      <w:r w:rsidRPr="0056655F">
        <w:rPr>
          <w:rFonts w:ascii="Arial" w:eastAsia="Times New Roman" w:hAnsi="Arial" w:cs="Arial"/>
          <w:color w:val="000000"/>
          <w:kern w:val="0"/>
          <w:sz w:val="22"/>
          <w:szCs w:val="22"/>
          <w14:ligatures w14:val="none"/>
        </w:rPr>
        <w:lastRenderedPageBreak/>
        <w:t xml:space="preserve">humanoid robot; Rosengren, Dennis, and Kim (2026) find the asymmetry </w:t>
      </w:r>
      <w:r w:rsidRPr="0056655F">
        <w:rPr>
          <w:rFonts w:ascii="Arial" w:eastAsia="Times New Roman" w:hAnsi="Arial" w:cs="Arial"/>
          <w:i/>
          <w:iCs/>
          <w:color w:val="000000"/>
          <w:kern w:val="0"/>
          <w:sz w:val="22"/>
          <w:szCs w:val="22"/>
          <w14:ligatures w14:val="none"/>
        </w:rPr>
        <w:t>reverses</w:t>
      </w:r>
      <w:r w:rsidRPr="0056655F">
        <w:rPr>
          <w:rFonts w:ascii="Arial" w:eastAsia="Times New Roman" w:hAnsi="Arial" w:cs="Arial"/>
          <w:color w:val="000000"/>
          <w:kern w:val="0"/>
          <w:sz w:val="22"/>
          <w:szCs w:val="22"/>
          <w14:ligatures w14:val="none"/>
        </w:rPr>
        <w:t xml:space="preserve"> when humans judge an AI's harmful decisions, with organizational accountability substituting for algorithmic blame. Separately, a growing mechanistic-interpretability and LLM-moral-cognition literature (Scherrer et al., 2023; Raimondi et al., 2025) has begun asking not whether models exhibit human-like moral biases behaviorally, but where in the model's computation such biases live and whether they can be causally intervened upon — a question philosophy of action and experimental philosophy have no tools to ask, and one that recent work on intentionality and moral responsibility as applied to LLMs (arXiv:2606.13441) treats as still conceptually unsettled at the level of whether these attributions even apply to such systems in the first place.</w:t>
      </w:r>
    </w:p>
    <w:p w14:paraId="043D7FC3" w14:textId="77777777" w:rsidR="00753BC0" w:rsidRPr="0056655F" w:rsidRDefault="00753BC0" w:rsidP="00753BC0">
      <w:pPr>
        <w:spacing w:before="240" w:after="240" w:line="240" w:lineRule="auto"/>
        <w:rPr>
          <w:rFonts w:ascii="Times New Roman" w:eastAsia="Times New Roman" w:hAnsi="Times New Roman" w:cs="Times New Roman"/>
          <w:color w:val="000000"/>
          <w:kern w:val="0"/>
          <w:sz w:val="22"/>
          <w:szCs w:val="22"/>
          <w14:ligatures w14:val="none"/>
        </w:rPr>
      </w:pPr>
      <w:r w:rsidRPr="0056655F">
        <w:rPr>
          <w:rFonts w:ascii="Arial" w:eastAsia="Times New Roman" w:hAnsi="Arial" w:cs="Arial"/>
          <w:color w:val="000000"/>
          <w:kern w:val="0"/>
          <w:sz w:val="22"/>
          <w:szCs w:val="22"/>
          <w14:ligatures w14:val="none"/>
        </w:rPr>
        <w:t xml:space="preserve">This project's contribution is to connect the first two literatures' unresolved question — </w:t>
      </w:r>
      <w:r w:rsidRPr="0056655F">
        <w:rPr>
          <w:rFonts w:ascii="Arial" w:eastAsia="Times New Roman" w:hAnsi="Arial" w:cs="Arial"/>
          <w:i/>
          <w:iCs/>
          <w:color w:val="000000"/>
          <w:kern w:val="0"/>
          <w:sz w:val="22"/>
          <w:szCs w:val="22"/>
          <w14:ligatures w14:val="none"/>
        </w:rPr>
        <w:t>what, specifically, is the Knobe asymmetry made of</w:t>
      </w:r>
      <w:r w:rsidRPr="0056655F">
        <w:rPr>
          <w:rFonts w:ascii="Arial" w:eastAsia="Times New Roman" w:hAnsi="Arial" w:cs="Arial"/>
          <w:color w:val="000000"/>
          <w:kern w:val="0"/>
          <w:sz w:val="22"/>
          <w:szCs w:val="22"/>
          <w14:ligatures w14:val="none"/>
        </w:rPr>
        <w:t xml:space="preserve"> — to the methodology of the fourth, using LLMs as a testbed where every candidate mechanism from the first two literatures can be operationalized as an independent, measurable variable and then localized and causally tested in a model's internals, rather than left as a permanently underdetermined dispute about human cognition.</w:t>
      </w:r>
    </w:p>
    <w:p w14:paraId="465AFBFC" w14:textId="77777777" w:rsidR="00753BC0" w:rsidRPr="0056655F" w:rsidRDefault="00753BC0" w:rsidP="00753BC0">
      <w:pPr>
        <w:spacing w:after="240" w:line="240" w:lineRule="auto"/>
        <w:rPr>
          <w:rFonts w:ascii="Times New Roman" w:eastAsia="Times New Roman" w:hAnsi="Times New Roman" w:cs="Times New Roman"/>
          <w:kern w:val="0"/>
          <w:sz w:val="22"/>
          <w:szCs w:val="22"/>
          <w14:ligatures w14:val="none"/>
        </w:rPr>
      </w:pPr>
    </w:p>
    <w:p w14:paraId="2B81C977" w14:textId="77777777" w:rsidR="00753BC0" w:rsidRPr="0056655F" w:rsidRDefault="00753BC0" w:rsidP="00753BC0">
      <w:pPr>
        <w:spacing w:after="0" w:line="240" w:lineRule="auto"/>
        <w:rPr>
          <w:rFonts w:ascii="Times New Roman" w:eastAsia="Times New Roman" w:hAnsi="Times New Roman" w:cs="Times New Roman"/>
          <w:kern w:val="0"/>
          <w:sz w:val="22"/>
          <w:szCs w:val="22"/>
          <w14:ligatures w14:val="none"/>
        </w:rPr>
      </w:pPr>
    </w:p>
    <w:p w14:paraId="42D718F5" w14:textId="77777777" w:rsidR="00035F5D" w:rsidRPr="0056655F" w:rsidRDefault="00035F5D">
      <w:pPr>
        <w:rPr>
          <w:sz w:val="22"/>
          <w:szCs w:val="22"/>
        </w:rPr>
      </w:pPr>
    </w:p>
    <w:sectPr w:rsidR="00035F5D" w:rsidRPr="0056655F" w:rsidSect="00753BC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6A602A1"/>
    <w:multiLevelType w:val="multilevel"/>
    <w:tmpl w:val="089ED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837495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5"/>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3BC0"/>
    <w:rsid w:val="00035F5D"/>
    <w:rsid w:val="00094379"/>
    <w:rsid w:val="001406C1"/>
    <w:rsid w:val="001E55FD"/>
    <w:rsid w:val="0056655F"/>
    <w:rsid w:val="00753B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BD61E1B"/>
  <w15:chartTrackingRefBased/>
  <w15:docId w15:val="{7F336B16-BFC7-2B40-8203-1D1637F8D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3B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53B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53B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3B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3B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3B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3B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3B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3B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3B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53B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53B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3B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3B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3B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3B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3B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3BC0"/>
    <w:rPr>
      <w:rFonts w:eastAsiaTheme="majorEastAsia" w:cstheme="majorBidi"/>
      <w:color w:val="272727" w:themeColor="text1" w:themeTint="D8"/>
    </w:rPr>
  </w:style>
  <w:style w:type="paragraph" w:styleId="Title">
    <w:name w:val="Title"/>
    <w:basedOn w:val="Normal"/>
    <w:next w:val="Normal"/>
    <w:link w:val="TitleChar"/>
    <w:uiPriority w:val="10"/>
    <w:qFormat/>
    <w:rsid w:val="00753B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3B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3B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3B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3BC0"/>
    <w:pPr>
      <w:spacing w:before="160"/>
      <w:jc w:val="center"/>
    </w:pPr>
    <w:rPr>
      <w:i/>
      <w:iCs/>
      <w:color w:val="404040" w:themeColor="text1" w:themeTint="BF"/>
    </w:rPr>
  </w:style>
  <w:style w:type="character" w:customStyle="1" w:styleId="QuoteChar">
    <w:name w:val="Quote Char"/>
    <w:basedOn w:val="DefaultParagraphFont"/>
    <w:link w:val="Quote"/>
    <w:uiPriority w:val="29"/>
    <w:rsid w:val="00753BC0"/>
    <w:rPr>
      <w:i/>
      <w:iCs/>
      <w:color w:val="404040" w:themeColor="text1" w:themeTint="BF"/>
    </w:rPr>
  </w:style>
  <w:style w:type="paragraph" w:styleId="ListParagraph">
    <w:name w:val="List Paragraph"/>
    <w:basedOn w:val="Normal"/>
    <w:uiPriority w:val="34"/>
    <w:qFormat/>
    <w:rsid w:val="00753BC0"/>
    <w:pPr>
      <w:ind w:left="720"/>
      <w:contextualSpacing/>
    </w:pPr>
  </w:style>
  <w:style w:type="character" w:styleId="IntenseEmphasis">
    <w:name w:val="Intense Emphasis"/>
    <w:basedOn w:val="DefaultParagraphFont"/>
    <w:uiPriority w:val="21"/>
    <w:qFormat/>
    <w:rsid w:val="00753BC0"/>
    <w:rPr>
      <w:i/>
      <w:iCs/>
      <w:color w:val="0F4761" w:themeColor="accent1" w:themeShade="BF"/>
    </w:rPr>
  </w:style>
  <w:style w:type="paragraph" w:styleId="IntenseQuote">
    <w:name w:val="Intense Quote"/>
    <w:basedOn w:val="Normal"/>
    <w:next w:val="Normal"/>
    <w:link w:val="IntenseQuoteChar"/>
    <w:uiPriority w:val="30"/>
    <w:qFormat/>
    <w:rsid w:val="00753B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3BC0"/>
    <w:rPr>
      <w:i/>
      <w:iCs/>
      <w:color w:val="0F4761" w:themeColor="accent1" w:themeShade="BF"/>
    </w:rPr>
  </w:style>
  <w:style w:type="character" w:styleId="IntenseReference">
    <w:name w:val="Intense Reference"/>
    <w:basedOn w:val="DefaultParagraphFont"/>
    <w:uiPriority w:val="32"/>
    <w:qFormat/>
    <w:rsid w:val="00753BC0"/>
    <w:rPr>
      <w:b/>
      <w:bCs/>
      <w:smallCaps/>
      <w:color w:val="0F4761" w:themeColor="accent1" w:themeShade="BF"/>
      <w:spacing w:val="5"/>
    </w:rPr>
  </w:style>
  <w:style w:type="paragraph" w:styleId="NormalWeb">
    <w:name w:val="Normal (Web)"/>
    <w:basedOn w:val="Normal"/>
    <w:uiPriority w:val="99"/>
    <w:semiHidden/>
    <w:unhideWhenUsed/>
    <w:rsid w:val="00753BC0"/>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893ce20-a697-4fd6-a4da-14011f6a471d}" enabled="1" method="Standard" siteId="{a8eec281-aaa3-4dae-ac9b-9a398b9215e7}"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4</Pages>
  <Words>1878</Words>
  <Characters>10710</Characters>
  <Application>Microsoft Office Word</Application>
  <DocSecurity>0</DocSecurity>
  <Lines>89</Lines>
  <Paragraphs>25</Paragraphs>
  <ScaleCrop>false</ScaleCrop>
  <Company/>
  <LinksUpToDate>false</LinksUpToDate>
  <CharactersWithSpaces>12563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2026-07-22T22:05:00Z</dcterms:created>
  <dcterms:modified xsi:type="dcterms:W3CDTF">2026-07-22T22:06:00Z</dcterms:modified>
</cp:coreProperties>
</file>