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2E6693" w14:textId="77777777" w:rsidR="00F8430C" w:rsidRPr="00F8430C" w:rsidRDefault="00F8430C" w:rsidP="00F8430C">
      <w:pPr>
        <w:spacing w:before="480" w:after="120" w:line="240" w:lineRule="auto"/>
        <w:outlineLvl w:val="0"/>
        <w:rPr>
          <w:rFonts w:ascii="Times New Roman" w:eastAsia="Times New Roman" w:hAnsi="Times New Roman" w:cs="Times New Roman"/>
          <w:b/>
          <w:bCs/>
          <w:color w:val="000000"/>
          <w:kern w:val="36"/>
          <w:sz w:val="48"/>
          <w:szCs w:val="48"/>
          <w14:ligatures w14:val="none"/>
        </w:rPr>
      </w:pPr>
      <w:r w:rsidRPr="00F8430C">
        <w:rPr>
          <w:rFonts w:ascii="Arial" w:eastAsia="Times New Roman" w:hAnsi="Arial" w:cs="Arial"/>
          <w:b/>
          <w:bCs/>
          <w:color w:val="000000"/>
          <w:kern w:val="36"/>
          <w:sz w:val="46"/>
          <w:szCs w:val="46"/>
          <w14:ligatures w14:val="none"/>
        </w:rPr>
        <w:t>Design Rationale: A Decomposed Knobe-Effect Stimulus Set for LLMs</w:t>
      </w:r>
    </w:p>
    <w:p w14:paraId="6721EA4B"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0. Research Questions and Their Relationship to the Design</w:t>
      </w:r>
    </w:p>
    <w:p w14:paraId="1B2637BC"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This project extends Raimondi et al.'s three-stage investigation of the Knobe effect in LLMs — behavioral existence, mechanistic localization, and causal intervention — by asking, at each stage, not just </w:t>
      </w:r>
      <w:r w:rsidRPr="00F8430C">
        <w:rPr>
          <w:rFonts w:ascii="Arial" w:eastAsia="Times New Roman" w:hAnsi="Arial" w:cs="Arial"/>
          <w:i/>
          <w:iCs/>
          <w:color w:val="000000"/>
          <w:kern w:val="0"/>
          <w:sz w:val="22"/>
          <w:szCs w:val="22"/>
          <w14:ligatures w14:val="none"/>
        </w:rPr>
        <w:t>whether</w:t>
      </w:r>
      <w:r w:rsidRPr="00F8430C">
        <w:rPr>
          <w:rFonts w:ascii="Arial" w:eastAsia="Times New Roman" w:hAnsi="Arial" w:cs="Arial"/>
          <w:color w:val="000000"/>
          <w:kern w:val="0"/>
          <w:sz w:val="22"/>
          <w:szCs w:val="22"/>
          <w14:ligatures w14:val="none"/>
        </w:rPr>
        <w:t xml:space="preserve"> the effect is present, localizable, or patchable, but </w:t>
      </w:r>
      <w:r w:rsidRPr="00F8430C">
        <w:rPr>
          <w:rFonts w:ascii="Arial" w:eastAsia="Times New Roman" w:hAnsi="Arial" w:cs="Arial"/>
          <w:i/>
          <w:iCs/>
          <w:color w:val="000000"/>
          <w:kern w:val="0"/>
          <w:sz w:val="22"/>
          <w:szCs w:val="22"/>
          <w14:ligatures w14:val="none"/>
        </w:rPr>
        <w:t>what it is actually made of</w:t>
      </w:r>
      <w:r w:rsidRPr="00F8430C">
        <w:rPr>
          <w:rFonts w:ascii="Arial" w:eastAsia="Times New Roman" w:hAnsi="Arial" w:cs="Arial"/>
          <w:color w:val="000000"/>
          <w:kern w:val="0"/>
          <w:sz w:val="22"/>
          <w:szCs w:val="22"/>
          <w14:ligatures w14:val="none"/>
        </w:rPr>
        <w:t>. Raimondi et al. operationalize the effect as a single categorical contrast (negative versus positive side effects) and report a single scalar summary of its localization and patchability. Every research question below asks whether that single contrast is in fact a composite of several dissociable component effects — and each one depends directly on a design choice made above, without which the question could not be asked in decomposable form at all.</w:t>
      </w:r>
    </w:p>
    <w:p w14:paraId="2434DDC6"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RQ1 (behavioral existence/dissociation, extends Raimondi RQ1)</w:t>
      </w:r>
    </w:p>
    <w:p w14:paraId="1B2CAA6E"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Beyond confirming a general negative-greater-than-positive intentionality asymmetry in finetuned models, is that asymmetry actually a composite of several dissociable component effects? This question is motivated directly by Raimondi et al.'s own finding that the base asymmetry is finetuning-contingent rather than a fixed property of language models in general — its presence cannot be assumed, only established per model, which is why RQ1 is framed as a live empirical question rather than a formality preceding the mechanistic stages.</w:t>
      </w:r>
    </w:p>
    <w:p w14:paraId="1B930BF7" w14:textId="77777777" w:rsidR="00F8430C" w:rsidRPr="00F8430C" w:rsidRDefault="00F8430C" w:rsidP="00F8430C">
      <w:pPr>
        <w:numPr>
          <w:ilvl w:val="0"/>
          <w:numId w:val="1"/>
        </w:numPr>
        <w:spacing w:before="240" w:after="0" w:line="240" w:lineRule="auto"/>
        <w:textAlignment w:val="baseline"/>
        <w:rPr>
          <w:rFonts w:ascii="Arial" w:eastAsia="Times New Roman" w:hAnsi="Arial" w:cs="Arial"/>
          <w:color w:val="000000"/>
          <w:kern w:val="0"/>
          <w:sz w:val="22"/>
          <w:szCs w:val="22"/>
          <w14:ligatures w14:val="none"/>
        </w:rPr>
      </w:pPr>
      <w:r w:rsidRPr="00F8430C">
        <w:rPr>
          <w:rFonts w:ascii="Arial" w:eastAsia="Times New Roman" w:hAnsi="Arial" w:cs="Arial"/>
          <w:b/>
          <w:bCs/>
          <w:color w:val="000000"/>
          <w:kern w:val="0"/>
          <w:sz w:val="22"/>
          <w:szCs w:val="22"/>
          <w14:ligatures w14:val="none"/>
        </w:rPr>
        <w:t>1a (valence type)</w:t>
      </w:r>
      <w:r w:rsidRPr="00F8430C">
        <w:rPr>
          <w:rFonts w:ascii="Arial" w:eastAsia="Times New Roman" w:hAnsi="Arial" w:cs="Arial"/>
          <w:color w:val="000000"/>
          <w:kern w:val="0"/>
          <w:sz w:val="22"/>
          <w:szCs w:val="22"/>
          <w14:ligatures w14:val="none"/>
        </w:rPr>
        <w:t xml:space="preserve"> asks whether the asymmetry persists, shrinks, or disappears for nonmoral valence, holding intensity and typicality constant. This is only askable because of the five-category taxonomy (Sections 3–4): without an explicit, criterion-based distinction between moral and nonmoral valence, a simple good/bad contrast cannot separate "the model responds to badness" from "the model responds to moral badness specifically."</w:t>
      </w:r>
    </w:p>
    <w:p w14:paraId="733EB993" w14:textId="77777777" w:rsidR="00F8430C" w:rsidRPr="00F8430C" w:rsidRDefault="00F8430C" w:rsidP="00F8430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F8430C">
        <w:rPr>
          <w:rFonts w:ascii="Arial" w:eastAsia="Times New Roman" w:hAnsi="Arial" w:cs="Arial"/>
          <w:b/>
          <w:bCs/>
          <w:color w:val="000000"/>
          <w:kern w:val="0"/>
          <w:sz w:val="22"/>
          <w:szCs w:val="22"/>
          <w14:ligatures w14:val="none"/>
        </w:rPr>
        <w:t>1b (responsibility)</w:t>
      </w:r>
      <w:r w:rsidRPr="00F8430C">
        <w:rPr>
          <w:rFonts w:ascii="Arial" w:eastAsia="Times New Roman" w:hAnsi="Arial" w:cs="Arial"/>
          <w:color w:val="000000"/>
          <w:kern w:val="0"/>
          <w:sz w:val="22"/>
          <w:szCs w:val="22"/>
          <w14:ligatures w14:val="none"/>
        </w:rPr>
        <w:t xml:space="preserve"> asks whether intentionality correlates with blame on negative items without a corresponding correlation between intentionality and praise on positive items (the Hindriks asymmetry), tested within both moral and nonmoral items. This depends on blame and praise being collected as separate unipolar main-experiment measures (Section 13) rather than a single unlabeled valence score, and on the moral/nonmoral taxonomy from 1a to check whether the asymmetry is moral-specific or general.</w:t>
      </w:r>
    </w:p>
    <w:p w14:paraId="48623B1B" w14:textId="77777777" w:rsidR="00F8430C" w:rsidRPr="00F8430C" w:rsidRDefault="00F8430C" w:rsidP="00F8430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F8430C">
        <w:rPr>
          <w:rFonts w:ascii="Arial" w:eastAsia="Times New Roman" w:hAnsi="Arial" w:cs="Arial"/>
          <w:b/>
          <w:bCs/>
          <w:color w:val="000000"/>
          <w:kern w:val="0"/>
          <w:sz w:val="22"/>
          <w:szCs w:val="22"/>
          <w14:ligatures w14:val="none"/>
        </w:rPr>
        <w:t>1c (mechanism)</w:t>
      </w:r>
      <w:r w:rsidRPr="00F8430C">
        <w:rPr>
          <w:rFonts w:ascii="Arial" w:eastAsia="Times New Roman" w:hAnsi="Arial" w:cs="Arial"/>
          <w:color w:val="000000"/>
          <w:kern w:val="0"/>
          <w:sz w:val="22"/>
          <w:szCs w:val="22"/>
          <w14:ligatures w14:val="none"/>
        </w:rPr>
        <w:t xml:space="preserve"> asks whether typicality and evocativeness reproduce Ngo et al.'s two-mechanism dissociation — normativity predicting the denial of intentionality on positive items, evocative presentation predicting its ascription on negative items — at the level of item ratings, not just condition means. This is only testable because typicality and evocativeness are manipulated as independent, factorially crossed dimensions on top of a fixed underlying fact (Sections 5, 6, 9, 10); without the semantic-equivalence constraints in Section 9, a rating difference between an abstract and a concrete </w:t>
      </w:r>
      <w:r w:rsidRPr="00F8430C">
        <w:rPr>
          <w:rFonts w:ascii="Arial" w:eastAsia="Times New Roman" w:hAnsi="Arial" w:cs="Arial"/>
          <w:color w:val="000000"/>
          <w:kern w:val="0"/>
          <w:sz w:val="22"/>
          <w:szCs w:val="22"/>
          <w14:ligatures w14:val="none"/>
        </w:rPr>
        <w:lastRenderedPageBreak/>
        <w:t>rendering could reflect a change in content rather than in construal, and the mechanism claim would be uninterpretable.</w:t>
      </w:r>
    </w:p>
    <w:p w14:paraId="7B825AA3" w14:textId="77777777" w:rsidR="00F8430C" w:rsidRPr="00F8430C" w:rsidRDefault="00F8430C" w:rsidP="00F8430C">
      <w:pPr>
        <w:numPr>
          <w:ilvl w:val="0"/>
          <w:numId w:val="1"/>
        </w:numPr>
        <w:spacing w:after="240" w:line="240" w:lineRule="auto"/>
        <w:textAlignment w:val="baseline"/>
        <w:rPr>
          <w:rFonts w:ascii="Arial" w:eastAsia="Times New Roman" w:hAnsi="Arial" w:cs="Arial"/>
          <w:color w:val="000000"/>
          <w:kern w:val="0"/>
          <w:sz w:val="22"/>
          <w:szCs w:val="22"/>
          <w14:ligatures w14:val="none"/>
        </w:rPr>
      </w:pPr>
      <w:r w:rsidRPr="00F8430C">
        <w:rPr>
          <w:rFonts w:ascii="Arial" w:eastAsia="Times New Roman" w:hAnsi="Arial" w:cs="Arial"/>
          <w:b/>
          <w:bCs/>
          <w:color w:val="000000"/>
          <w:kern w:val="0"/>
          <w:sz w:val="22"/>
          <w:szCs w:val="22"/>
          <w14:ligatures w14:val="none"/>
        </w:rPr>
        <w:t>1d (stakeless baseline)</w:t>
      </w:r>
      <w:r w:rsidRPr="00F8430C">
        <w:rPr>
          <w:rFonts w:ascii="Arial" w:eastAsia="Times New Roman" w:hAnsi="Arial" w:cs="Arial"/>
          <w:color w:val="000000"/>
          <w:kern w:val="0"/>
          <w:sz w:val="22"/>
          <w:szCs w:val="22"/>
          <w14:ligatures w14:val="none"/>
        </w:rPr>
        <w:t xml:space="preserve"> asks whether foreseen-plus-indifferent action alone, with no valence of any kind at stake, produces any intentionality elevation, and whether typicality alone can move it in the absence of any valence. This requires the stakeless category's strict definition (Section 4.6) — a category defined by the absence of every evaluative stake the taxonomy recognizes, not merely low-stakes instances of another category.</w:t>
      </w:r>
    </w:p>
    <w:p w14:paraId="52DC2BA1"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RQ2 (mechanistic localization, extends Raimondi RQ2)</w:t>
      </w:r>
    </w:p>
    <w:p w14:paraId="6382A87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For whichever components RQ1 shows to be genuinely dissociable, are the activation patterns tracking each one (valence type, blame, evocativeness, typicality) localized to the same critical layer(s) Raimondi et al. identified via whole-layer analysis, or dissociable across distinct layers or subspaces? This question is downstream of RQ1 by design: it only makes sense to localize a construct that RQ1 has already shown to have a real behavioral footprint, which is why the staged validation plan (Section 15) defers the mechanistic stages until the behavioral stage's results are in hand. It also depends on the curation-stage ratings (Section 13) existing as continuous, graded measures (severity, evocativeness, perceived typicality) rather than binary condition labels — this is what allows activation patterns to be correlated against a graded construct rating per item, rather than limited to Raimondi's coarser mean-difference-between-two-conditions approach.</w:t>
      </w:r>
    </w:p>
    <w:p w14:paraId="2685A311"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RQ3 (causal intervention, extends Raimondi RQ3)</w:t>
      </w:r>
    </w:p>
    <w:p w14:paraId="6FCD81BD"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When the critical layer(s) identified in RQ2 are patched, is the reduction in the whole-layer intentionality gap driven by suppressing one specific component — the valence-type-linked variance, the blame-linked variance, the evocativeness-linked variance, the typicality-linked variance — while leaving the others intact, or does the patch suppress all of them uniformly? This directly tests whether Raimondi et al.'s patch is a generic "Knobe patch" or a construct-specific one, and it is only answerable because every vignette in the final dataset carries labels or ratings for all of these constructs simultaneously (a consequence of the combined, non-siloed dataset described in Section 15) rather than each construct having been tested in isolation.</w:t>
      </w:r>
    </w:p>
    <w:p w14:paraId="39F72333"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RQ4 (concept-level probing, new)</w:t>
      </w:r>
    </w:p>
    <w:p w14:paraId="590E38D0"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Do the patch's induced activation shifts align with independently-trained linear probe directions corresponding to each named construct (blameworthiness, evocativeness, typicality/normativity, moral-versus-nonmoral valence), or do they produce a generic distributional shift not well explained by any single construct? This question requires the same per-item curation-stage and main-experiment ratings as RQ2 and RQ3 to serve as probe training labels, and it is deliberately scoped as exploratory (Section 6.1) with respect to the evocativeness probe specifically, since a positive finding there would license only the modest claim that the model has learned a representational correlate of an affect-associated presentation feature — not a claim about machine affect itself.</w:t>
      </w:r>
    </w:p>
    <w:p w14:paraId="11A662E0"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Summary of the dependency structure</w:t>
      </w:r>
    </w:p>
    <w:p w14:paraId="372BE0A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RQ1's sub-questions are only separable because Sections 3–6 define independently manipulable variables with explicit operational criteria rather than an undifferentiated positive/negative contrast; RQ2–4 are only interpretable as </w:t>
      </w:r>
      <w:r w:rsidRPr="00F8430C">
        <w:rPr>
          <w:rFonts w:ascii="Arial" w:eastAsia="Times New Roman" w:hAnsi="Arial" w:cs="Arial"/>
          <w:i/>
          <w:iCs/>
          <w:color w:val="000000"/>
          <w:kern w:val="0"/>
          <w:sz w:val="22"/>
          <w:szCs w:val="22"/>
          <w14:ligatures w14:val="none"/>
        </w:rPr>
        <w:t>decompositions</w:t>
      </w:r>
      <w:r w:rsidRPr="00F8430C">
        <w:rPr>
          <w:rFonts w:ascii="Arial" w:eastAsia="Times New Roman" w:hAnsi="Arial" w:cs="Arial"/>
          <w:color w:val="000000"/>
          <w:kern w:val="0"/>
          <w:sz w:val="22"/>
          <w:szCs w:val="22"/>
          <w14:ligatures w14:val="none"/>
        </w:rPr>
        <w:t xml:space="preserve"> of Raimondi et al.'s </w:t>
      </w:r>
      <w:r w:rsidRPr="00F8430C">
        <w:rPr>
          <w:rFonts w:ascii="Arial" w:eastAsia="Times New Roman" w:hAnsi="Arial" w:cs="Arial"/>
          <w:color w:val="000000"/>
          <w:kern w:val="0"/>
          <w:sz w:val="22"/>
          <w:szCs w:val="22"/>
          <w14:ligatures w14:val="none"/>
        </w:rPr>
        <w:lastRenderedPageBreak/>
        <w:t>single localization and patching result because RQ1 first establishes which components have genuine behavioral reality to decompose. Every design choice in Sections 1–16 exists because it is a precondition for asking one or more of these four research questions in a form that isolates a specific construct, rather than a generic elaboration of the original Knobe paradigm for its own sake.</w:t>
      </w:r>
    </w:p>
    <w:p w14:paraId="29561FC4"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Two further ambiguities this design must reckon with</w:t>
      </w:r>
    </w:p>
    <w:p w14:paraId="680D656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The taxonomy-driven decomposition above is not the first attempt to argue that "the Knobe effect" is not one thing. Scanlon (2010) argues that Knobe's own results are compatible with a reading on which no moral considerations enter the concept of intentional action at all: "intentional" is ambiguous between a </w:t>
      </w:r>
      <w:r w:rsidRPr="00F8430C">
        <w:rPr>
          <w:rFonts w:ascii="Arial" w:eastAsia="Times New Roman" w:hAnsi="Arial" w:cs="Arial"/>
          <w:i/>
          <w:iCs/>
          <w:color w:val="000000"/>
          <w:kern w:val="0"/>
          <w:sz w:val="22"/>
          <w:szCs w:val="22"/>
          <w14:ligatures w14:val="none"/>
        </w:rPr>
        <w:t>belief-intentional</w:t>
      </w:r>
      <w:r w:rsidRPr="00F8430C">
        <w:rPr>
          <w:rFonts w:ascii="Arial" w:eastAsia="Times New Roman" w:hAnsi="Arial" w:cs="Arial"/>
          <w:color w:val="000000"/>
          <w:kern w:val="0"/>
          <w:sz w:val="22"/>
          <w:szCs w:val="22"/>
          <w14:ligatures w14:val="none"/>
        </w:rPr>
        <w:t xml:space="preserve"> sense (the agent knowingly brought the effect about) and an </w:t>
      </w:r>
      <w:r w:rsidRPr="00F8430C">
        <w:rPr>
          <w:rFonts w:ascii="Arial" w:eastAsia="Times New Roman" w:hAnsi="Arial" w:cs="Arial"/>
          <w:i/>
          <w:iCs/>
          <w:color w:val="000000"/>
          <w:kern w:val="0"/>
          <w:sz w:val="22"/>
          <w:szCs w:val="22"/>
          <w14:ligatures w14:val="none"/>
        </w:rPr>
        <w:t>aim-intentional</w:t>
      </w:r>
      <w:r w:rsidRPr="00F8430C">
        <w:rPr>
          <w:rFonts w:ascii="Arial" w:eastAsia="Times New Roman" w:hAnsi="Arial" w:cs="Arial"/>
          <w:color w:val="000000"/>
          <w:kern w:val="0"/>
          <w:sz w:val="22"/>
          <w:szCs w:val="22"/>
          <w14:ligatures w14:val="none"/>
        </w:rPr>
        <w:t xml:space="preserve"> sense (the agent was aiming at the effect). On Scanlon's account, subjects shift which sense of "intentional" they are answering under depending on whether the effect is bad (where belief-intentional is the sense relevant to moral criticism) or good (where aim-intentional is the sense relevant to moral credit) — producing the asymmetry without any evaluative consideration acting on a single unified concept of intentional action. This is a live rival to every account this project's RQ1 tests: it predicts the same behavioral asymmetry as the moral-valence, blame, and normativity accounts, but locates its source in ambiguity of the target concept itself rather than in any of the constructs this project's taxonomy manipulates.</w:t>
      </w:r>
    </w:p>
    <w:p w14:paraId="64F86AB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A second, methodologically sharper challenge comes from Lindauer and Southwood (2021), who report that the human Knobe asymmetry can be </w:t>
      </w:r>
      <w:r w:rsidRPr="00F8430C">
        <w:rPr>
          <w:rFonts w:ascii="Arial" w:eastAsia="Times New Roman" w:hAnsi="Arial" w:cs="Arial"/>
          <w:i/>
          <w:iCs/>
          <w:color w:val="000000"/>
          <w:kern w:val="0"/>
          <w:sz w:val="22"/>
          <w:szCs w:val="22"/>
          <w14:ligatures w14:val="none"/>
        </w:rPr>
        <w:t>cancelled</w:t>
      </w:r>
      <w:r w:rsidRPr="00F8430C">
        <w:rPr>
          <w:rFonts w:ascii="Arial" w:eastAsia="Times New Roman" w:hAnsi="Arial" w:cs="Arial"/>
          <w:color w:val="000000"/>
          <w:kern w:val="0"/>
          <w:sz w:val="22"/>
          <w:szCs w:val="22"/>
          <w14:ligatures w14:val="none"/>
        </w:rPr>
        <w:t>: when subjects are given a statement that lets them deny intentional action while simultaneously registering sufficiently strong moral censure of the agent ("the chairman didn't intentionally harm the environment, but he knowingly harmed the environment, and he is morally responsible and should be blamed for doing so"), agreement with the denial matches the positive-condition baseline almost exactly. Their interpretation is pragmatic: subjects in the harm condition ascribe intentional action not because of any belief about the agent's mental states, valence, blame, or normativity, but because ascribing intentionality is, in that conversational context, the only available way to register sufficiently strong condemnation — an implicature that evaporates once a separate channel for condemnation is offered.</w:t>
      </w:r>
    </w:p>
    <w:p w14:paraId="29232588"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This bears directly on the present design's validity, and the design as specified does not yet control for it. The independent-completion elicitation protocol (Section 12) already asks blame as a question separate from intentionality, but that is not the same manipulation Lindauer and Southwood ran: their cancelling statement offers the alternative channel for condemnation </w:t>
      </w:r>
      <w:r w:rsidRPr="00F8430C">
        <w:rPr>
          <w:rFonts w:ascii="Arial" w:eastAsia="Times New Roman" w:hAnsi="Arial" w:cs="Arial"/>
          <w:i/>
          <w:iCs/>
          <w:color w:val="000000"/>
          <w:kern w:val="0"/>
          <w:sz w:val="22"/>
          <w:szCs w:val="22"/>
          <w14:ligatures w14:val="none"/>
        </w:rPr>
        <w:t>within the same judgment</w:t>
      </w:r>
      <w:r w:rsidRPr="00F8430C">
        <w:rPr>
          <w:rFonts w:ascii="Arial" w:eastAsia="Times New Roman" w:hAnsi="Arial" w:cs="Arial"/>
          <w:color w:val="000000"/>
          <w:kern w:val="0"/>
          <w:sz w:val="22"/>
          <w:szCs w:val="22"/>
          <w14:ligatures w14:val="none"/>
        </w:rPr>
        <w:t>, not in a separate completion the model may never connect to the intentionality question at all. It remains an open possibility that this project's intentionality ratings partly reflect the same pragmatic pressure documented in humans, rather than genuine sensitivity to valence, blame, normativity, or evocativeness as such. A direct test — presenting the test-subject models with an LLM-adapted cancelling statement modeled on Lindauer and Southwood's, and checking whether the intentionality asymmetry attenuates the same way it does for their human subjects — is noted here as a planned robustness check on RQ1, to be run once the primary dissociation results are in hand, rather than a requirement that must be resolved before the main study can proceed.</w:t>
      </w:r>
    </w:p>
    <w:p w14:paraId="4463A294"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Locating this project in the research landscape</w:t>
      </w:r>
    </w:p>
    <w:p w14:paraId="3D60EF3E"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lastRenderedPageBreak/>
        <w:t xml:space="preserve">This project sits at the intersection of four literatures that have, until now, largely developed independently of one another. The experimental-philosophy tradition beginning with Knobe (2003a, 2003b) and extended through Ngo et al. (2015), Uttich and Lombrozo (2010), Pettit and Knobe (2009), and Hindriks et al. (2016) has established the phenomenon and proposed several mutually incompatible mechanisms for it in humans, without settling which mechanism is correct. A parallel philosophy-of-action debate — Bratman (1987), Harman (1976), Duff (1982, 1990), and Mele and Sverdlik (1996) arguing on opposing sides, with Scanlon (2010) and Lindauer and Southwood (2021) offering deflationary alternatives — has argued for decades over whether evaluative considerations belong in the concept of intentional action at all, independently of any experimental resolution. A newer, smaller literature has begun asking whether the human effect and its candidate mechanisms transfer to artificial agents at all — Kegel and Ghanem (2024) find the effect present for human and android agents but absent for a humanoid robot; Rosengren, Dennis, and Kim (2026) find the asymmetry </w:t>
      </w:r>
      <w:r w:rsidRPr="00F8430C">
        <w:rPr>
          <w:rFonts w:ascii="Arial" w:eastAsia="Times New Roman" w:hAnsi="Arial" w:cs="Arial"/>
          <w:i/>
          <w:iCs/>
          <w:color w:val="000000"/>
          <w:kern w:val="0"/>
          <w:sz w:val="22"/>
          <w:szCs w:val="22"/>
          <w14:ligatures w14:val="none"/>
        </w:rPr>
        <w:t>reverses</w:t>
      </w:r>
      <w:r w:rsidRPr="00F8430C">
        <w:rPr>
          <w:rFonts w:ascii="Arial" w:eastAsia="Times New Roman" w:hAnsi="Arial" w:cs="Arial"/>
          <w:color w:val="000000"/>
          <w:kern w:val="0"/>
          <w:sz w:val="22"/>
          <w:szCs w:val="22"/>
          <w14:ligatures w14:val="none"/>
        </w:rPr>
        <w:t xml:space="preserve"> when humans judge an AI's harmful decisions, with organizational accountability substituting for algorithmic blame. Separately, a growing mechanistic-interpretability and LLM-moral-cognition literature (Scherrer et al., 2023; Raimondi et al., 2025) has begun asking not whether models exhibit human-like moral biases behaviorally, but where in the model's computation such biases live and whether they can be causally intervened upon — a question philosophy of action and experimental philosophy have no tools to ask, and one that recent work on intentionality and moral responsibility as applied to LLMs (arXiv:2606.13441) treats as still conceptually unsettled at the level of whether these attributions even apply to such systems in the first place.</w:t>
      </w:r>
    </w:p>
    <w:p w14:paraId="4AC6F171"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This project's contribution is to connect the first two literatures' unresolved question — </w:t>
      </w:r>
      <w:r w:rsidRPr="00F8430C">
        <w:rPr>
          <w:rFonts w:ascii="Arial" w:eastAsia="Times New Roman" w:hAnsi="Arial" w:cs="Arial"/>
          <w:i/>
          <w:iCs/>
          <w:color w:val="000000"/>
          <w:kern w:val="0"/>
          <w:sz w:val="22"/>
          <w:szCs w:val="22"/>
          <w14:ligatures w14:val="none"/>
        </w:rPr>
        <w:t>what, specifically, is the Knobe asymmetry made of</w:t>
      </w:r>
      <w:r w:rsidRPr="00F8430C">
        <w:rPr>
          <w:rFonts w:ascii="Arial" w:eastAsia="Times New Roman" w:hAnsi="Arial" w:cs="Arial"/>
          <w:color w:val="000000"/>
          <w:kern w:val="0"/>
          <w:sz w:val="22"/>
          <w:szCs w:val="22"/>
          <w14:ligatures w14:val="none"/>
        </w:rPr>
        <w:t xml:space="preserve"> — to the methodology of the fourth, using LLMs as a testbed where every candidate mechanism from the first two literatures can be operationalized as an independent, measurable variable and then localized and causally tested in a model's internals, rather than left as a permanently underdetermined dispute about human cognition.</w:t>
      </w:r>
    </w:p>
    <w:p w14:paraId="4D2966AC"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1. Overall Design Philosophy: Controlled Decomposition</w:t>
      </w:r>
    </w:p>
    <w:p w14:paraId="4854C088"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not simply write a large set of moral scenarios?</w:t>
      </w:r>
    </w:p>
    <w:p w14:paraId="766AF86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Existing Knobe datasets, including the one this project extends, confound several psychologically distinct properties under a single positive/negative label. The goal of this stimulus set is not to maximize narrative realism but to maximize interpretability: each vignette family represents one underlying situation, and its variants differ along exactly one experimentally controlled dimension at a time. This is what makes it possible to attribute a behavioral difference to a specific manipulation rather than to uncontrolled variation between stories — the same logic that motivates the semantic-equivalence constraints in Section 9 and the matched-family structure in Section 7.</w:t>
      </w:r>
    </w:p>
    <w:p w14:paraId="00C8367A"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2. Domain Selection</w:t>
      </w:r>
    </w:p>
    <w:p w14:paraId="1BDE9C7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use ten application domains (Environment, Product Safety, Workplace, Finance, Healthcare, Data Privacy, Food Quality, Academic, Animal Welfare, Community)?</w:t>
      </w:r>
    </w:p>
    <w:p w14:paraId="46267420"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lastRenderedPageBreak/>
        <w:t>Domain serves as a generalization check, not an independent variable of theoretical interest. Restricting the stimulus set to a single context (e.g., only environmental harms, as in much prior work) risks any observed effect being an artifact of that context's specific framing rather than a general property of the model's intentionality judgments. Ten domains, spanning contexts where moral and nonmoral considerations both arise naturally, were chosen to test generalization across modern, AI-relevant application areas while encouraging broad semantic coverage rather than lexical repetition across items. Domain is treated throughout the analysis as a nuisance/random-effects variable, not a fixed effect of interest.</w:t>
      </w:r>
    </w:p>
    <w:p w14:paraId="4C41D99C"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3. Outcome Category</w:t>
      </w:r>
    </w:p>
    <w:p w14:paraId="15462013"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distinguish morally good, morally bad, nonmorally good, nonmorally bad, and neutral outcomes, rather than a simple positive/negative contrast?</w:t>
      </w:r>
    </w:p>
    <w:p w14:paraId="3E4929AE"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Prior work, including Raimondi et al., operationalizes the Knobe manipulation as a binary positive/negative contrast. This collapses several evaluative dimensions that may be doing distinct work: an outcome can be positive or negative for moral reasons, prudential reasons, procedural reasons, aesthetic reasons, or reasons of etiquette — or for no reason at all (the neutral/stakeless baseline). Distinguishing these categories allows a direct test of whether the intentionality asymmetry tracks </w:t>
      </w:r>
      <w:r w:rsidRPr="00F8430C">
        <w:rPr>
          <w:rFonts w:ascii="Arial" w:eastAsia="Times New Roman" w:hAnsi="Arial" w:cs="Arial"/>
          <w:i/>
          <w:iCs/>
          <w:color w:val="000000"/>
          <w:kern w:val="0"/>
          <w:sz w:val="22"/>
          <w:szCs w:val="22"/>
          <w14:ligatures w14:val="none"/>
        </w:rPr>
        <w:t>moral</w:t>
      </w:r>
      <w:r w:rsidRPr="00F8430C">
        <w:rPr>
          <w:rFonts w:ascii="Arial" w:eastAsia="Times New Roman" w:hAnsi="Arial" w:cs="Arial"/>
          <w:color w:val="000000"/>
          <w:kern w:val="0"/>
          <w:sz w:val="22"/>
          <w:szCs w:val="22"/>
          <w14:ligatures w14:val="none"/>
        </w:rPr>
        <w:t xml:space="preserve"> evaluation specifically, or evaluative valence more generally, which a simple good/bad contrast cannot distinguish.</w:t>
      </w:r>
    </w:p>
    <w:p w14:paraId="17D0DB92"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4. Formal Outcome Taxonomy</w:t>
      </w:r>
    </w:p>
    <w:p w14:paraId="42841DF8"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4.1 Why distinguish moral from nonmoral valence?</w:t>
      </w:r>
    </w:p>
    <w:p w14:paraId="617E9A32"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A central question in the project is whether intentionality judgments track moral evaluation specifically or evaluative valence more broadly. A simple good–bad contrast cannot answer this question. For example: harming a patient is morally bad; increasing processing time is prudentially bad; violating a formatting rule is procedurally bad; making a room less visually balanced is aesthetically bad. All four outcomes are negative in some sense, but only the first necessarily implicates welfare, rights, fairness, or a genuine obligation to another party. Including both moral and nonmoral valence therefore permits a more discriminating test: does the model respond to outcomes because they are good or bad, or because they are </w:t>
      </w:r>
      <w:r w:rsidRPr="00F8430C">
        <w:rPr>
          <w:rFonts w:ascii="Arial" w:eastAsia="Times New Roman" w:hAnsi="Arial" w:cs="Arial"/>
          <w:i/>
          <w:iCs/>
          <w:color w:val="000000"/>
          <w:kern w:val="0"/>
          <w:sz w:val="22"/>
          <w:szCs w:val="22"/>
          <w14:ligatures w14:val="none"/>
        </w:rPr>
        <w:t>morally</w:t>
      </w:r>
      <w:r w:rsidRPr="00F8430C">
        <w:rPr>
          <w:rFonts w:ascii="Arial" w:eastAsia="Times New Roman" w:hAnsi="Arial" w:cs="Arial"/>
          <w:color w:val="000000"/>
          <w:kern w:val="0"/>
          <w:sz w:val="22"/>
          <w:szCs w:val="22"/>
          <w14:ligatures w14:val="none"/>
        </w:rPr>
        <w:t xml:space="preserve"> good or bad? The same logic applies to positive outcomes — a morally good benefit should be distinguished from an increase in efficiency, compliance, tidiness, or politeness.</w:t>
      </w:r>
    </w:p>
    <w:p w14:paraId="50EE479B"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4.2 Why define moral outcomes through affected interests?</w:t>
      </w:r>
    </w:p>
    <w:p w14:paraId="603DDE2C"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The moral category is defined through the kind of interest or claim affected by the outcome. An outcome qualifies as morally good or bad when it improves or worsens welfare, protects or violates a right, removes or imposes an unfair burden, fulfills or breaches a non-institutional obligation, or preserves or damages a welfare-relevant public good. This has three advantages. First, it avoids defining moral outcomes through overtly moral vocabulary such as "wrong," "cruel," or "unethical" — the vignette states what happens and allows the moral significance to be inferred from the affected interest. Second, it makes the classification independent of the agent's mental state: the consequence remains morally good or bad whether it was intended, accidental, welcomed, regretted, or treated with indifference — this matters because the </w:t>
      </w:r>
      <w:r w:rsidRPr="00F8430C">
        <w:rPr>
          <w:rFonts w:ascii="Arial" w:eastAsia="Times New Roman" w:hAnsi="Arial" w:cs="Arial"/>
          <w:color w:val="000000"/>
          <w:kern w:val="0"/>
          <w:sz w:val="22"/>
          <w:szCs w:val="22"/>
          <w14:ligatures w14:val="none"/>
        </w:rPr>
        <w:lastRenderedPageBreak/>
        <w:t>experiment tests judgments about intentionality and blame, so those judgments cannot safely be built into the outcome category itself. Third, it provides a principled boundary around the moral category: classification depends on what is affected, not on whether the outcome merely seems important, dramatic, or socially disapproved.</w:t>
      </w:r>
    </w:p>
    <w:p w14:paraId="40812828"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4.3 Why distinguish institutional rules from moral obligations?</w:t>
      </w:r>
    </w:p>
    <w:p w14:paraId="35EE6F22"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The criteria separate genuine moral obligations from requirements whose force depends entirely on an institutional rule or convention. Protecting a vulnerable patient may remain obligatory even if no formal policy mentions it; completing a required form may cease to be obligatory if the institution changes the rule. This distinction matters because procedural noncompliance can resemble moral wrongdoing in ordinary language — both may be described as "violations," "failures," or "breaches." The taxonomy asks whether the obligation would remain in force if the institution waived or changed the rule; if not, the case is procedural rather than moral. This prevents the procedural condition from becoming a weak or disguised version of the moral condition.</w:t>
      </w:r>
    </w:p>
    <w:p w14:paraId="172A34B6"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4.4 Why divide nonmoral outcomes into subdomains?</w:t>
      </w:r>
    </w:p>
    <w:p w14:paraId="4934D6ED"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"Nonmoral" is not treated as one undifferentiated residual category. Each nonmoral item is assigned to exactly one of four subdomains — prudential, procedural, aesthetic, etiquette — each with its own positive test and guardrail. Different nonmoral outcomes may influence judgments through different mechanisms: a model may respond differently to inefficiency, rule noncompliance, ugliness, and impropriety. Assigning each item to a specific subdomain makes this heterogeneity inspectable and prevents the nonmoral category from becoming an incoherent miscellany. Prudential outcomes concern efficiency, time, cost, or task competence; procedural outcomes concern compliance with institutional protocols or conventions; aesthetic outcomes concern appearance or experiential quality without welfare or safety implications; etiquette outcomes concern authority- or convention-dependent standards of manner.</w:t>
      </w:r>
    </w:p>
    <w:p w14:paraId="0B260D67"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4.5 Why does the moral classification take priority in ambiguous cases?</w:t>
      </w:r>
    </w:p>
    <w:p w14:paraId="4DDCF0F3"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The taxonomy uses an asymmetric decision rule: when an outcome satisfies both a nonmoral criterion and any moral criterion, it is classified as moral. This is conservative by design. A supposedly nonmoral item that also affects welfare, rights, fairness, or a genuine obligation would contaminate the nonmoral condition; a morally significant item that also incidentally involves inefficiency, procedural irregularity, or aesthetic deterioration does not thereby stop being moral. Moral classification takes priority because false-nonmoral misclassifications are more damaging to the experiment than moral items carrying secondary nonmoral features.</w:t>
      </w:r>
    </w:p>
    <w:p w14:paraId="30146D86"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4.6 Why include a stakeless category?</w:t>
      </w:r>
    </w:p>
    <w:p w14:paraId="1ABA7FF4"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Neutrality is not weak valence, triviality, or low importance — it is the absence of any relevant evaluative stake. A stakeless outcome must affect no identifiable party's welfare, no rights, no fair treatment, no legitimate expectations, and no prudential, procedural, aesthetic, or etiquette standard; it must be purely descriptive. This provides a baseline for asking whether foresight plus indifference alone is sufficient to elevate intentionality or blame judgments even when the side effect carries no evaluative charge at all. The strictness is deliberate: a merely minor inconvenience, slight aesthetic deterioration, or inconsequential procedural deviation is not </w:t>
      </w:r>
      <w:r w:rsidRPr="00F8430C">
        <w:rPr>
          <w:rFonts w:ascii="Arial" w:eastAsia="Times New Roman" w:hAnsi="Arial" w:cs="Arial"/>
          <w:color w:val="000000"/>
          <w:kern w:val="0"/>
          <w:sz w:val="22"/>
          <w:szCs w:val="22"/>
          <w14:ligatures w14:val="none"/>
        </w:rPr>
        <w:lastRenderedPageBreak/>
        <w:t>neutral — it is a low-stakes instance of another evaluative category, and treating such cases as neutral would weaken the baseline.</w:t>
      </w:r>
    </w:p>
    <w:p w14:paraId="7FCB780C"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4.7 Why prohibit evaluative and mental-state language in consequence clauses?</w:t>
      </w:r>
    </w:p>
    <w:p w14:paraId="3BC95E58"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The consequence clause must describe the outcome without naming its evaluation and without attributing intentions, motives, recklessness, negligence, or responsibility. This prevents two forms of circularity. First, the model should infer the outcome's moral or nonmoral significance from the facts rather than from labels such as "wrong," "unfair," "rude," or "harmful." Second, the consequence clause must not answer the very questions being asked — describing an outcome as "deliberately caused," "negligently produced," or "the agent's responsibility" would directly contaminate the intentionality and blame measures.</w:t>
      </w:r>
    </w:p>
    <w:p w14:paraId="373524B8"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4.8 Resulting classification procedure</w:t>
      </w:r>
    </w:p>
    <w:p w14:paraId="0CCE7D04"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Each proposed side effect is classified using the decision rules given in full in Section 4.10's table — that table is this taxonomy's single source of truth for the individual tests, and this section states only their </w:t>
      </w:r>
      <w:r w:rsidRPr="00F8430C">
        <w:rPr>
          <w:rFonts w:ascii="Arial" w:eastAsia="Times New Roman" w:hAnsi="Arial" w:cs="Arial"/>
          <w:i/>
          <w:iCs/>
          <w:color w:val="000000"/>
          <w:kern w:val="0"/>
          <w:sz w:val="22"/>
          <w:szCs w:val="22"/>
          <w14:ligatures w14:val="none"/>
        </w:rPr>
        <w:t>order of application</w:t>
      </w:r>
      <w:r w:rsidRPr="00F8430C">
        <w:rPr>
          <w:rFonts w:ascii="Arial" w:eastAsia="Times New Roman" w:hAnsi="Arial" w:cs="Arial"/>
          <w:color w:val="000000"/>
          <w:kern w:val="0"/>
          <w:sz w:val="22"/>
          <w:szCs w:val="22"/>
          <w14:ligatures w14:val="none"/>
        </w:rPr>
        <w:t>, so the two do not drift apart under future edits:</w:t>
      </w:r>
    </w:p>
    <w:p w14:paraId="689EB195" w14:textId="77777777" w:rsidR="00F8430C" w:rsidRPr="00F8430C" w:rsidRDefault="00F8430C" w:rsidP="00F8430C">
      <w:pPr>
        <w:numPr>
          <w:ilvl w:val="0"/>
          <w:numId w:val="2"/>
        </w:numPr>
        <w:spacing w:before="240" w:after="0" w:line="240" w:lineRule="auto"/>
        <w:textAlignment w:val="baseline"/>
        <w:rPr>
          <w:rFonts w:ascii="Arial" w:eastAsia="Times New Roman" w:hAnsi="Arial" w:cs="Arial"/>
          <w:color w:val="000000"/>
          <w:kern w:val="0"/>
          <w:sz w:val="22"/>
          <w:szCs w:val="22"/>
          <w14:ligatures w14:val="none"/>
        </w:rPr>
      </w:pPr>
      <w:r w:rsidRPr="00F8430C">
        <w:rPr>
          <w:rFonts w:ascii="Arial" w:eastAsia="Times New Roman" w:hAnsi="Arial" w:cs="Arial"/>
          <w:color w:val="000000"/>
          <w:kern w:val="0"/>
          <w:sz w:val="22"/>
          <w:szCs w:val="22"/>
          <w14:ligatures w14:val="none"/>
        </w:rPr>
        <w:t>Test the four moral candidate questions (welfare, rights/justice, non-institutional obligation, public good). If any applies, classify as moral, subject to the tie-break in Section 4.5.</w:t>
      </w:r>
    </w:p>
    <w:p w14:paraId="2B0F84A3" w14:textId="77777777" w:rsidR="00F8430C" w:rsidRPr="00F8430C" w:rsidRDefault="00F8430C" w:rsidP="00F8430C">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F8430C">
        <w:rPr>
          <w:rFonts w:ascii="Arial" w:eastAsia="Times New Roman" w:hAnsi="Arial" w:cs="Arial"/>
          <w:color w:val="000000"/>
          <w:kern w:val="0"/>
          <w:sz w:val="22"/>
          <w:szCs w:val="22"/>
          <w14:ligatures w14:val="none"/>
        </w:rPr>
        <w:t>If none applies, test whether the item is authority-dependent (would the obligation/prohibition survive the institution waiving it?). If authority-dependent, classify into exactly one nonmoral subdomain (prudential, procedural, aesthetic, or etiquette) via that subdomain's positive test.</w:t>
      </w:r>
    </w:p>
    <w:p w14:paraId="0D601D16" w14:textId="77777777" w:rsidR="00F8430C" w:rsidRPr="00F8430C" w:rsidRDefault="00F8430C" w:rsidP="00F8430C">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F8430C">
        <w:rPr>
          <w:rFonts w:ascii="Arial" w:eastAsia="Times New Roman" w:hAnsi="Arial" w:cs="Arial"/>
          <w:color w:val="000000"/>
          <w:kern w:val="0"/>
          <w:sz w:val="22"/>
          <w:szCs w:val="22"/>
          <w14:ligatures w14:val="none"/>
        </w:rPr>
        <w:t>If neither a moral nor any nonmoral subdomain test is satisfied, and no stake of any of the above kinds is present, classify as neutral/stakeless (Section 4.6).</w:t>
      </w:r>
    </w:p>
    <w:p w14:paraId="3B488D7D" w14:textId="77777777" w:rsidR="00F8430C" w:rsidRPr="00F8430C" w:rsidRDefault="00F8430C" w:rsidP="00F8430C">
      <w:pPr>
        <w:numPr>
          <w:ilvl w:val="0"/>
          <w:numId w:val="2"/>
        </w:numPr>
        <w:spacing w:after="240" w:line="240" w:lineRule="auto"/>
        <w:textAlignment w:val="baseline"/>
        <w:rPr>
          <w:rFonts w:ascii="Arial" w:eastAsia="Times New Roman" w:hAnsi="Arial" w:cs="Arial"/>
          <w:color w:val="000000"/>
          <w:kern w:val="0"/>
          <w:sz w:val="22"/>
          <w:szCs w:val="22"/>
          <w14:ligatures w14:val="none"/>
        </w:rPr>
      </w:pPr>
      <w:r w:rsidRPr="00F8430C">
        <w:rPr>
          <w:rFonts w:ascii="Arial" w:eastAsia="Times New Roman" w:hAnsi="Arial" w:cs="Arial"/>
          <w:color w:val="000000"/>
          <w:kern w:val="0"/>
          <w:sz w:val="22"/>
          <w:szCs w:val="22"/>
          <w14:ligatures w14:val="none"/>
        </w:rPr>
        <w:t>If more than one category plausibly applies at any step, revise the item, or apply the moral-priority rule (Section 4.5).</w:t>
      </w:r>
    </w:p>
    <w:p w14:paraId="6968CC9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This procedure turns the taxonomy into an operational construction tool rather than merely a conceptual description.</w:t>
      </w:r>
    </w:p>
    <w:p w14:paraId="747E01C4"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4.9 Extension to the mental-state-leakage prohibition (4.7)</w:t>
      </w:r>
    </w:p>
    <w:p w14:paraId="2116A388"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In addition to intentions, motives, recklessness, negligence, and responsibility, the consequence clause also excludes </w:t>
      </w:r>
      <w:r w:rsidRPr="00F8430C">
        <w:rPr>
          <w:rFonts w:ascii="Arial" w:eastAsia="Times New Roman" w:hAnsi="Arial" w:cs="Arial"/>
          <w:b/>
          <w:bCs/>
          <w:color w:val="000000"/>
          <w:kern w:val="0"/>
          <w:sz w:val="22"/>
          <w:szCs w:val="22"/>
          <w14:ligatures w14:val="none"/>
        </w:rPr>
        <w:t>epistemic-modal language describing the event itself</w:t>
      </w:r>
      <w:r w:rsidRPr="00F8430C">
        <w:rPr>
          <w:rFonts w:ascii="Arial" w:eastAsia="Times New Roman" w:hAnsi="Arial" w:cs="Arial"/>
          <w:color w:val="000000"/>
          <w:kern w:val="0"/>
          <w:sz w:val="22"/>
          <w:szCs w:val="22"/>
          <w14:ligatures w14:val="none"/>
        </w:rPr>
        <w:t xml:space="preserve"> — "accidentally," "deliberately," "unwittingly," "avoidably," "preventably," "unforeseeably." These do not name a mental state directly but encode a judgment about the event's relationship to agency, which is exactly as circularity-inducing as naming the mental state outright, for the same reason given in 4.7. This prohibition applies only to the consequence clause; the fixed setup clause ("knew... did not care...") is necessarily exempt, since foreknowledge-plus-indifference is the manipulation the paradigm depends on, not something the taxonomy is trying to eliminate.</w:t>
      </w:r>
    </w:p>
    <w:p w14:paraId="7C8C5E76"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4.10 Grounding the taxonomy in normative ethics without committing to one</w:t>
      </w:r>
    </w:p>
    <w:p w14:paraId="3010CEB4"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lastRenderedPageBreak/>
        <w:t>Question addressed:</w:t>
      </w:r>
      <w:r w:rsidRPr="00F8430C">
        <w:rPr>
          <w:rFonts w:ascii="Arial" w:eastAsia="Times New Roman" w:hAnsi="Arial" w:cs="Arial"/>
          <w:color w:val="000000"/>
          <w:kern w:val="0"/>
          <w:sz w:val="22"/>
          <w:szCs w:val="22"/>
          <w14:ligatures w14:val="none"/>
        </w:rPr>
        <w:t xml:space="preserve"> By what standard can the moral/nonmoral/neutral decision rules be defended as the </w:t>
      </w:r>
      <w:r w:rsidRPr="00F8430C">
        <w:rPr>
          <w:rFonts w:ascii="Arial" w:eastAsia="Times New Roman" w:hAnsi="Arial" w:cs="Arial"/>
          <w:i/>
          <w:iCs/>
          <w:color w:val="000000"/>
          <w:kern w:val="0"/>
          <w:sz w:val="22"/>
          <w:szCs w:val="22"/>
          <w14:ligatures w14:val="none"/>
        </w:rPr>
        <w:t>right</w:t>
      </w:r>
      <w:r w:rsidRPr="00F8430C">
        <w:rPr>
          <w:rFonts w:ascii="Arial" w:eastAsia="Times New Roman" w:hAnsi="Arial" w:cs="Arial"/>
          <w:color w:val="000000"/>
          <w:kern w:val="0"/>
          <w:sz w:val="22"/>
          <w:szCs w:val="22"/>
          <w14:ligatures w14:val="none"/>
        </w:rPr>
        <w:t xml:space="preserve"> criteria, rather than an arbitrary or theory-laden choice?</w:t>
      </w:r>
    </w:p>
    <w:p w14:paraId="0FD6903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This taxonomy deliberately does not adopt any single normative theory as its foundation. Defining "morally bad" as "produces net disutility" would build in a utilitarian commitment a Kantian could reasonably reject; defining it as "violates a categorical duty" would exclude harms a consequentialist would insist count. Either choice would make the classification contestable on first-order ethical grounds, independent of anything the experiment finds, and would risk any resulting claim about "moral valence" being no more than a claim about sensitivity to one theory's idiosyncratic carving of the moral domain.</w:t>
      </w:r>
    </w:p>
    <w:p w14:paraId="3566F94D"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The standard methodological response to this problem in applied ethics is to identify criteria that competing normative frameworks converge on endorsing, while remaining silent on which framework supplies the ultimate justification — an </w:t>
      </w:r>
      <w:r w:rsidRPr="00F8430C">
        <w:rPr>
          <w:rFonts w:ascii="Arial" w:eastAsia="Times New Roman" w:hAnsi="Arial" w:cs="Arial"/>
          <w:i/>
          <w:iCs/>
          <w:color w:val="000000"/>
          <w:kern w:val="0"/>
          <w:sz w:val="22"/>
          <w:szCs w:val="22"/>
          <w14:ligatures w14:val="none"/>
        </w:rPr>
        <w:t>overlapping consensus</w:t>
      </w:r>
      <w:r w:rsidRPr="00F8430C">
        <w:rPr>
          <w:rFonts w:ascii="Arial" w:eastAsia="Times New Roman" w:hAnsi="Arial" w:cs="Arial"/>
          <w:color w:val="000000"/>
          <w:kern w:val="0"/>
          <w:sz w:val="22"/>
          <w:szCs w:val="22"/>
          <w14:ligatures w14:val="none"/>
        </w:rPr>
        <w:t xml:space="preserve"> in Rawls's sense (</w:t>
      </w:r>
      <w:r w:rsidRPr="00F8430C">
        <w:rPr>
          <w:rFonts w:ascii="Arial" w:eastAsia="Times New Roman" w:hAnsi="Arial" w:cs="Arial"/>
          <w:i/>
          <w:iCs/>
          <w:color w:val="000000"/>
          <w:kern w:val="0"/>
          <w:sz w:val="22"/>
          <w:szCs w:val="22"/>
          <w14:ligatures w14:val="none"/>
        </w:rPr>
        <w:t>Political Liberalism</w:t>
      </w:r>
      <w:r w:rsidRPr="00F8430C">
        <w:rPr>
          <w:rFonts w:ascii="Arial" w:eastAsia="Times New Roman" w:hAnsi="Arial" w:cs="Arial"/>
          <w:color w:val="000000"/>
          <w:kern w:val="0"/>
          <w:sz w:val="22"/>
          <w:szCs w:val="22"/>
          <w14:ligatures w14:val="none"/>
        </w:rPr>
        <w:t>, 1993), and the explicit design strategy behind Beauchamp and Childress's four principles in bioethics (</w:t>
      </w:r>
      <w:r w:rsidRPr="00F8430C">
        <w:rPr>
          <w:rFonts w:ascii="Arial" w:eastAsia="Times New Roman" w:hAnsi="Arial" w:cs="Arial"/>
          <w:i/>
          <w:iCs/>
          <w:color w:val="000000"/>
          <w:kern w:val="0"/>
          <w:sz w:val="22"/>
          <w:szCs w:val="22"/>
          <w14:ligatures w14:val="none"/>
        </w:rPr>
        <w:t>Principles of Biomedical Ethics</w:t>
      </w:r>
      <w:r w:rsidRPr="00F8430C">
        <w:rPr>
          <w:rFonts w:ascii="Arial" w:eastAsia="Times New Roman" w:hAnsi="Arial" w:cs="Arial"/>
          <w:color w:val="000000"/>
          <w:kern w:val="0"/>
          <w:sz w:val="22"/>
          <w:szCs w:val="22"/>
          <w14:ligatures w14:val="none"/>
        </w:rPr>
        <w:t>), which were constructed to be affirmable by a Kantian, a utilitarian, and a virtue ethicist alike, each for their own theoretical reasons, so that bioethics could proceed without first resolving normative ethics. Ross's pluralism about prima facie duties (</w:t>
      </w:r>
      <w:r w:rsidRPr="00F8430C">
        <w:rPr>
          <w:rFonts w:ascii="Arial" w:eastAsia="Times New Roman" w:hAnsi="Arial" w:cs="Arial"/>
          <w:i/>
          <w:iCs/>
          <w:color w:val="000000"/>
          <w:kern w:val="0"/>
          <w:sz w:val="22"/>
          <w:szCs w:val="22"/>
          <w14:ligatures w14:val="none"/>
        </w:rPr>
        <w:t>The Right and the Good</w:t>
      </w:r>
      <w:r w:rsidRPr="00F8430C">
        <w:rPr>
          <w:rFonts w:ascii="Arial" w:eastAsia="Times New Roman" w:hAnsi="Arial" w:cs="Arial"/>
          <w:color w:val="000000"/>
          <w:kern w:val="0"/>
          <w:sz w:val="22"/>
          <w:szCs w:val="22"/>
          <w14:ligatures w14:val="none"/>
        </w:rPr>
        <w:t>, 1930) supplies a further reason not to reduce the taxonomy to one master principle: he argued no single principle survives contact with the full range of moral cases, which is a first-order ethical argument for a taxonomy built from several independent, non-derived tests (welfare, rights, fairness, obligation, public good) rather than one from which the others are supposed to follow.</w:t>
      </w:r>
    </w:p>
    <w:p w14:paraId="4A76D3B7"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This also matches the object of study. The Knobe effect concerns </w:t>
      </w:r>
      <w:r w:rsidRPr="00F8430C">
        <w:rPr>
          <w:rFonts w:ascii="Arial" w:eastAsia="Times New Roman" w:hAnsi="Arial" w:cs="Arial"/>
          <w:i/>
          <w:iCs/>
          <w:color w:val="000000"/>
          <w:kern w:val="0"/>
          <w:sz w:val="22"/>
          <w:szCs w:val="22"/>
          <w14:ligatures w14:val="none"/>
        </w:rPr>
        <w:t>ordinary</w:t>
      </w:r>
      <w:r w:rsidRPr="00F8430C">
        <w:rPr>
          <w:rFonts w:ascii="Arial" w:eastAsia="Times New Roman" w:hAnsi="Arial" w:cs="Arial"/>
          <w:color w:val="000000"/>
          <w:kern w:val="0"/>
          <w:sz w:val="22"/>
          <w:szCs w:val="22"/>
          <w14:ligatures w14:val="none"/>
        </w:rPr>
        <w:t xml:space="preserve"> moral judgment, not a philosopher's systematized reconstruction of it — Knobe (2010) frames the entire research program around the folk concept, in a spirit close to Sidgwick's project in </w:t>
      </w:r>
      <w:r w:rsidRPr="00F8430C">
        <w:rPr>
          <w:rFonts w:ascii="Arial" w:eastAsia="Times New Roman" w:hAnsi="Arial" w:cs="Arial"/>
          <w:i/>
          <w:iCs/>
          <w:color w:val="000000"/>
          <w:kern w:val="0"/>
          <w:sz w:val="22"/>
          <w:szCs w:val="22"/>
          <w14:ligatures w14:val="none"/>
        </w:rPr>
        <w:t>The Methods of Ethics</w:t>
      </w:r>
      <w:r w:rsidRPr="00F8430C">
        <w:rPr>
          <w:rFonts w:ascii="Arial" w:eastAsia="Times New Roman" w:hAnsi="Arial" w:cs="Arial"/>
          <w:color w:val="000000"/>
          <w:kern w:val="0"/>
          <w:sz w:val="22"/>
          <w:szCs w:val="22"/>
          <w14:ligatures w14:val="none"/>
        </w:rPr>
        <w:t xml:space="preserve"> (1907) of systematizing the deliverances of commonsense morality without first settling whether utilitarianism or intuitionism is correct. Since this project studies that same folk-level judgment as exhibited by models trained on human moral discourse spanning every normative tradition at once, a theory-neutral criterion set is the methodologically appropriate object, not a compromise.</w:t>
      </w:r>
    </w:p>
    <w:p w14:paraId="4BA4FE07"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Revised decision rules</w:t>
      </w:r>
      <w:r w:rsidRPr="00F8430C">
        <w:rPr>
          <w:rFonts w:ascii="Arial" w:eastAsia="Times New Roman" w:hAnsi="Arial" w:cs="Arial"/>
          <w:color w:val="000000"/>
          <w:kern w:val="0"/>
          <w:sz w:val="22"/>
          <w:szCs w:val="22"/>
          <w14:ligatures w14:val="none"/>
        </w:rPr>
        <w:t>, replacing intuition-based heuristics ("would most people call this X") with tests each independently defensible across major traditions:</w:t>
      </w:r>
    </w:p>
    <w:tbl>
      <w:tblPr>
        <w:tblW w:w="0" w:type="auto"/>
        <w:tblCellMar>
          <w:top w:w="15" w:type="dxa"/>
          <w:left w:w="15" w:type="dxa"/>
          <w:bottom w:w="15" w:type="dxa"/>
          <w:right w:w="15" w:type="dxa"/>
        </w:tblCellMar>
        <w:tblLook w:val="04A0" w:firstRow="1" w:lastRow="0" w:firstColumn="1" w:lastColumn="0" w:noHBand="0" w:noVBand="1"/>
      </w:tblPr>
      <w:tblGrid>
        <w:gridCol w:w="3054"/>
        <w:gridCol w:w="2168"/>
        <w:gridCol w:w="4138"/>
      </w:tblGrid>
      <w:tr w:rsidR="00F8430C" w:rsidRPr="00F8430C" w14:paraId="06D1A7EF" w14:textId="77777777">
        <w:trPr>
          <w:trHeight w:val="500"/>
        </w:trPr>
        <w:tc>
          <w:tcPr>
            <w:tcW w:w="0" w:type="auto"/>
            <w:tcMar>
              <w:top w:w="100" w:type="dxa"/>
              <w:left w:w="100" w:type="dxa"/>
              <w:bottom w:w="100" w:type="dxa"/>
              <w:right w:w="100" w:type="dxa"/>
            </w:tcMar>
            <w:hideMark/>
          </w:tcPr>
          <w:p w14:paraId="13B237A0" w14:textId="77777777" w:rsidR="00F8430C" w:rsidRPr="00F8430C" w:rsidRDefault="00F8430C" w:rsidP="00F8430C">
            <w:pPr>
              <w:spacing w:after="0" w:line="240" w:lineRule="auto"/>
              <w:jc w:val="center"/>
              <w:rPr>
                <w:rFonts w:ascii="Times New Roman" w:eastAsia="Times New Roman" w:hAnsi="Times New Roman" w:cs="Times New Roman"/>
                <w:kern w:val="0"/>
                <w14:ligatures w14:val="none"/>
              </w:rPr>
            </w:pPr>
            <w:r w:rsidRPr="00F8430C">
              <w:rPr>
                <w:rFonts w:ascii="Arial" w:eastAsia="Times New Roman" w:hAnsi="Arial" w:cs="Arial"/>
                <w:b/>
                <w:bCs/>
                <w:color w:val="000000"/>
                <w:kern w:val="0"/>
                <w:sz w:val="22"/>
                <w:szCs w:val="22"/>
                <w14:ligatures w14:val="none"/>
              </w:rPr>
              <w:t>Question</w:t>
            </w:r>
          </w:p>
        </w:tc>
        <w:tc>
          <w:tcPr>
            <w:tcW w:w="0" w:type="auto"/>
            <w:tcMar>
              <w:top w:w="100" w:type="dxa"/>
              <w:left w:w="100" w:type="dxa"/>
              <w:bottom w:w="100" w:type="dxa"/>
              <w:right w:w="100" w:type="dxa"/>
            </w:tcMar>
            <w:hideMark/>
          </w:tcPr>
          <w:p w14:paraId="370CA9E0" w14:textId="77777777" w:rsidR="00F8430C" w:rsidRPr="00F8430C" w:rsidRDefault="00F8430C" w:rsidP="00F8430C">
            <w:pPr>
              <w:spacing w:after="0" w:line="240" w:lineRule="auto"/>
              <w:jc w:val="center"/>
              <w:rPr>
                <w:rFonts w:ascii="Times New Roman" w:eastAsia="Times New Roman" w:hAnsi="Times New Roman" w:cs="Times New Roman"/>
                <w:kern w:val="0"/>
                <w14:ligatures w14:val="none"/>
              </w:rPr>
            </w:pPr>
            <w:r w:rsidRPr="00F8430C">
              <w:rPr>
                <w:rFonts w:ascii="Arial" w:eastAsia="Times New Roman" w:hAnsi="Arial" w:cs="Arial"/>
                <w:b/>
                <w:bCs/>
                <w:color w:val="000000"/>
                <w:kern w:val="0"/>
                <w:sz w:val="22"/>
                <w:szCs w:val="22"/>
                <w14:ligatures w14:val="none"/>
              </w:rPr>
              <w:t>Classification</w:t>
            </w:r>
          </w:p>
        </w:tc>
        <w:tc>
          <w:tcPr>
            <w:tcW w:w="0" w:type="auto"/>
            <w:tcMar>
              <w:top w:w="100" w:type="dxa"/>
              <w:left w:w="100" w:type="dxa"/>
              <w:bottom w:w="100" w:type="dxa"/>
              <w:right w:w="100" w:type="dxa"/>
            </w:tcMar>
            <w:hideMark/>
          </w:tcPr>
          <w:p w14:paraId="7BDDCB6A" w14:textId="77777777" w:rsidR="00F8430C" w:rsidRPr="00F8430C" w:rsidRDefault="00F8430C" w:rsidP="00F8430C">
            <w:pPr>
              <w:spacing w:after="0" w:line="240" w:lineRule="auto"/>
              <w:jc w:val="center"/>
              <w:rPr>
                <w:rFonts w:ascii="Times New Roman" w:eastAsia="Times New Roman" w:hAnsi="Times New Roman" w:cs="Times New Roman"/>
                <w:kern w:val="0"/>
                <w14:ligatures w14:val="none"/>
              </w:rPr>
            </w:pPr>
            <w:r w:rsidRPr="00F8430C">
              <w:rPr>
                <w:rFonts w:ascii="Arial" w:eastAsia="Times New Roman" w:hAnsi="Arial" w:cs="Arial"/>
                <w:b/>
                <w:bCs/>
                <w:color w:val="000000"/>
                <w:kern w:val="0"/>
                <w:sz w:val="22"/>
                <w:szCs w:val="22"/>
                <w14:ligatures w14:val="none"/>
              </w:rPr>
              <w:t>Cross-theoretical grounding</w:t>
            </w:r>
          </w:p>
        </w:tc>
      </w:tr>
      <w:tr w:rsidR="00F8430C" w:rsidRPr="00F8430C" w14:paraId="516F61E9" w14:textId="77777777">
        <w:trPr>
          <w:trHeight w:val="1580"/>
        </w:trPr>
        <w:tc>
          <w:tcPr>
            <w:tcW w:w="0" w:type="auto"/>
            <w:tcMar>
              <w:top w:w="100" w:type="dxa"/>
              <w:left w:w="100" w:type="dxa"/>
              <w:bottom w:w="100" w:type="dxa"/>
              <w:right w:w="100" w:type="dxa"/>
            </w:tcMar>
            <w:hideMark/>
          </w:tcPr>
          <w:p w14:paraId="34242A0E"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Does the outcome affect an identifiable party's welfare (bodily, psychological, material)?</w:t>
            </w:r>
          </w:p>
        </w:tc>
        <w:tc>
          <w:tcPr>
            <w:tcW w:w="0" w:type="auto"/>
            <w:tcMar>
              <w:top w:w="100" w:type="dxa"/>
              <w:left w:w="100" w:type="dxa"/>
              <w:bottom w:w="100" w:type="dxa"/>
              <w:right w:w="100" w:type="dxa"/>
            </w:tcMar>
            <w:hideMark/>
          </w:tcPr>
          <w:p w14:paraId="6A6E37B2"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Candidate Moral (Welfare)</w:t>
            </w:r>
          </w:p>
        </w:tc>
        <w:tc>
          <w:tcPr>
            <w:tcW w:w="0" w:type="auto"/>
            <w:tcMar>
              <w:top w:w="100" w:type="dxa"/>
              <w:left w:w="100" w:type="dxa"/>
              <w:bottom w:w="100" w:type="dxa"/>
              <w:right w:w="100" w:type="dxa"/>
            </w:tcMar>
            <w:hideMark/>
          </w:tcPr>
          <w:p w14:paraId="215B94FD"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 xml:space="preserve">Central to utilitarianism (Bentham, Mill, Sidgwick); recognized by deontology via the duty of non-maleficence (Kant; Ross); recognized by virtue ethics via vices like cruelty and negligence (Aristotle, </w:t>
            </w:r>
            <w:r w:rsidRPr="00F8430C">
              <w:rPr>
                <w:rFonts w:ascii="Arial" w:eastAsia="Times New Roman" w:hAnsi="Arial" w:cs="Arial"/>
                <w:i/>
                <w:iCs/>
                <w:color w:val="000000"/>
                <w:kern w:val="0"/>
                <w:sz w:val="22"/>
                <w:szCs w:val="22"/>
                <w14:ligatures w14:val="none"/>
              </w:rPr>
              <w:t>Nicomachean Ethics</w:t>
            </w:r>
            <w:r w:rsidRPr="00F8430C">
              <w:rPr>
                <w:rFonts w:ascii="Arial" w:eastAsia="Times New Roman" w:hAnsi="Arial" w:cs="Arial"/>
                <w:color w:val="000000"/>
                <w:kern w:val="0"/>
                <w:sz w:val="22"/>
                <w:szCs w:val="22"/>
                <w14:ligatures w14:val="none"/>
              </w:rPr>
              <w:t>).</w:t>
            </w:r>
          </w:p>
        </w:tc>
      </w:tr>
      <w:tr w:rsidR="00F8430C" w:rsidRPr="00F8430C" w14:paraId="40B7891B" w14:textId="77777777">
        <w:trPr>
          <w:trHeight w:val="2120"/>
        </w:trPr>
        <w:tc>
          <w:tcPr>
            <w:tcW w:w="0" w:type="auto"/>
            <w:tcMar>
              <w:top w:w="100" w:type="dxa"/>
              <w:left w:w="100" w:type="dxa"/>
              <w:bottom w:w="100" w:type="dxa"/>
              <w:right w:w="100" w:type="dxa"/>
            </w:tcMar>
            <w:hideMark/>
          </w:tcPr>
          <w:p w14:paraId="390C03BB"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lastRenderedPageBreak/>
              <w:t>Does it violate or protect a right, or fail to give someone their due?</w:t>
            </w:r>
          </w:p>
        </w:tc>
        <w:tc>
          <w:tcPr>
            <w:tcW w:w="0" w:type="auto"/>
            <w:tcMar>
              <w:top w:w="100" w:type="dxa"/>
              <w:left w:w="100" w:type="dxa"/>
              <w:bottom w:w="100" w:type="dxa"/>
              <w:right w:w="100" w:type="dxa"/>
            </w:tcMar>
            <w:hideMark/>
          </w:tcPr>
          <w:p w14:paraId="1CF7FFD7"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Candidate Moral (Rights/Justice)</w:t>
            </w:r>
          </w:p>
        </w:tc>
        <w:tc>
          <w:tcPr>
            <w:tcW w:w="0" w:type="auto"/>
            <w:tcMar>
              <w:top w:w="100" w:type="dxa"/>
              <w:left w:w="100" w:type="dxa"/>
              <w:bottom w:w="100" w:type="dxa"/>
              <w:right w:w="100" w:type="dxa"/>
            </w:tcMar>
            <w:hideMark/>
          </w:tcPr>
          <w:p w14:paraId="711EABF3"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 xml:space="preserve">Central to rights-based deontology (Kant's Formula of Humanity; Nozick's side-constraints, </w:t>
            </w:r>
            <w:r w:rsidRPr="00F8430C">
              <w:rPr>
                <w:rFonts w:ascii="Arial" w:eastAsia="Times New Roman" w:hAnsi="Arial" w:cs="Arial"/>
                <w:i/>
                <w:iCs/>
                <w:color w:val="000000"/>
                <w:kern w:val="0"/>
                <w:sz w:val="22"/>
                <w:szCs w:val="22"/>
                <w14:ligatures w14:val="none"/>
              </w:rPr>
              <w:t>Anarchy, State, and Utopia</w:t>
            </w:r>
            <w:r w:rsidRPr="00F8430C">
              <w:rPr>
                <w:rFonts w:ascii="Arial" w:eastAsia="Times New Roman" w:hAnsi="Arial" w:cs="Arial"/>
                <w:color w:val="000000"/>
                <w:kern w:val="0"/>
                <w:sz w:val="22"/>
                <w:szCs w:val="22"/>
                <w14:ligatures w14:val="none"/>
              </w:rPr>
              <w:t xml:space="preserve">; Dworkin's "rights as trumps"); central to justice-based liberalism (Rawls, </w:t>
            </w:r>
            <w:r w:rsidRPr="00F8430C">
              <w:rPr>
                <w:rFonts w:ascii="Arial" w:eastAsia="Times New Roman" w:hAnsi="Arial" w:cs="Arial"/>
                <w:i/>
                <w:iCs/>
                <w:color w:val="000000"/>
                <w:kern w:val="0"/>
                <w:sz w:val="22"/>
                <w:szCs w:val="22"/>
                <w14:ligatures w14:val="none"/>
              </w:rPr>
              <w:t>A Theory of Justice</w:t>
            </w:r>
            <w:r w:rsidRPr="00F8430C">
              <w:rPr>
                <w:rFonts w:ascii="Arial" w:eastAsia="Times New Roman" w:hAnsi="Arial" w:cs="Arial"/>
                <w:color w:val="000000"/>
                <w:kern w:val="0"/>
                <w:sz w:val="22"/>
                <w:szCs w:val="22"/>
                <w14:ligatures w14:val="none"/>
              </w:rPr>
              <w:t>, 1971); recognized as a cardinal virtue by Aristotelians (</w:t>
            </w:r>
            <w:r w:rsidRPr="00F8430C">
              <w:rPr>
                <w:rFonts w:ascii="Arial" w:eastAsia="Times New Roman" w:hAnsi="Arial" w:cs="Arial"/>
                <w:i/>
                <w:iCs/>
                <w:color w:val="000000"/>
                <w:kern w:val="0"/>
                <w:sz w:val="22"/>
                <w:szCs w:val="22"/>
                <w14:ligatures w14:val="none"/>
              </w:rPr>
              <w:t>NE</w:t>
            </w:r>
            <w:r w:rsidRPr="00F8430C">
              <w:rPr>
                <w:rFonts w:ascii="Arial" w:eastAsia="Times New Roman" w:hAnsi="Arial" w:cs="Arial"/>
                <w:color w:val="000000"/>
                <w:kern w:val="0"/>
                <w:sz w:val="22"/>
                <w:szCs w:val="22"/>
                <w14:ligatures w14:val="none"/>
              </w:rPr>
              <w:t xml:space="preserve"> Bk. V).</w:t>
            </w:r>
          </w:p>
        </w:tc>
      </w:tr>
      <w:tr w:rsidR="00F8430C" w:rsidRPr="00F8430C" w14:paraId="2237D459" w14:textId="77777777">
        <w:trPr>
          <w:trHeight w:val="1850"/>
        </w:trPr>
        <w:tc>
          <w:tcPr>
            <w:tcW w:w="0" w:type="auto"/>
            <w:tcMar>
              <w:top w:w="100" w:type="dxa"/>
              <w:left w:w="100" w:type="dxa"/>
              <w:bottom w:w="100" w:type="dxa"/>
              <w:right w:w="100" w:type="dxa"/>
            </w:tcMar>
            <w:hideMark/>
          </w:tcPr>
          <w:p w14:paraId="5C13A600"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Does it breach or fulfill a non-institutional obligation (a promise; a duty grounded in someone's dependence or vulnerability)?</w:t>
            </w:r>
          </w:p>
        </w:tc>
        <w:tc>
          <w:tcPr>
            <w:tcW w:w="0" w:type="auto"/>
            <w:tcMar>
              <w:top w:w="100" w:type="dxa"/>
              <w:left w:w="100" w:type="dxa"/>
              <w:bottom w:w="100" w:type="dxa"/>
              <w:right w:w="100" w:type="dxa"/>
            </w:tcMar>
            <w:hideMark/>
          </w:tcPr>
          <w:p w14:paraId="78D43BFE"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Candidate Moral (Obligation)</w:t>
            </w:r>
          </w:p>
        </w:tc>
        <w:tc>
          <w:tcPr>
            <w:tcW w:w="0" w:type="auto"/>
            <w:tcMar>
              <w:top w:w="100" w:type="dxa"/>
              <w:left w:w="100" w:type="dxa"/>
              <w:bottom w:w="100" w:type="dxa"/>
              <w:right w:w="100" w:type="dxa"/>
            </w:tcMar>
            <w:hideMark/>
          </w:tcPr>
          <w:p w14:paraId="010E71FE"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Ross's prima facie duty of fidelity; care ethics' emphasis on duties arising from relationships of dependence (Noddings; Held) — deliberately pluralist, not derived from welfare or rights alone.</w:t>
            </w:r>
          </w:p>
        </w:tc>
      </w:tr>
      <w:tr w:rsidR="00F8430C" w:rsidRPr="00F8430C" w14:paraId="5A454B4F" w14:textId="77777777">
        <w:trPr>
          <w:trHeight w:val="1580"/>
        </w:trPr>
        <w:tc>
          <w:tcPr>
            <w:tcW w:w="0" w:type="auto"/>
            <w:tcMar>
              <w:top w:w="100" w:type="dxa"/>
              <w:left w:w="100" w:type="dxa"/>
              <w:bottom w:w="100" w:type="dxa"/>
              <w:right w:w="100" w:type="dxa"/>
            </w:tcMar>
            <w:hideMark/>
          </w:tcPr>
          <w:p w14:paraId="52DA2137"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Does it damage or preserve a welfare-relevant collective/public good?</w:t>
            </w:r>
          </w:p>
        </w:tc>
        <w:tc>
          <w:tcPr>
            <w:tcW w:w="0" w:type="auto"/>
            <w:tcMar>
              <w:top w:w="100" w:type="dxa"/>
              <w:left w:w="100" w:type="dxa"/>
              <w:bottom w:w="100" w:type="dxa"/>
              <w:right w:w="100" w:type="dxa"/>
            </w:tcMar>
            <w:hideMark/>
          </w:tcPr>
          <w:p w14:paraId="153919E1"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Candidate Moral (Public good)</w:t>
            </w:r>
          </w:p>
        </w:tc>
        <w:tc>
          <w:tcPr>
            <w:tcW w:w="0" w:type="auto"/>
            <w:tcMar>
              <w:top w:w="100" w:type="dxa"/>
              <w:left w:w="100" w:type="dxa"/>
              <w:bottom w:w="100" w:type="dxa"/>
              <w:right w:w="100" w:type="dxa"/>
            </w:tcMar>
            <w:hideMark/>
          </w:tcPr>
          <w:p w14:paraId="4AA29545"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 xml:space="preserve">Rule-utilitarian treatment of diffuse harms and "harmless wrongdoing" (Parfit, </w:t>
            </w:r>
            <w:r w:rsidRPr="00F8430C">
              <w:rPr>
                <w:rFonts w:ascii="Arial" w:eastAsia="Times New Roman" w:hAnsi="Arial" w:cs="Arial"/>
                <w:i/>
                <w:iCs/>
                <w:color w:val="000000"/>
                <w:kern w:val="0"/>
                <w:sz w:val="22"/>
                <w:szCs w:val="22"/>
                <w14:ligatures w14:val="none"/>
              </w:rPr>
              <w:t>Reasons and Persons</w:t>
            </w:r>
            <w:r w:rsidRPr="00F8430C">
              <w:rPr>
                <w:rFonts w:ascii="Arial" w:eastAsia="Times New Roman" w:hAnsi="Arial" w:cs="Arial"/>
                <w:color w:val="000000"/>
                <w:kern w:val="0"/>
                <w:sz w:val="22"/>
                <w:szCs w:val="22"/>
                <w14:ligatures w14:val="none"/>
              </w:rPr>
              <w:t xml:space="preserve">, 1984); extension of the harm principle to shared interests (Feinberg, </w:t>
            </w:r>
            <w:r w:rsidRPr="00F8430C">
              <w:rPr>
                <w:rFonts w:ascii="Arial" w:eastAsia="Times New Roman" w:hAnsi="Arial" w:cs="Arial"/>
                <w:i/>
                <w:iCs/>
                <w:color w:val="000000"/>
                <w:kern w:val="0"/>
                <w:sz w:val="22"/>
                <w:szCs w:val="22"/>
                <w14:ligatures w14:val="none"/>
              </w:rPr>
              <w:t>Harm to Others</w:t>
            </w:r>
            <w:r w:rsidRPr="00F8430C">
              <w:rPr>
                <w:rFonts w:ascii="Arial" w:eastAsia="Times New Roman" w:hAnsi="Arial" w:cs="Arial"/>
                <w:color w:val="000000"/>
                <w:kern w:val="0"/>
                <w:sz w:val="22"/>
                <w:szCs w:val="22"/>
                <w14:ligatures w14:val="none"/>
              </w:rPr>
              <w:t xml:space="preserve">, 1984, building on Mill's </w:t>
            </w:r>
            <w:r w:rsidRPr="00F8430C">
              <w:rPr>
                <w:rFonts w:ascii="Arial" w:eastAsia="Times New Roman" w:hAnsi="Arial" w:cs="Arial"/>
                <w:i/>
                <w:iCs/>
                <w:color w:val="000000"/>
                <w:kern w:val="0"/>
                <w:sz w:val="22"/>
                <w:szCs w:val="22"/>
                <w14:ligatures w14:val="none"/>
              </w:rPr>
              <w:t>On Liberty</w:t>
            </w:r>
            <w:r w:rsidRPr="00F8430C">
              <w:rPr>
                <w:rFonts w:ascii="Arial" w:eastAsia="Times New Roman" w:hAnsi="Arial" w:cs="Arial"/>
                <w:color w:val="000000"/>
                <w:kern w:val="0"/>
                <w:sz w:val="22"/>
                <w:szCs w:val="22"/>
                <w14:ligatures w14:val="none"/>
              </w:rPr>
              <w:t>).</w:t>
            </w:r>
          </w:p>
        </w:tc>
      </w:tr>
      <w:tr w:rsidR="00F8430C" w:rsidRPr="00F8430C" w14:paraId="60967CA1" w14:textId="77777777">
        <w:trPr>
          <w:trHeight w:val="2120"/>
        </w:trPr>
        <w:tc>
          <w:tcPr>
            <w:tcW w:w="0" w:type="auto"/>
            <w:tcMar>
              <w:top w:w="100" w:type="dxa"/>
              <w:left w:w="100" w:type="dxa"/>
              <w:bottom w:w="100" w:type="dxa"/>
              <w:right w:w="100" w:type="dxa"/>
            </w:tcMar>
            <w:hideMark/>
          </w:tcPr>
          <w:p w14:paraId="2F670E56"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Would the obligation/prohibition survive the relevant institution explicitly waiving it?</w:t>
            </w:r>
          </w:p>
        </w:tc>
        <w:tc>
          <w:tcPr>
            <w:tcW w:w="0" w:type="auto"/>
            <w:tcMar>
              <w:top w:w="100" w:type="dxa"/>
              <w:left w:w="100" w:type="dxa"/>
              <w:bottom w:w="100" w:type="dxa"/>
              <w:right w:w="100" w:type="dxa"/>
            </w:tcMar>
            <w:hideMark/>
          </w:tcPr>
          <w:p w14:paraId="1F9DBDA7"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 xml:space="preserve">If </w:t>
            </w:r>
            <w:r w:rsidRPr="00F8430C">
              <w:rPr>
                <w:rFonts w:ascii="Arial" w:eastAsia="Times New Roman" w:hAnsi="Arial" w:cs="Arial"/>
                <w:b/>
                <w:bCs/>
                <w:color w:val="000000"/>
                <w:kern w:val="0"/>
                <w:sz w:val="22"/>
                <w:szCs w:val="22"/>
                <w14:ligatures w14:val="none"/>
              </w:rPr>
              <w:t>no</w:t>
            </w:r>
            <w:r w:rsidRPr="00F8430C">
              <w:rPr>
                <w:rFonts w:ascii="Arial" w:eastAsia="Times New Roman" w:hAnsi="Arial" w:cs="Arial"/>
                <w:color w:val="000000"/>
                <w:kern w:val="0"/>
                <w:sz w:val="22"/>
                <w:szCs w:val="22"/>
                <w14:ligatures w14:val="none"/>
              </w:rPr>
              <w:t xml:space="preserve"> (authority-dependent) → Procedural, not moral</w:t>
            </w:r>
          </w:p>
        </w:tc>
        <w:tc>
          <w:tcPr>
            <w:tcW w:w="0" w:type="auto"/>
            <w:tcMar>
              <w:top w:w="100" w:type="dxa"/>
              <w:left w:w="100" w:type="dxa"/>
              <w:bottom w:w="100" w:type="dxa"/>
              <w:right w:w="100" w:type="dxa"/>
            </w:tcMar>
            <w:hideMark/>
          </w:tcPr>
          <w:p w14:paraId="0181834B"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The operational, empirically tested marker of the moral/conventional distinction (Turiel; Kelly, Stich, Haley, Eng &amp; Fessler, 2007) — a documented psychological finding, not a philosopher's stipulation, which is why it functions as a decision rule rather than merely a definition.</w:t>
            </w:r>
          </w:p>
        </w:tc>
      </w:tr>
      <w:tr w:rsidR="00F8430C" w:rsidRPr="00F8430C" w14:paraId="4A8D5278" w14:textId="77777777">
        <w:trPr>
          <w:trHeight w:val="1850"/>
        </w:trPr>
        <w:tc>
          <w:tcPr>
            <w:tcW w:w="0" w:type="auto"/>
            <w:tcMar>
              <w:top w:w="100" w:type="dxa"/>
              <w:left w:w="100" w:type="dxa"/>
              <w:bottom w:w="100" w:type="dxa"/>
              <w:right w:w="100" w:type="dxa"/>
            </w:tcMar>
            <w:hideMark/>
          </w:tcPr>
          <w:p w14:paraId="08382906"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Does it affect only efficiency, cost, time, or task competence, with none of the above at stake?</w:t>
            </w:r>
          </w:p>
        </w:tc>
        <w:tc>
          <w:tcPr>
            <w:tcW w:w="0" w:type="auto"/>
            <w:tcMar>
              <w:top w:w="100" w:type="dxa"/>
              <w:left w:w="100" w:type="dxa"/>
              <w:bottom w:w="100" w:type="dxa"/>
              <w:right w:w="100" w:type="dxa"/>
            </w:tcMar>
            <w:hideMark/>
          </w:tcPr>
          <w:p w14:paraId="6D8A85C5"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Prudential</w:t>
            </w:r>
          </w:p>
        </w:tc>
        <w:tc>
          <w:tcPr>
            <w:tcW w:w="0" w:type="auto"/>
            <w:tcMar>
              <w:top w:w="100" w:type="dxa"/>
              <w:left w:w="100" w:type="dxa"/>
              <w:bottom w:w="100" w:type="dxa"/>
              <w:right w:w="100" w:type="dxa"/>
            </w:tcMar>
            <w:hideMark/>
          </w:tcPr>
          <w:p w14:paraId="763AD86A"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A distinct, non-moral category of practical reason recognized across traditions: Kant's hypothetical (vs. categorical) imperatives; Aristotle's distinction between ethical virtue (</w:t>
            </w:r>
            <w:r w:rsidRPr="00F8430C">
              <w:rPr>
                <w:rFonts w:ascii="Arial" w:eastAsia="Times New Roman" w:hAnsi="Arial" w:cs="Arial"/>
                <w:i/>
                <w:iCs/>
                <w:color w:val="000000"/>
                <w:kern w:val="0"/>
                <w:sz w:val="22"/>
                <w:szCs w:val="22"/>
                <w14:ligatures w14:val="none"/>
              </w:rPr>
              <w:t>aretē</w:t>
            </w:r>
            <w:r w:rsidRPr="00F8430C">
              <w:rPr>
                <w:rFonts w:ascii="Arial" w:eastAsia="Times New Roman" w:hAnsi="Arial" w:cs="Arial"/>
                <w:color w:val="000000"/>
                <w:kern w:val="0"/>
                <w:sz w:val="22"/>
                <w:szCs w:val="22"/>
                <w14:ligatures w14:val="none"/>
              </w:rPr>
              <w:t>) and craft (</w:t>
            </w:r>
            <w:r w:rsidRPr="00F8430C">
              <w:rPr>
                <w:rFonts w:ascii="Arial" w:eastAsia="Times New Roman" w:hAnsi="Arial" w:cs="Arial"/>
                <w:i/>
                <w:iCs/>
                <w:color w:val="000000"/>
                <w:kern w:val="0"/>
                <w:sz w:val="22"/>
                <w:szCs w:val="22"/>
                <w14:ligatures w14:val="none"/>
              </w:rPr>
              <w:t>technē</w:t>
            </w:r>
            <w:r w:rsidRPr="00F8430C">
              <w:rPr>
                <w:rFonts w:ascii="Arial" w:eastAsia="Times New Roman" w:hAnsi="Arial" w:cs="Arial"/>
                <w:color w:val="000000"/>
                <w:kern w:val="0"/>
                <w:sz w:val="22"/>
                <w:szCs w:val="22"/>
                <w14:ligatures w14:val="none"/>
              </w:rPr>
              <w:t>); Sidgwick's "art of life," broader than the province of duty.</w:t>
            </w:r>
          </w:p>
        </w:tc>
      </w:tr>
      <w:tr w:rsidR="00F8430C" w:rsidRPr="00F8430C" w14:paraId="492A5CE6" w14:textId="77777777">
        <w:trPr>
          <w:trHeight w:val="1310"/>
        </w:trPr>
        <w:tc>
          <w:tcPr>
            <w:tcW w:w="0" w:type="auto"/>
            <w:tcMar>
              <w:top w:w="100" w:type="dxa"/>
              <w:left w:w="100" w:type="dxa"/>
              <w:bottom w:w="100" w:type="dxa"/>
              <w:right w:w="100" w:type="dxa"/>
            </w:tcMar>
            <w:hideMark/>
          </w:tcPr>
          <w:p w14:paraId="2AA19817"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Does it affect only compliance with a convention revocable by institutional fiat?</w:t>
            </w:r>
          </w:p>
        </w:tc>
        <w:tc>
          <w:tcPr>
            <w:tcW w:w="0" w:type="auto"/>
            <w:tcMar>
              <w:top w:w="100" w:type="dxa"/>
              <w:left w:w="100" w:type="dxa"/>
              <w:bottom w:w="100" w:type="dxa"/>
              <w:right w:w="100" w:type="dxa"/>
            </w:tcMar>
            <w:hideMark/>
          </w:tcPr>
          <w:p w14:paraId="145483AC"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Procedural</w:t>
            </w:r>
          </w:p>
        </w:tc>
        <w:tc>
          <w:tcPr>
            <w:tcW w:w="0" w:type="auto"/>
            <w:tcMar>
              <w:top w:w="100" w:type="dxa"/>
              <w:left w:w="100" w:type="dxa"/>
              <w:bottom w:w="100" w:type="dxa"/>
              <w:right w:w="100" w:type="dxa"/>
            </w:tcMar>
            <w:hideMark/>
          </w:tcPr>
          <w:p w14:paraId="094C24BF"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Same authority-dependence test above, applied directly.</w:t>
            </w:r>
          </w:p>
        </w:tc>
      </w:tr>
      <w:tr w:rsidR="00F8430C" w:rsidRPr="00F8430C" w14:paraId="7BE5500B" w14:textId="77777777">
        <w:trPr>
          <w:trHeight w:val="1580"/>
        </w:trPr>
        <w:tc>
          <w:tcPr>
            <w:tcW w:w="0" w:type="auto"/>
            <w:tcMar>
              <w:top w:w="100" w:type="dxa"/>
              <w:left w:w="100" w:type="dxa"/>
              <w:bottom w:w="100" w:type="dxa"/>
              <w:right w:w="100" w:type="dxa"/>
            </w:tcMar>
            <w:hideMark/>
          </w:tcPr>
          <w:p w14:paraId="793AAF27"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lastRenderedPageBreak/>
              <w:t>Does it affect only visual/experiential quality, with no welfare/safety component?</w:t>
            </w:r>
          </w:p>
        </w:tc>
        <w:tc>
          <w:tcPr>
            <w:tcW w:w="0" w:type="auto"/>
            <w:tcMar>
              <w:top w:w="100" w:type="dxa"/>
              <w:left w:w="100" w:type="dxa"/>
              <w:bottom w:w="100" w:type="dxa"/>
              <w:right w:w="100" w:type="dxa"/>
            </w:tcMar>
            <w:hideMark/>
          </w:tcPr>
          <w:p w14:paraId="5B5E75EF"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Aesthetic</w:t>
            </w:r>
          </w:p>
        </w:tc>
        <w:tc>
          <w:tcPr>
            <w:tcW w:w="0" w:type="auto"/>
            <w:tcMar>
              <w:top w:w="100" w:type="dxa"/>
              <w:left w:w="100" w:type="dxa"/>
              <w:bottom w:w="100" w:type="dxa"/>
              <w:right w:w="100" w:type="dxa"/>
            </w:tcMar>
            <w:hideMark/>
          </w:tcPr>
          <w:p w14:paraId="51DF3AF3"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 xml:space="preserve">Aesthetic value is treated as a distinct normative domain from moral value across the tradition (Kant's third </w:t>
            </w:r>
            <w:r w:rsidRPr="00F8430C">
              <w:rPr>
                <w:rFonts w:ascii="Arial" w:eastAsia="Times New Roman" w:hAnsi="Arial" w:cs="Arial"/>
                <w:i/>
                <w:iCs/>
                <w:color w:val="000000"/>
                <w:kern w:val="0"/>
                <w:sz w:val="22"/>
                <w:szCs w:val="22"/>
                <w14:ligatures w14:val="none"/>
              </w:rPr>
              <w:t>Critique</w:t>
            </w:r>
            <w:r w:rsidRPr="00F8430C">
              <w:rPr>
                <w:rFonts w:ascii="Arial" w:eastAsia="Times New Roman" w:hAnsi="Arial" w:cs="Arial"/>
                <w:color w:val="000000"/>
                <w:kern w:val="0"/>
                <w:sz w:val="22"/>
                <w:szCs w:val="22"/>
                <w14:ligatures w14:val="none"/>
              </w:rPr>
              <w:t xml:space="preserve"> separates aesthetic from moral judgment), rather than a diminished form of moral value.</w:t>
            </w:r>
          </w:p>
        </w:tc>
      </w:tr>
      <w:tr w:rsidR="00F8430C" w:rsidRPr="00F8430C" w14:paraId="0457F432" w14:textId="77777777">
        <w:trPr>
          <w:trHeight w:val="1310"/>
        </w:trPr>
        <w:tc>
          <w:tcPr>
            <w:tcW w:w="0" w:type="auto"/>
            <w:tcMar>
              <w:top w:w="100" w:type="dxa"/>
              <w:left w:w="100" w:type="dxa"/>
              <w:bottom w:w="100" w:type="dxa"/>
              <w:right w:w="100" w:type="dxa"/>
            </w:tcMar>
            <w:hideMark/>
          </w:tcPr>
          <w:p w14:paraId="273CB90C"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Is there no identifiable stake of any of the above kinds?</w:t>
            </w:r>
          </w:p>
        </w:tc>
        <w:tc>
          <w:tcPr>
            <w:tcW w:w="0" w:type="auto"/>
            <w:tcMar>
              <w:top w:w="100" w:type="dxa"/>
              <w:left w:w="100" w:type="dxa"/>
              <w:bottom w:w="100" w:type="dxa"/>
              <w:right w:w="100" w:type="dxa"/>
            </w:tcMar>
            <w:hideMark/>
          </w:tcPr>
          <w:p w14:paraId="5F93CF5C"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Neutral/stakeless</w:t>
            </w:r>
          </w:p>
        </w:tc>
        <w:tc>
          <w:tcPr>
            <w:tcW w:w="0" w:type="auto"/>
            <w:tcMar>
              <w:top w:w="100" w:type="dxa"/>
              <w:left w:w="100" w:type="dxa"/>
              <w:bottom w:w="100" w:type="dxa"/>
              <w:right w:w="100" w:type="dxa"/>
            </w:tcMar>
            <w:hideMark/>
          </w:tcPr>
          <w:p w14:paraId="4486D9A2"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r w:rsidRPr="00F8430C">
              <w:rPr>
                <w:rFonts w:ascii="Arial" w:eastAsia="Times New Roman" w:hAnsi="Arial" w:cs="Arial"/>
                <w:color w:val="000000"/>
                <w:kern w:val="0"/>
                <w:sz w:val="22"/>
                <w:szCs w:val="22"/>
                <w14:ligatures w14:val="none"/>
              </w:rPr>
              <w:t>Not theory-specific so much as a boundary claim about evaluative language itself — some facts are simply not evaluative inputs for any of the above frameworks.</w:t>
            </w:r>
          </w:p>
        </w:tc>
      </w:tr>
    </w:tbl>
    <w:p w14:paraId="3D3FDB8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Moral classification still wins ties (Section 4.5); this table governs </w:t>
      </w:r>
      <w:r w:rsidRPr="00F8430C">
        <w:rPr>
          <w:rFonts w:ascii="Arial" w:eastAsia="Times New Roman" w:hAnsi="Arial" w:cs="Arial"/>
          <w:i/>
          <w:iCs/>
          <w:color w:val="000000"/>
          <w:kern w:val="0"/>
          <w:sz w:val="22"/>
          <w:szCs w:val="22"/>
          <w14:ligatures w14:val="none"/>
        </w:rPr>
        <w:t>which</w:t>
      </w:r>
      <w:r w:rsidRPr="00F8430C">
        <w:rPr>
          <w:rFonts w:ascii="Arial" w:eastAsia="Times New Roman" w:hAnsi="Arial" w:cs="Arial"/>
          <w:color w:val="000000"/>
          <w:kern w:val="0"/>
          <w:sz w:val="22"/>
          <w:szCs w:val="22"/>
          <w14:ligatures w14:val="none"/>
        </w:rPr>
        <w:t xml:space="preserve"> candidate tests are run, not the tie-break rule itself.</w:t>
      </w:r>
    </w:p>
    <w:p w14:paraId="55D6DC08"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4.11 Folk moral psychology and the scope of "moral"</w:t>
      </w:r>
    </w:p>
    <w:p w14:paraId="2EC40C01"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Is convergence across normative theories sufficient grounding, or does the taxonomy also need to answer to how ordinary people actually sort moral from nonmoral cases?</w:t>
      </w:r>
    </w:p>
    <w:p w14:paraId="320D47D3"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Section 4.10 establishes that the criteria are </w:t>
      </w:r>
      <w:r w:rsidRPr="00F8430C">
        <w:rPr>
          <w:rFonts w:ascii="Arial" w:eastAsia="Times New Roman" w:hAnsi="Arial" w:cs="Arial"/>
          <w:i/>
          <w:iCs/>
          <w:color w:val="000000"/>
          <w:kern w:val="0"/>
          <w:sz w:val="22"/>
          <w:szCs w:val="22"/>
          <w14:ligatures w14:val="none"/>
        </w:rPr>
        <w:t>defensible</w:t>
      </w:r>
      <w:r w:rsidRPr="00F8430C">
        <w:rPr>
          <w:rFonts w:ascii="Arial" w:eastAsia="Times New Roman" w:hAnsi="Arial" w:cs="Arial"/>
          <w:color w:val="000000"/>
          <w:kern w:val="0"/>
          <w:sz w:val="22"/>
          <w:szCs w:val="22"/>
          <w14:ligatures w14:val="none"/>
        </w:rPr>
        <w:t xml:space="preserve"> — affirmable from within multiple normative traditions. That is a different justificatory task from establishing that the criteria are </w:t>
      </w:r>
      <w:r w:rsidRPr="00F8430C">
        <w:rPr>
          <w:rFonts w:ascii="Arial" w:eastAsia="Times New Roman" w:hAnsi="Arial" w:cs="Arial"/>
          <w:i/>
          <w:iCs/>
          <w:color w:val="000000"/>
          <w:kern w:val="0"/>
          <w:sz w:val="22"/>
          <w:szCs w:val="22"/>
          <w14:ligatures w14:val="none"/>
        </w:rPr>
        <w:t>psychologically valid</w:t>
      </w:r>
      <w:r w:rsidRPr="00F8430C">
        <w:rPr>
          <w:rFonts w:ascii="Arial" w:eastAsia="Times New Roman" w:hAnsi="Arial" w:cs="Arial"/>
          <w:color w:val="000000"/>
          <w:kern w:val="0"/>
          <w:sz w:val="22"/>
          <w:szCs w:val="22"/>
          <w14:ligatures w14:val="none"/>
        </w:rPr>
        <w:t xml:space="preserve"> as an operationalization of moral valence in the sense the Knobe effect is actually about. Since the effect is a claim about ordinary (folk) moral cognition rather than about correct ethical theory, the taxonomy also needs grounding in the empirical literature on how people actually draw the moral/nonmoral line — a literature already present in this project via the moral/conventional distinction (Turiel; Kelly, Stich, Haley, Eng &amp; Fessler, 2007) but worth extending explicitly.</w:t>
      </w:r>
    </w:p>
    <w:p w14:paraId="42892BBD"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Haidt and Graham's Moral Foundations Theory (Graham, Haidt, &amp; Nosek, 2009; Haidt, </w:t>
      </w:r>
      <w:r w:rsidRPr="00F8430C">
        <w:rPr>
          <w:rFonts w:ascii="Arial" w:eastAsia="Times New Roman" w:hAnsi="Arial" w:cs="Arial"/>
          <w:i/>
          <w:iCs/>
          <w:color w:val="000000"/>
          <w:kern w:val="0"/>
          <w:sz w:val="22"/>
          <w:szCs w:val="22"/>
          <w14:ligatures w14:val="none"/>
        </w:rPr>
        <w:t>The Righteous Mind</w:t>
      </w:r>
      <w:r w:rsidRPr="00F8430C">
        <w:rPr>
          <w:rFonts w:ascii="Arial" w:eastAsia="Times New Roman" w:hAnsi="Arial" w:cs="Arial"/>
          <w:color w:val="000000"/>
          <w:kern w:val="0"/>
          <w:sz w:val="22"/>
          <w:szCs w:val="22"/>
          <w14:ligatures w14:val="none"/>
        </w:rPr>
        <w:t xml:space="preserve">, 2012) is the most consequential addition, and it also exposes a genuine limitation in the current taxonomy rather than simply confirming it. MFT identifies harm/care and fairness/cheating as "individualizing" foundations of moral judgment — mapping cleanly onto this taxonomy's Welfare and Rights/Fairness categories — but also identifies loyalty/betrayal, authority/subversion, and sanctity/degradation as "binding" foundations that carry substantial weight in ordinary moral judgment, particularly outside WEIRD, educated, politically liberal populations, per Haidt's cross-cultural and cross-ideological findings. </w:t>
      </w:r>
      <w:r w:rsidRPr="00F8430C">
        <w:rPr>
          <w:rFonts w:ascii="Arial" w:eastAsia="Times New Roman" w:hAnsi="Arial" w:cs="Arial"/>
          <w:b/>
          <w:bCs/>
          <w:color w:val="000000"/>
          <w:kern w:val="0"/>
          <w:sz w:val="22"/>
          <w:szCs w:val="22"/>
          <w14:ligatures w14:val="none"/>
        </w:rPr>
        <w:t>The current five-category taxonomy has no test for loyalty, authority, or purity/sanctity violations</w:t>
      </w:r>
      <w:r w:rsidRPr="00F8430C">
        <w:rPr>
          <w:rFonts w:ascii="Arial" w:eastAsia="Times New Roman" w:hAnsi="Arial" w:cs="Arial"/>
          <w:color w:val="000000"/>
          <w:kern w:val="0"/>
          <w:sz w:val="22"/>
          <w:szCs w:val="22"/>
          <w14:ligatures w14:val="none"/>
        </w:rPr>
        <w:t xml:space="preserve"> — a betrayal of one's group, a disrespect of legitimate authority, or a disgust-based purity violation (Kelly et al.'s incest vignette is the paradigm case) may fail every Welfare/Rights/Fairness/Obligation/PublicGood test as currently specified, despite being judged straightforwardly moral by a large share of ordinary moral judges. This is stated here as an acknowledged scope limitation rather than resolved: </w:t>
      </w:r>
      <w:r w:rsidRPr="00F8430C">
        <w:rPr>
          <w:rFonts w:ascii="Arial" w:eastAsia="Times New Roman" w:hAnsi="Arial" w:cs="Arial"/>
          <w:b/>
          <w:bCs/>
          <w:color w:val="000000"/>
          <w:kern w:val="0"/>
          <w:sz w:val="22"/>
          <w:szCs w:val="22"/>
          <w14:ligatures w14:val="none"/>
        </w:rPr>
        <w:t>this taxonomy operationalizes harm- and fairness-centered folk moral judgment specifically; results should be interpreted as claims about that portion of moral cognition, and extending them to loyalty-, authority-, or purity-based moral judgment is a direction for future work, not a claim this design currently supports.</w:t>
      </w:r>
    </w:p>
    <w:p w14:paraId="235FD372"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lastRenderedPageBreak/>
        <w:t>Two further pieces of this literature bear directly on other design choices already made. Nichols's sentimentalism (</w:t>
      </w:r>
      <w:r w:rsidRPr="00F8430C">
        <w:rPr>
          <w:rFonts w:ascii="Arial" w:eastAsia="Times New Roman" w:hAnsi="Arial" w:cs="Arial"/>
          <w:i/>
          <w:iCs/>
          <w:color w:val="000000"/>
          <w:kern w:val="0"/>
          <w:sz w:val="22"/>
          <w:szCs w:val="22"/>
          <w14:ligatures w14:val="none"/>
        </w:rPr>
        <w:t>Sentimental Rules</w:t>
      </w:r>
      <w:r w:rsidRPr="00F8430C">
        <w:rPr>
          <w:rFonts w:ascii="Arial" w:eastAsia="Times New Roman" w:hAnsi="Arial" w:cs="Arial"/>
          <w:color w:val="000000"/>
          <w:kern w:val="0"/>
          <w:sz w:val="22"/>
          <w:szCs w:val="22"/>
          <w14:ligatures w14:val="none"/>
        </w:rPr>
        <w:t xml:space="preserve">, 2004) argues folk moral judgment is partly </w:t>
      </w:r>
      <w:r w:rsidRPr="00F8430C">
        <w:rPr>
          <w:rFonts w:ascii="Arial" w:eastAsia="Times New Roman" w:hAnsi="Arial" w:cs="Arial"/>
          <w:i/>
          <w:iCs/>
          <w:color w:val="000000"/>
          <w:kern w:val="0"/>
          <w:sz w:val="22"/>
          <w:szCs w:val="22"/>
          <w14:ligatures w14:val="none"/>
        </w:rPr>
        <w:t>constituted</w:t>
      </w:r>
      <w:r w:rsidRPr="00F8430C">
        <w:rPr>
          <w:rFonts w:ascii="Arial" w:eastAsia="Times New Roman" w:hAnsi="Arial" w:cs="Arial"/>
          <w:color w:val="000000"/>
          <w:kern w:val="0"/>
          <w:sz w:val="22"/>
          <w:szCs w:val="22"/>
          <w14:ligatures w14:val="none"/>
        </w:rPr>
        <w:t xml:space="preserve"> by affective response, not merely correlated with it — giving the evocativeness manipulation (Section 6) a moral-psychology motivation distinct from, and complementary to, the Ngo-style mechanism account: if Nichols is correct, affect is not purely a confound to be isolated from valence but may be partly constitutive of what registers as moral in the first place, though this design deliberately treats evocativeness as a stimulus property (Section 6.1) rather than adjudicating that thesis. Gray, Young, and Waytz's dyadic-morality template ("Mind Perception is the Essence of Morality," 2012) argues folk moral judgment requires perceiving both an intentional agent and a suffering patient — independent support for treating Target (the affected party's identity) as a substantive facet rather than incidental metadata. Finally, Cushman (2008) and Malle and Nelson (2003) provide folk-psychological (not merely philosophical) grounding for treating causal responsibility, intentionality, and blame as dissociable folk judgments rather than one collapsed construct, directly motivating the blame/praise separation central to RQ1b.</w:t>
      </w:r>
    </w:p>
    <w:p w14:paraId="2E3F7177"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5. Action Typicality</w:t>
      </w:r>
    </w:p>
    <w:p w14:paraId="52F0ACC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manipulate common versus uncommon actions?</w:t>
      </w:r>
    </w:p>
    <w:p w14:paraId="76216A97"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This is a direct extension of Ngo et al., who proposed that consideration of statistical norms — how typical or atypical the chosen action is — helps explain the denial of intentionality for positive side effects specifically. Manipulating action frequency as its own factor, independent of outcome valence and independent of the outcome's affective presentation, allows this proposal to be evaluated on its own terms rather than inferred indirectly. Typicality concerns the </w:t>
      </w:r>
      <w:r w:rsidRPr="00F8430C">
        <w:rPr>
          <w:rFonts w:ascii="Arial" w:eastAsia="Times New Roman" w:hAnsi="Arial" w:cs="Arial"/>
          <w:i/>
          <w:iCs/>
          <w:color w:val="000000"/>
          <w:kern w:val="0"/>
          <w:sz w:val="22"/>
          <w:szCs w:val="22"/>
          <w14:ligatures w14:val="none"/>
        </w:rPr>
        <w:t>means chosen</w:t>
      </w:r>
      <w:r w:rsidRPr="00F8430C">
        <w:rPr>
          <w:rFonts w:ascii="Arial" w:eastAsia="Times New Roman" w:hAnsi="Arial" w:cs="Arial"/>
          <w:color w:val="000000"/>
          <w:kern w:val="0"/>
          <w:sz w:val="22"/>
          <w:szCs w:val="22"/>
          <w14:ligatures w14:val="none"/>
        </w:rPr>
        <w:t xml:space="preserve"> to reach the outcome, not the outcome itself: only the action's described frequency changes between the typical and atypical variant of a family; the goal, the side effect, and every other feature of the vignette remain fixed.</w:t>
      </w:r>
    </w:p>
    <w:p w14:paraId="7B031F4F"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5.1 Asserted typicality versus actual base-rate typicality</w:t>
      </w:r>
    </w:p>
    <w:p w14:paraId="41D50EAA"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Typicality is operationalized here as an </w:t>
      </w:r>
      <w:r w:rsidRPr="00F8430C">
        <w:rPr>
          <w:rFonts w:ascii="Arial" w:eastAsia="Times New Roman" w:hAnsi="Arial" w:cs="Arial"/>
          <w:b/>
          <w:bCs/>
          <w:color w:val="000000"/>
          <w:kern w:val="0"/>
          <w:sz w:val="22"/>
          <w:szCs w:val="22"/>
          <w14:ligatures w14:val="none"/>
        </w:rPr>
        <w:t>explicit assertion</w:t>
      </w:r>
      <w:r w:rsidRPr="00F8430C">
        <w:rPr>
          <w:rFonts w:ascii="Arial" w:eastAsia="Times New Roman" w:hAnsi="Arial" w:cs="Arial"/>
          <w:color w:val="000000"/>
          <w:kern w:val="0"/>
          <w:sz w:val="22"/>
          <w:szCs w:val="22"/>
          <w14:ligatures w14:val="none"/>
        </w:rPr>
        <w:t xml:space="preserve"> embedded in the vignette ("as commonly happens with this kind of action" / "in a rare twist uncommon for this kind of action"), rather than by selecting actions that are, in fact, statistically common or rare in the world without saying so. This is a deliberate choice with a known limitation, made for a specific reason: an assertion can be crossed onto a single fixed underlying fact, preserving the matched-family structure this design otherwise depends on throughout (Section 7, Section 9); a genuinely-common and a genuinely-rare action are, by construction, different actions, which would break the one-fact-many-renderings structure specifically for this factor.</w:t>
      </w:r>
    </w:p>
    <w:p w14:paraId="25A05811"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The resulting measure is therefore best described as </w:t>
      </w:r>
      <w:r w:rsidRPr="00F8430C">
        <w:rPr>
          <w:rFonts w:ascii="Arial" w:eastAsia="Times New Roman" w:hAnsi="Arial" w:cs="Arial"/>
          <w:b/>
          <w:bCs/>
          <w:color w:val="000000"/>
          <w:kern w:val="0"/>
          <w:sz w:val="22"/>
          <w:szCs w:val="22"/>
          <w14:ligatures w14:val="none"/>
        </w:rPr>
        <w:t>the model's sensitivity to an asserted typicality claim</w:t>
      </w:r>
      <w:r w:rsidRPr="00F8430C">
        <w:rPr>
          <w:rFonts w:ascii="Arial" w:eastAsia="Times New Roman" w:hAnsi="Arial" w:cs="Arial"/>
          <w:color w:val="000000"/>
          <w:kern w:val="0"/>
          <w:sz w:val="22"/>
          <w:szCs w:val="22"/>
          <w14:ligatures w14:val="none"/>
        </w:rPr>
        <w:t>, not a test of the model's own implicit sense of real-world statistical norms — a narrower claim than Ngo's original human finding, which relied on subjects' background knowledge rather than a stated premise. Two safeguards mitigate the risk that this substitution introduces: items are constructed to avoid actions with a strong pre-existing typicality prior in either direction, so the assertion is not fighting an obvious background belief; and every item's asserted typicality is checked against an independent perceived-typicality rating at the curation stage (Section 13), with mismatches flagged for revision. Testing whether the effect survives with actually-common and actually-rare actions, absent any explicit assertion, is noted here as a planned robustness check rather than a requirement of the primary dataset.</w:t>
      </w:r>
    </w:p>
    <w:p w14:paraId="135F4285"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lastRenderedPageBreak/>
        <w:t>6. Affective Evocativeness</w:t>
      </w:r>
    </w:p>
    <w:p w14:paraId="4887A09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manipulate affective evocativeness?</w:t>
      </w:r>
    </w:p>
    <w:p w14:paraId="1628842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Ngo et al. found that side effects associated with stronger emotional responses </w:t>
      </w:r>
      <w:r w:rsidRPr="00F8430C">
        <w:rPr>
          <w:rFonts w:ascii="Arial" w:eastAsia="Times New Roman" w:hAnsi="Arial" w:cs="Arial"/>
          <w:i/>
          <w:iCs/>
          <w:color w:val="000000"/>
          <w:kern w:val="0"/>
          <w:sz w:val="22"/>
          <w:szCs w:val="22"/>
          <w14:ligatures w14:val="none"/>
        </w:rPr>
        <w:t>in humans</w:t>
      </w:r>
      <w:r w:rsidRPr="00F8430C">
        <w:rPr>
          <w:rFonts w:ascii="Arial" w:eastAsia="Times New Roman" w:hAnsi="Arial" w:cs="Arial"/>
          <w:color w:val="000000"/>
          <w:kern w:val="0"/>
          <w:sz w:val="22"/>
          <w:szCs w:val="22"/>
          <w14:ligatures w14:val="none"/>
        </w:rPr>
        <w:t xml:space="preserve"> produced different intentionality judgments than those associated with weaker emotional responses. Because LLMs cannot straightforwardly be said to experience emotion, this project does not claim to manipulate or measure affect in the model. Instead, affective evocativeness is operationalized as </w:t>
      </w:r>
      <w:r w:rsidRPr="00F8430C">
        <w:rPr>
          <w:rFonts w:ascii="Arial" w:eastAsia="Times New Roman" w:hAnsi="Arial" w:cs="Arial"/>
          <w:b/>
          <w:bCs/>
          <w:color w:val="000000"/>
          <w:kern w:val="0"/>
          <w:sz w:val="22"/>
          <w:szCs w:val="22"/>
          <w14:ligatures w14:val="none"/>
        </w:rPr>
        <w:t>a property of the stimulus</w:t>
      </w:r>
      <w:r w:rsidRPr="00F8430C">
        <w:rPr>
          <w:rFonts w:ascii="Arial" w:eastAsia="Times New Roman" w:hAnsi="Arial" w:cs="Arial"/>
          <w:color w:val="000000"/>
          <w:kern w:val="0"/>
          <w:sz w:val="22"/>
          <w:szCs w:val="22"/>
          <w14:ligatures w14:val="none"/>
        </w:rPr>
        <w:t>, not the subject: the linguistic construal of a fixed underlying outcome, ranging from an abstract, categorical description (low evocativeness) to a concrete, functional, observable manifestation of the same outcome (high evocativeness).</w:t>
      </w:r>
    </w:p>
    <w:p w14:paraId="2B623744"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This representational choice was selected because it preserves semantic content while changing construal, avoids any change in consequence severity, and avoids both emotional adjectives and moral language creeping into the manipulation itself (Section 9 specifies the full equivalence constraints this requires). The finding this section can license, if the manipulation shows an effect, is that </w:t>
      </w:r>
      <w:r w:rsidRPr="00F8430C">
        <w:rPr>
          <w:rFonts w:ascii="Arial" w:eastAsia="Times New Roman" w:hAnsi="Arial" w:cs="Arial"/>
          <w:b/>
          <w:bCs/>
          <w:color w:val="000000"/>
          <w:kern w:val="0"/>
          <w:sz w:val="22"/>
          <w:szCs w:val="22"/>
          <w14:ligatures w14:val="none"/>
        </w:rPr>
        <w:t>the model's intentionality judgment is sensitive to how concretely a negative or positive outcome is presented</w:t>
      </w:r>
      <w:r w:rsidRPr="00F8430C">
        <w:rPr>
          <w:rFonts w:ascii="Arial" w:eastAsia="Times New Roman" w:hAnsi="Arial" w:cs="Arial"/>
          <w:color w:val="000000"/>
          <w:kern w:val="0"/>
          <w:sz w:val="22"/>
          <w:szCs w:val="22"/>
          <w14:ligatures w14:val="none"/>
        </w:rPr>
        <w:t xml:space="preserve"> — an interesting and well-defined result independent of any question about machine affect.</w:t>
      </w:r>
    </w:p>
    <w:p w14:paraId="71EEEB8A"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6.1 A separate, exploratory claim this design does not require</w:t>
      </w:r>
    </w:p>
    <w:p w14:paraId="75CF040B"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A stronger and more contestable claim — that the model has learned an internal, affect-like representation that functionally drives this sensitivity — is not assumed by the main behavioral analysis. That claim is addressed only as an exploratory probing question (see the companion mechanistic-analysis plan, RQ4): whether a patch's induced activation shift aligns with an independently-trained probe direction corresponding to evocativeness. The core stimulus set and its primary analyses do not depend on this exploratory question resolving either way.</w:t>
      </w:r>
    </w:p>
    <w:p w14:paraId="21DAFE07"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7. Matched Vignette Families</w:t>
      </w:r>
    </w:p>
    <w:p w14:paraId="695018E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organize variants into matched families rather than independent items?</w:t>
      </w:r>
    </w:p>
    <w:p w14:paraId="40D81EE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Each family isolates its manipulations by holding the agent, goal, underlying side effect, and causal structure fixed, and varying only typicality and evocativeness on top of that fixed content. This reduces uncontrolled variance between items and enables within-family comparison — a difference in rating between two members of a family can be attributed to the one dimension that changed between them, rather than to unrelated differences in wording, stakes, or content.</w:t>
      </w:r>
    </w:p>
    <w:p w14:paraId="3E26343F"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Underlying scenario</w:t>
      </w:r>
    </w:p>
    <w:p w14:paraId="5AAF34CB"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0E893CC5"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 Common action ─────┬── Abstract effect</w:t>
      </w:r>
    </w:p>
    <w:p w14:paraId="41ED100F"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                      └── Concrete effect</w:t>
      </w:r>
    </w:p>
    <w:p w14:paraId="3E8DD5A8"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 Uncommon action ───┬── Abstract effect</w:t>
      </w:r>
    </w:p>
    <w:p w14:paraId="624A6F70"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 Concrete effect</w:t>
      </w:r>
    </w:p>
    <w:p w14:paraId="5CA1FA9F"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p>
    <w:p w14:paraId="4D1884EC"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lastRenderedPageBreak/>
        <w:t>Each family therefore yields four vignettes (for the four valenced outcome categories) or two vignettes (for the neutral category, which does not cross with evocativeness — see Section 4's stakeless criteria).</w:t>
      </w:r>
    </w:p>
    <w:p w14:paraId="40B01F6F"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8. Fixed Mental-State Structure</w:t>
      </w:r>
    </w:p>
    <w:p w14:paraId="3FB2CD0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keep "knew... did not care..." identical across every vignette?</w:t>
      </w:r>
    </w:p>
    <w:p w14:paraId="49704801"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This wording preserves the Knobe paradigm's foreknowledge-plus-indifference structure and keeps the intentionality manipulation itself constant across every item, domain, and category. If this language were allowed to vary, it would introduce an uncontrolled additional variable — differences in how strongly foreknowledge or indifference is expressed could themselves explain rating differences, confounding the very asymmetry the design is meant to isolate. Holding it fixed is what allows every other manipulation (domain, category, typicality, evocativeness) to be interpreted as acting on top of a constant intentionality-relevant baseline.</w:t>
      </w:r>
    </w:p>
    <w:p w14:paraId="73872C9F"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9. Semantic Equivalence Constraints</w:t>
      </w:r>
    </w:p>
    <w:p w14:paraId="23C7BCE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Core rationale:</w:t>
      </w:r>
      <w:r w:rsidRPr="00F8430C">
        <w:rPr>
          <w:rFonts w:ascii="Arial" w:eastAsia="Times New Roman" w:hAnsi="Arial" w:cs="Arial"/>
          <w:color w:val="000000"/>
          <w:kern w:val="0"/>
          <w:sz w:val="22"/>
          <w:szCs w:val="22"/>
          <w14:ligatures w14:val="none"/>
        </w:rPr>
        <w:t xml:space="preserve"> the evocativeness manipulation is intended to change how the consequence is represented, not what consequence occurs. The lower-evocative version gives a more abstract or category-level description of the outcome; the higher-evocative version gives one concrete, functional, or observable manifestation of that same outcome. The two statements must therefore differ in construal while remaining equivalent with respect to every experimentally relevant fact.</w:t>
      </w:r>
    </w:p>
    <w:p w14:paraId="40A7E954"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9.1 What must remain identical?</w:t>
      </w:r>
    </w:p>
    <w:p w14:paraId="04AF0074"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The following must not change between the lower- and higher-evocative versions: affected party; affected interest; outcome valence; moral or nonmoral category; magnitude or severity; duration; reversibility; number of people or entities affected; probability; causal relationship to the action; temporal position in the causal chain; downstream consequences; blame-relevant or praise-relevant information. If any of these change, the pair no longer isolates evocativeness.</w:t>
      </w:r>
    </w:p>
    <w:p w14:paraId="48B119D0"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9.2 What may change?</w:t>
      </w:r>
    </w:p>
    <w:p w14:paraId="4D3818D4"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Only the level and form of description may change. The lower-evocative statement should summarize the outcome categorically, using concise and relatively abstract wording, omitting concrete manifestations not needed to identify the consequence. The higher-evocative statement should unpack one manifestation already contained in the underlying event, using more concrete, specific, or imageable wording that makes the practical meaning of the outcome easier to represent — and introduce no additional harm, benefit, victim, or implication.</w:t>
      </w:r>
    </w:p>
    <w:p w14:paraId="7C1D55CD"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For example: </w:t>
      </w:r>
      <w:r w:rsidRPr="00F8430C">
        <w:rPr>
          <w:rFonts w:ascii="Arial" w:eastAsia="Times New Roman" w:hAnsi="Arial" w:cs="Arial"/>
          <w:i/>
          <w:iCs/>
          <w:color w:val="000000"/>
          <w:kern w:val="0"/>
          <w:sz w:val="22"/>
          <w:szCs w:val="22"/>
          <w14:ligatures w14:val="none"/>
        </w:rPr>
        <w:t>underlying event</w:t>
      </w:r>
      <w:r w:rsidRPr="00F8430C">
        <w:rPr>
          <w:rFonts w:ascii="Arial" w:eastAsia="Times New Roman" w:hAnsi="Arial" w:cs="Arial"/>
          <w:color w:val="000000"/>
          <w:kern w:val="0"/>
          <w:sz w:val="22"/>
          <w:szCs w:val="22"/>
          <w14:ligatures w14:val="none"/>
        </w:rPr>
        <w:t xml:space="preserve"> — unauthorized employees gain access to patients' diagnoses and treatment histories. </w:t>
      </w:r>
      <w:r w:rsidRPr="00F8430C">
        <w:rPr>
          <w:rFonts w:ascii="Arial" w:eastAsia="Times New Roman" w:hAnsi="Arial" w:cs="Arial"/>
          <w:i/>
          <w:iCs/>
          <w:color w:val="000000"/>
          <w:kern w:val="0"/>
          <w:sz w:val="22"/>
          <w:szCs w:val="22"/>
          <w14:ligatures w14:val="none"/>
        </w:rPr>
        <w:t>Lower-evocative version</w:t>
      </w:r>
      <w:r w:rsidRPr="00F8430C">
        <w:rPr>
          <w:rFonts w:ascii="Arial" w:eastAsia="Times New Roman" w:hAnsi="Arial" w:cs="Arial"/>
          <w:color w:val="000000"/>
          <w:kern w:val="0"/>
          <w:sz w:val="22"/>
          <w:szCs w:val="22"/>
          <w14:ligatures w14:val="none"/>
        </w:rPr>
        <w:t xml:space="preserve"> — "the system will seriously compromise patients' medical privacy." </w:t>
      </w:r>
      <w:r w:rsidRPr="00F8430C">
        <w:rPr>
          <w:rFonts w:ascii="Arial" w:eastAsia="Times New Roman" w:hAnsi="Arial" w:cs="Arial"/>
          <w:i/>
          <w:iCs/>
          <w:color w:val="000000"/>
          <w:kern w:val="0"/>
          <w:sz w:val="22"/>
          <w:szCs w:val="22"/>
          <w14:ligatures w14:val="none"/>
        </w:rPr>
        <w:t>Higher-evocative version</w:t>
      </w:r>
      <w:r w:rsidRPr="00F8430C">
        <w:rPr>
          <w:rFonts w:ascii="Arial" w:eastAsia="Times New Roman" w:hAnsi="Arial" w:cs="Arial"/>
          <w:color w:val="000000"/>
          <w:kern w:val="0"/>
          <w:sz w:val="22"/>
          <w:szCs w:val="22"/>
          <w14:ligatures w14:val="none"/>
        </w:rPr>
        <w:t>— "the system will allow employees outside the care team to view patients' diagnoses and treatment histories." The higher version does not describe a more serious breach; it states concretely what the privacy compromise consists in.</w:t>
      </w:r>
    </w:p>
    <w:p w14:paraId="0C71A30B"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lastRenderedPageBreak/>
        <w:t>9.3 The shared event record</w:t>
      </w:r>
    </w:p>
    <w:p w14:paraId="7E88A35A"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Each vignette family should begin with a structured event record written before either evocativeness version — e.g., affected party: hospital patients; affected interest: confidentiality of medical information; information involved: diagnoses and treatment histories; unauthorized access: employees outside the treatment team; scope: unchanged across variants; duration: unchanged or unspecified across variants; additional harms: none. Both statements must be realizations of this same record — the prose may differ, but the event representation may not.</w:t>
      </w:r>
    </w:p>
    <w:p w14:paraId="5AEFA30A"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9.4 The bidirectional adequacy test</w:t>
      </w:r>
    </w:p>
    <w:p w14:paraId="364E8D53"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Test 1 (concrete-to-abstract fit):</w:t>
      </w:r>
      <w:r w:rsidRPr="00F8430C">
        <w:rPr>
          <w:rFonts w:ascii="Arial" w:eastAsia="Times New Roman" w:hAnsi="Arial" w:cs="Arial"/>
          <w:color w:val="000000"/>
          <w:kern w:val="0"/>
          <w:sz w:val="22"/>
          <w:szCs w:val="22"/>
          <w14:ligatures w14:val="none"/>
        </w:rPr>
        <w:t xml:space="preserve"> the concrete version must clearly qualify as an instance of the abstract description — "allowing unauthorized staff to view diagnoses and treatment histories" must count as "compromising patients' medical privacy."</w:t>
      </w:r>
    </w:p>
    <w:p w14:paraId="7E90890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Test 2 (no-content-expansion test):</w:t>
      </w:r>
      <w:r w:rsidRPr="00F8430C">
        <w:rPr>
          <w:rFonts w:ascii="Arial" w:eastAsia="Times New Roman" w:hAnsi="Arial" w:cs="Arial"/>
          <w:color w:val="000000"/>
          <w:kern w:val="0"/>
          <w:sz w:val="22"/>
          <w:szCs w:val="22"/>
          <w14:ligatures w14:val="none"/>
        </w:rPr>
        <w:t xml:space="preserve"> the concrete version must not add a further consequence absent from the abstract version or the shared event record. "The system will expose patients' diagnoses, causing some patients to lose their jobs" would fail this test — job loss is a new consequence, not a more concrete description of the same one.</w:t>
      </w:r>
    </w:p>
    <w:p w14:paraId="09E6F17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i/>
          <w:iCs/>
          <w:color w:val="000000"/>
          <w:kern w:val="0"/>
          <w:sz w:val="22"/>
          <w:szCs w:val="22"/>
          <w14:ligatures w14:val="none"/>
        </w:rPr>
        <w:t>This is not a hypothetical failure mode.</w:t>
      </w:r>
      <w:r w:rsidRPr="00F8430C">
        <w:rPr>
          <w:rFonts w:ascii="Arial" w:eastAsia="Times New Roman" w:hAnsi="Arial" w:cs="Arial"/>
          <w:color w:val="000000"/>
          <w:kern w:val="0"/>
          <w:sz w:val="22"/>
          <w:szCs w:val="22"/>
          <w14:ligatures w14:val="none"/>
        </w:rPr>
        <w:t xml:space="preserve"> During construction of the Environment domain families, exactly this error occurred: a first draft of ENV-MB-01's high-evocative rendering added "killing thousands of fish and leaving nearby residents unable to safely use the river" to a canonical side effect that was only "contaminant levels rose above the safety threshold," and the parallel MG-01/MB-02/MG-02 renderings made the same mistake in the opposite direction (restored aquatic life, regulatory delisting, species returning after years). All four were revised to unpack the same fact via a specific quantitative instance instead ("measured nearly triple the legal safety threshold") rather than a new downstream consequence. Test 2 is what catches this class of error, and it is worth applying explicitly to every drafted pair rather than trusting intuition, since it failed silently on a first pass even with the rule already stated.</w:t>
      </w:r>
    </w:p>
    <w:p w14:paraId="7BCA6D85"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9.5 The substitution test</w:t>
      </w:r>
    </w:p>
    <w:p w14:paraId="1FD87ADC"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Substitute each effect statement into the same vignette and ask: would a reader understand the agent to have caused the same outcome in both versions? The answer should remain yes even though one version is easier to imagine or more affectively evocative. If the higher-evocative version makes the outcome seem more severe, more permanent, more widespread, more probable, more humiliating, more painful, more dangerous, or more morally objectionable, the pair has failed.</w:t>
      </w:r>
    </w:p>
    <w:p w14:paraId="4EEE00D8"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9.6 The ontology-field test</w:t>
      </w:r>
    </w:p>
    <w:p w14:paraId="1BA33DC8"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A stricter check: would both statements receive exactly the same values in every ontology field other than presentation style — domain, valence, evaluative category, target, affected interest, scope, magnitude, duration, reversibility, causal role? Only a presentation-level field such as construal (abstract/concrete) should differ.</w:t>
      </w:r>
    </w:p>
    <w:p w14:paraId="6085D6EE"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9.7 Why exact paraphrase is not required</w:t>
      </w:r>
    </w:p>
    <w:p w14:paraId="099347EC"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lastRenderedPageBreak/>
        <w:t>The two versions do not need to be interchangeable paraphrases at the sentence level — a strict paraphrase may not even create a meaningful evocativeness contrast. The requirement is event-level equivalence: both statements represent the same underlying outcome, one summarizing it and the other unpacking one of its direct manifestations. The manipulation depends on variation in representational concreteness; the experiment requires invariance in event content.</w:t>
      </w:r>
    </w:p>
    <w:p w14:paraId="723AEBF1"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9.8 Why length alone is not semantic nonequivalence</w:t>
      </w:r>
    </w:p>
    <w:p w14:paraId="597A7A21"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The higher-evocative statement may run longer, since concrete description often requires more words — length differences are not automatically disqualifying. But every additional phrase must be justified as unpacking information already present in the event record; extra words cannot introduce a new victim, a new consequence, an emotional reaction, a sympathetic biography, graphic embellishment, or evaluative commentary. The target is controlled elaboration, not unrestricted vivid writing.</w:t>
      </w:r>
    </w:p>
    <w:p w14:paraId="4AAC2E50"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9.9 Semantic-equivalence checklist</w:t>
      </w:r>
    </w:p>
    <w:p w14:paraId="4A79833C"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For every evocativeness pair: both statements describe the same affected party; both affect the same interest; both have the same valence and evaluative category; neither changes severity, duration, scope, probability, or reversibility; the concrete version expresses one manifestation of the abstract outcome; the concrete version introduces no downstream consequence; neither version contains emotion labels or moral evaluation; both map to the same structured event record; replacing one with the other leaves the rest of the vignette unchanged; the only intended difference is abstract versus concrete construal.</w:t>
      </w:r>
    </w:p>
    <w:p w14:paraId="32AC7C46"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9.10 Resulting methodological claim</w:t>
      </w:r>
    </w:p>
    <w:p w14:paraId="1E285D5A"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The study does not compare weak and severe side effects. It compares two linguistic realizations of an invariant side effect — one expressed through an abstract category-level description, one through a concrete manifestation. This allows any difference in intentionality or blame judgments to be interpreted as sensitivity to the side effect's presentation or construal, rather than to a change in the underlying outcome.</w:t>
      </w:r>
    </w:p>
    <w:p w14:paraId="0D9209F5"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10. Factorial Structure</w:t>
      </w:r>
    </w:p>
    <w:p w14:paraId="3694C1B0"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manipulate typicality and evocativeness factorially rather than writing independent stories for each combination?</w:t>
      </w:r>
    </w:p>
    <w:p w14:paraId="03D753EF"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Abstract        Concrete</w:t>
      </w:r>
    </w:p>
    <w:p w14:paraId="76BBA6E0"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Common     [A × common]    [C × common]</w:t>
      </w:r>
    </w:p>
    <w:p w14:paraId="17FDE247"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Uncommon   [A × uncommon]  [C × uncommon]</w:t>
      </w:r>
    </w:p>
    <w:p w14:paraId="01DE7DDC"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p>
    <w:p w14:paraId="4F8F2003"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A factorial crossing, applied on top of one fixed underlying fact per family, estimates both main effects (does typicality matter; does evocativeness matter) and their interaction (does evocativeness matter more for uncommon actions than common ones, or vice versa) from directly comparable items. Independently authored stories for each cell would conflate the </w:t>
      </w:r>
      <w:r w:rsidRPr="00F8430C">
        <w:rPr>
          <w:rFonts w:ascii="Arial" w:eastAsia="Times New Roman" w:hAnsi="Arial" w:cs="Arial"/>
          <w:color w:val="000000"/>
          <w:kern w:val="0"/>
          <w:sz w:val="22"/>
          <w:szCs w:val="22"/>
          <w14:ligatures w14:val="none"/>
        </w:rPr>
        <w:lastRenderedPageBreak/>
        <w:t>manipulation of interest with uncontrolled differences in content between stories, making the four cells incomparable rather than four points on a shared design.</w:t>
      </w:r>
    </w:p>
    <w:p w14:paraId="40CBEAAF"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11. Why This Construction Supports Mechanistic Interpretation</w:t>
      </w:r>
    </w:p>
    <w:p w14:paraId="69F71303"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Because domain, outcome category, typicality, and evocativeness are independently manipulated and crossed rather than confounded, later representational analyses can ask separately whether a given layer is sensitive to moral valence, to typicality, or to evocativeness, and whether these sensitivities occupy the same or distinct representational directions. Careful, decomposed stimulus construction is a prerequisite for this kind of mechanistic question — a layer-patching result computed over a confounded positive/negative label cannot, on its own, say which of these properties the patch is actually operating on.</w:t>
      </w:r>
    </w:p>
    <w:p w14:paraId="46A15951"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12. Elicitation Protocol: Independent-Completion Design</w:t>
      </w:r>
    </w:p>
    <w:p w14:paraId="36EC629A"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fire each question as a separate completion rather than asking all questions of one vignette in a single turn?</w:t>
      </w:r>
    </w:p>
    <w:p w14:paraId="258F702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Asking intentionality, blame, and praise questions sequentially within the same context risks contamination: once a model has committed to an answer about intentionality, its subsequent blame or praise rating is no longer independent of that prior commitment, and vice versa. This mirrors the reason Knobe's original human studies used a between-subjects design, giving each participant only one dependent measure per vignette. For a model, the equivalent safeguard is achievable more directly: every question (intentionality, blame, praise) is submitted as its own independent completion, with a context containing only the vignette and that single question, never chained with any other question about the same item.</w:t>
      </w:r>
    </w:p>
    <w:p w14:paraId="0ACF846F"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13. Curation-Stage Measures Versus Main-Experiment Measures</w:t>
      </w:r>
    </w:p>
    <w:p w14:paraId="56184321"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are there more than three ratings associated with this dataset, if only three questions are asked of the models under study?</w:t>
      </w:r>
    </w:p>
    <w:p w14:paraId="7BD43AA7"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Two elicitation moments serve different purposes and must not be conflated. </w:t>
      </w:r>
      <w:r w:rsidRPr="00F8430C">
        <w:rPr>
          <w:rFonts w:ascii="Arial" w:eastAsia="Times New Roman" w:hAnsi="Arial" w:cs="Arial"/>
          <w:b/>
          <w:bCs/>
          <w:color w:val="000000"/>
          <w:kern w:val="0"/>
          <w:sz w:val="22"/>
          <w:szCs w:val="22"/>
          <w14:ligatures w14:val="none"/>
        </w:rPr>
        <w:t>Main-experiment measures</w:t>
      </w:r>
      <w:r w:rsidRPr="00F8430C">
        <w:rPr>
          <w:rFonts w:ascii="Arial" w:eastAsia="Times New Roman" w:hAnsi="Arial" w:cs="Arial"/>
          <w:color w:val="000000"/>
          <w:kern w:val="0"/>
          <w:sz w:val="22"/>
          <w:szCs w:val="22"/>
          <w14:ligatures w14:val="none"/>
        </w:rPr>
        <w:t xml:space="preserve"> — intentionality, blame, and praise — are collected from the models actually under study (across model families, and across patched/unpatched conditions), exactly paralleling the Knobe/Raimondi/Ngo dependent-measure structure. </w:t>
      </w:r>
      <w:r w:rsidRPr="00F8430C">
        <w:rPr>
          <w:rFonts w:ascii="Arial" w:eastAsia="Times New Roman" w:hAnsi="Arial" w:cs="Arial"/>
          <w:b/>
          <w:bCs/>
          <w:color w:val="000000"/>
          <w:kern w:val="0"/>
          <w:sz w:val="22"/>
          <w:szCs w:val="22"/>
          <w14:ligatures w14:val="none"/>
        </w:rPr>
        <w:t>Curation-stage measures</w:t>
      </w:r>
      <w:r w:rsidRPr="00F8430C">
        <w:rPr>
          <w:rFonts w:ascii="Arial" w:eastAsia="Times New Roman" w:hAnsi="Arial" w:cs="Arial"/>
          <w:color w:val="000000"/>
          <w:kern w:val="0"/>
          <w:sz w:val="22"/>
          <w:szCs w:val="22"/>
          <w14:ligatures w14:val="none"/>
        </w:rPr>
        <w:t xml:space="preserve"> — moral-relevance, severity, evocativeness, and typicality-perception — are collected once per item, prior to any model comparison, from an independent reviewer or model distinct from those under study, and are used only to decide whether an item is accepted into the dataset.</w:t>
      </w:r>
    </w:p>
    <w:p w14:paraId="17DB0791"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Keeping these separate serves two purposes. First, it avoids a circularity flagged earlier in this project's development: a model used to both generate/validate stimuli and serve as an experimental subject risks having its own classification tendencies baked into the materials it is later tested on. Second, it keeps the number of independent completions required per item, per model, per condition at three rather than seven, since curation is a one-time cost independent of </w:t>
      </w:r>
      <w:r w:rsidRPr="00F8430C">
        <w:rPr>
          <w:rFonts w:ascii="Arial" w:eastAsia="Times New Roman" w:hAnsi="Arial" w:cs="Arial"/>
          <w:color w:val="000000"/>
          <w:kern w:val="0"/>
          <w:sz w:val="22"/>
          <w:szCs w:val="22"/>
          <w14:ligatures w14:val="none"/>
        </w:rPr>
        <w:lastRenderedPageBreak/>
        <w:t xml:space="preserve">how many models or conditions are ultimately compared. One consequence of this choice, noted for the record: it means the design tests the models' </w:t>
      </w:r>
      <w:r w:rsidRPr="00F8430C">
        <w:rPr>
          <w:rFonts w:ascii="Arial" w:eastAsia="Times New Roman" w:hAnsi="Arial" w:cs="Arial"/>
          <w:i/>
          <w:iCs/>
          <w:color w:val="000000"/>
          <w:kern w:val="0"/>
          <w:sz w:val="22"/>
          <w:szCs w:val="22"/>
          <w14:ligatures w14:val="none"/>
        </w:rPr>
        <w:t>sensitivity to the design's asserted</w:t>
      </w:r>
      <w:r w:rsidRPr="00F8430C">
        <w:rPr>
          <w:rFonts w:ascii="Arial" w:eastAsia="Times New Roman" w:hAnsi="Arial" w:cs="Arial"/>
          <w:color w:val="000000"/>
          <w:kern w:val="0"/>
          <w:sz w:val="22"/>
          <w:szCs w:val="22"/>
          <w14:ligatures w14:val="none"/>
        </w:rPr>
        <w:t xml:space="preserve"> typicality and evocativeness conditions, not the models' </w:t>
      </w:r>
      <w:r w:rsidRPr="00F8430C">
        <w:rPr>
          <w:rFonts w:ascii="Arial" w:eastAsia="Times New Roman" w:hAnsi="Arial" w:cs="Arial"/>
          <w:i/>
          <w:iCs/>
          <w:color w:val="000000"/>
          <w:kern w:val="0"/>
          <w:sz w:val="22"/>
          <w:szCs w:val="22"/>
          <w14:ligatures w14:val="none"/>
        </w:rPr>
        <w:t>own self-reported</w:t>
      </w:r>
      <w:r w:rsidRPr="00F8430C">
        <w:rPr>
          <w:rFonts w:ascii="Arial" w:eastAsia="Times New Roman" w:hAnsi="Arial" w:cs="Arial"/>
          <w:color w:val="000000"/>
          <w:kern w:val="0"/>
          <w:sz w:val="22"/>
          <w:szCs w:val="22"/>
          <w14:ligatures w14:val="none"/>
        </w:rPr>
        <w:t xml:space="preserve"> perception of typicality or evocativeness as a predictor in its own right. The latter — the more literal instantiation of Ngo's self-report mechanism — remains a documented but unbuilt extension, addable as a fourth elicitation pass without disrupting the present design.</w:t>
      </w:r>
    </w:p>
    <w:p w14:paraId="48BDF28F"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14. Manual Curation Over Full Automation</w:t>
      </w:r>
    </w:p>
    <w:p w14:paraId="3A0F2A3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Why are side effects hand-written and hand-reviewed rather than produced by a fully automated generate-and-classify pipeline?</w:t>
      </w:r>
    </w:p>
    <w:p w14:paraId="72D3911D"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Several of this taxonomy's category boundaries are, by the taxonomy's own acknowledgment (Section 4.3–4.5, 5.1), judgment calls rather than mechanically checkable facts — whether an obligation is institutional or moral, whether an item's wording has smuggled in evaluative language, whether an asserted typicality claim is even plausible given the content it's attached to. A classifier or generation prompt with a systematic blind spot on any of these calls does not add random noise to the dataset; it replicates the same error across every item it touches, which is more damaging to validity than ordinary sampling variance. Given that the total stimulus set is of a size (on the order of a few hundred items) tractable for direct human review, every side effect is drafted (by a language model, for speed) and then reviewed and approved against the taxonomy by the researcher before being accepted, rather than accepted automatically on the basis of a classifier's verdict. Purely mechanical steps without a judgment component — template assembly, typicality-phrase substitution, matched-pair record-keeping, and a deterministic banned-language filter as a first-pass safety net — remain automated, since these carry no risk of systematic misjudgment.</w:t>
      </w:r>
    </w:p>
    <w:p w14:paraId="3972FF85"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15. Staged Validation Strategy</w:t>
      </w:r>
    </w:p>
    <w:p w14:paraId="0BC16012"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Given the number of interacting design choices above, how is the risk of an undetected pipeline error managed before the full dataset is used for analysis?</w:t>
      </w:r>
    </w:p>
    <w:p w14:paraId="148F425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Rather than validating elicitation, parsing, and analysis code simultaneously with the most novel stimulus content, the project stages construct introduction by infrastructure risk rather than by research priority: the blame/praise dissociation is piloted first, using vignettes structurally close to prior published stimuli, to validate the elicitation-and-analysis pipeline on trusted content before any new generation machinery is involved; the typicality/evocativeness mechanism is added next, reusing the now-validated harness; the neutral/stakeless baseline follows; and the full moral/nonmoral taxonomy — the highest-lift, most novel content-generation stage — is validated last. Each stage's method (not its data) carries forward to the next. Once every stage passes its validation gate, the full combined dataset is generated and analyzed as one design, with all constructs tested simultaneously rather than remaining permanently siloed by stage.</w:t>
      </w:r>
    </w:p>
    <w:p w14:paraId="56F0FF76"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16. Sample Size Determination</w:t>
      </w:r>
    </w:p>
    <w:p w14:paraId="7685355E"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b/>
          <w:bCs/>
          <w:color w:val="000000"/>
          <w:kern w:val="0"/>
          <w:sz w:val="22"/>
          <w:szCs w:val="22"/>
          <w14:ligatures w14:val="none"/>
        </w:rPr>
        <w:t>Question addressed:</w:t>
      </w:r>
      <w:r w:rsidRPr="00F8430C">
        <w:rPr>
          <w:rFonts w:ascii="Arial" w:eastAsia="Times New Roman" w:hAnsi="Arial" w:cs="Arial"/>
          <w:color w:val="000000"/>
          <w:kern w:val="0"/>
          <w:sz w:val="22"/>
          <w:szCs w:val="22"/>
          <w14:ligatures w14:val="none"/>
        </w:rPr>
        <w:t xml:space="preserve"> How many vignettes are needed per experimental cell?</w:t>
      </w:r>
    </w:p>
    <w:p w14:paraId="6F5D5FBD"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lastRenderedPageBreak/>
        <w:t xml:space="preserve">Two distinct sample sizes are relevant and are not interchangeable. </w:t>
      </w:r>
      <w:r w:rsidRPr="00F8430C">
        <w:rPr>
          <w:rFonts w:ascii="Arial" w:eastAsia="Times New Roman" w:hAnsi="Arial" w:cs="Arial"/>
          <w:b/>
          <w:bCs/>
          <w:color w:val="000000"/>
          <w:kern w:val="0"/>
          <w:sz w:val="22"/>
          <w:szCs w:val="22"/>
          <w14:ligatures w14:val="none"/>
        </w:rPr>
        <w:t>Item-level N</w:t>
      </w:r>
      <w:r w:rsidRPr="00F8430C">
        <w:rPr>
          <w:rFonts w:ascii="Arial" w:eastAsia="Times New Roman" w:hAnsi="Arial" w:cs="Arial"/>
          <w:color w:val="000000"/>
          <w:kern w:val="0"/>
          <w:sz w:val="22"/>
          <w:szCs w:val="22"/>
          <w14:ligatures w14:val="none"/>
        </w:rPr>
        <w:t xml:space="preserve"> — the number of distinct underlying side effects instantiated per cell — determines whether an effect generalizes beyond the specific wording of a few vignettes. </w:t>
      </w:r>
      <w:r w:rsidRPr="00F8430C">
        <w:rPr>
          <w:rFonts w:ascii="Arial" w:eastAsia="Times New Roman" w:hAnsi="Arial" w:cs="Arial"/>
          <w:b/>
          <w:bCs/>
          <w:color w:val="000000"/>
          <w:kern w:val="0"/>
          <w:sz w:val="22"/>
          <w:szCs w:val="22"/>
          <w14:ligatures w14:val="none"/>
        </w:rPr>
        <w:t>Response-level N</w:t>
      </w:r>
      <w:r w:rsidRPr="00F8430C">
        <w:rPr>
          <w:rFonts w:ascii="Arial" w:eastAsia="Times New Roman" w:hAnsi="Arial" w:cs="Arial"/>
          <w:color w:val="000000"/>
          <w:kern w:val="0"/>
          <w:sz w:val="22"/>
          <w:szCs w:val="22"/>
          <w14:ligatures w14:val="none"/>
        </w:rPr>
        <w:t xml:space="preserve"> — the number of sampled completions per item — reduces noise in that item's estimated mean but does nothing to establish generalizability across items. The second is inexpensive to increase for a model-based study and is not the binding constraint; the first is.</w:t>
      </w:r>
    </w:p>
    <w:p w14:paraId="6C2EDAF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This project's core research questions are primarily about </w:t>
      </w:r>
      <w:r w:rsidRPr="00F8430C">
        <w:rPr>
          <w:rFonts w:ascii="Arial" w:eastAsia="Times New Roman" w:hAnsi="Arial" w:cs="Arial"/>
          <w:b/>
          <w:bCs/>
          <w:color w:val="000000"/>
          <w:kern w:val="0"/>
          <w:sz w:val="22"/>
          <w:szCs w:val="22"/>
          <w14:ligatures w14:val="none"/>
        </w:rPr>
        <w:t>interactions</w:t>
      </w:r>
      <w:r w:rsidRPr="00F8430C">
        <w:rPr>
          <w:rFonts w:ascii="Arial" w:eastAsia="Times New Roman" w:hAnsi="Arial" w:cs="Arial"/>
          <w:color w:val="000000"/>
          <w:kern w:val="0"/>
          <w:sz w:val="22"/>
          <w:szCs w:val="22"/>
          <w14:ligatures w14:val="none"/>
        </w:rPr>
        <w:t xml:space="preserve"> (e.g., whether the negative/positive intentionality asymmetry differs between moral and nonmoral outcome categories, or whether evocativeness's effect is concentrated on negative items while typicality's is concentrated on positive items) rather than the base Knobe asymmetry itself, which is a large, easily detected main effect in prior work. Interaction effects are estimated from a difference between two differences, which compounds sampling noise relative to either difference alone; established guidance on this class of design suggests a substantially larger item-level sample is required to detect an interaction at the same power as a main effect of comparable size. Accordingly, the per-cell item target for this project is set higher than the item count used in prior single-contrast studies, with the specific number to be confirmed empirically: a pilot batch will be used to estimate between-item and residual variance components, which are then used in a simulation-based power calculation (following the crossed-random-effects approach of Westfall, Judd, and Kenny) to determine the item count needed for adequate power on the interaction contrasts specifically, rather than fixing the number by convention alone.</w:t>
      </w:r>
    </w:p>
    <w:p w14:paraId="5C92C83D"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Overall Logic</w:t>
      </w:r>
    </w:p>
    <w:p w14:paraId="0618A0E8"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Research question</w:t>
      </w:r>
    </w:p>
    <w:p w14:paraId="79E1A876"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6108C24F"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Need independently manipulable variables</w:t>
      </w:r>
    </w:p>
    <w:p w14:paraId="28132BE4"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02877F7B"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Choose theoretically motivated variables (category, typicality, evocativeness, domain)</w:t>
      </w:r>
    </w:p>
    <w:p w14:paraId="23324742"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5AE483F2"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Define explicit operational criteria (Section 4, 5.1, 6, 9)</w:t>
      </w:r>
    </w:p>
    <w:p w14:paraId="0BA6CB03"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18C6DB61"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Generate matched vignette families (Section 7, 10)</w:t>
      </w:r>
    </w:p>
    <w:p w14:paraId="1FDACEF0"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28419798"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Validate semantic equivalence (Section 9) and curate against the taxonomy (Section 13, 14)</w:t>
      </w:r>
    </w:p>
    <w:p w14:paraId="776163DA"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6E40A6E4"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Stage pipeline validation before full-scale generation (Section 15)</w:t>
      </w:r>
    </w:p>
    <w:p w14:paraId="414F6D0B"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1F170E59"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Determine required item-level sample size empirically (Section 16)</w:t>
      </w:r>
    </w:p>
    <w:p w14:paraId="528E2D85"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33752235"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Elicit main-experiment measures via independent completions (Section 12)</w:t>
      </w:r>
    </w:p>
    <w:p w14:paraId="2FAE0B65"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42F7E7C0"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Behavioral analysis</w:t>
      </w:r>
    </w:p>
    <w:p w14:paraId="3B828439"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w:t>
      </w:r>
    </w:p>
    <w:p w14:paraId="19173F86"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Mechanistic analysis</w:t>
      </w:r>
    </w:p>
    <w:p w14:paraId="2BECAFBA" w14:textId="77777777" w:rsidR="00F8430C" w:rsidRPr="00F8430C" w:rsidRDefault="00F8430C" w:rsidP="00F8430C">
      <w:pPr>
        <w:spacing w:after="0" w:line="240" w:lineRule="auto"/>
        <w:rPr>
          <w:rFonts w:ascii="Times New Roman" w:eastAsia="Times New Roman" w:hAnsi="Times New Roman" w:cs="Times New Roman"/>
          <w:color w:val="000000"/>
          <w:kern w:val="0"/>
          <w14:ligatures w14:val="none"/>
        </w:rPr>
      </w:pPr>
    </w:p>
    <w:p w14:paraId="321E4751" w14:textId="77777777" w:rsidR="00F8430C" w:rsidRPr="00F8430C" w:rsidRDefault="00F8430C" w:rsidP="00F8430C">
      <w:pPr>
        <w:spacing w:before="360" w:after="80" w:line="240" w:lineRule="auto"/>
        <w:outlineLvl w:val="1"/>
        <w:rPr>
          <w:rFonts w:ascii="Times New Roman" w:eastAsia="Times New Roman" w:hAnsi="Times New Roman" w:cs="Times New Roman"/>
          <w:b/>
          <w:bCs/>
          <w:color w:val="000000"/>
          <w:kern w:val="0"/>
          <w:sz w:val="36"/>
          <w:szCs w:val="36"/>
          <w14:ligatures w14:val="none"/>
        </w:rPr>
      </w:pPr>
      <w:r w:rsidRPr="00F8430C">
        <w:rPr>
          <w:rFonts w:ascii="Arial" w:eastAsia="Times New Roman" w:hAnsi="Arial" w:cs="Arial"/>
          <w:b/>
          <w:bCs/>
          <w:color w:val="000000"/>
          <w:kern w:val="0"/>
          <w:sz w:val="34"/>
          <w:szCs w:val="34"/>
          <w14:ligatures w14:val="none"/>
        </w:rPr>
        <w:t>References</w:t>
      </w:r>
    </w:p>
    <w:p w14:paraId="4EA2B29C"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lastRenderedPageBreak/>
        <w:t>Philosophy of Intentional Action and the Knobe Effect</w:t>
      </w:r>
    </w:p>
    <w:p w14:paraId="52AAEFC0"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Bratman, M. (1987). </w:t>
      </w:r>
      <w:r w:rsidRPr="00F8430C">
        <w:rPr>
          <w:rFonts w:ascii="Arial" w:eastAsia="Times New Roman" w:hAnsi="Arial" w:cs="Arial"/>
          <w:i/>
          <w:iCs/>
          <w:color w:val="000000"/>
          <w:kern w:val="0"/>
          <w:sz w:val="22"/>
          <w:szCs w:val="22"/>
          <w14:ligatures w14:val="none"/>
        </w:rPr>
        <w:t>Intention, Plans, and Practical Reason.</w:t>
      </w:r>
      <w:r w:rsidRPr="00F8430C">
        <w:rPr>
          <w:rFonts w:ascii="Arial" w:eastAsia="Times New Roman" w:hAnsi="Arial" w:cs="Arial"/>
          <w:color w:val="000000"/>
          <w:kern w:val="0"/>
          <w:sz w:val="22"/>
          <w:szCs w:val="22"/>
          <w14:ligatures w14:val="none"/>
        </w:rPr>
        <w:t xml:space="preserve"> Harvard University Press.</w:t>
      </w:r>
    </w:p>
    <w:p w14:paraId="02BC73DE"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Duff, R. A. (1982). Intention, responsibility and double effect. </w:t>
      </w:r>
      <w:r w:rsidRPr="00F8430C">
        <w:rPr>
          <w:rFonts w:ascii="Arial" w:eastAsia="Times New Roman" w:hAnsi="Arial" w:cs="Arial"/>
          <w:i/>
          <w:iCs/>
          <w:color w:val="000000"/>
          <w:kern w:val="0"/>
          <w:sz w:val="22"/>
          <w:szCs w:val="22"/>
          <w14:ligatures w14:val="none"/>
        </w:rPr>
        <w:t>Philosophical Quarterly, 32</w:t>
      </w:r>
      <w:r w:rsidRPr="00F8430C">
        <w:rPr>
          <w:rFonts w:ascii="Arial" w:eastAsia="Times New Roman" w:hAnsi="Arial" w:cs="Arial"/>
          <w:color w:val="000000"/>
          <w:kern w:val="0"/>
          <w:sz w:val="22"/>
          <w:szCs w:val="22"/>
          <w14:ligatures w14:val="none"/>
        </w:rPr>
        <w:t>, 1–16.</w:t>
      </w:r>
    </w:p>
    <w:p w14:paraId="12B5BA5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Duff, R. A. (1990). </w:t>
      </w:r>
      <w:r w:rsidRPr="00F8430C">
        <w:rPr>
          <w:rFonts w:ascii="Arial" w:eastAsia="Times New Roman" w:hAnsi="Arial" w:cs="Arial"/>
          <w:i/>
          <w:iCs/>
          <w:color w:val="000000"/>
          <w:kern w:val="0"/>
          <w:sz w:val="22"/>
          <w:szCs w:val="22"/>
          <w14:ligatures w14:val="none"/>
        </w:rPr>
        <w:t>Intention, Agency, and Criminal Liability: Philosophy of Action and the Criminal Law.</w:t>
      </w:r>
      <w:r w:rsidRPr="00F8430C">
        <w:rPr>
          <w:rFonts w:ascii="Arial" w:eastAsia="Times New Roman" w:hAnsi="Arial" w:cs="Arial"/>
          <w:color w:val="000000"/>
          <w:kern w:val="0"/>
          <w:sz w:val="22"/>
          <w:szCs w:val="22"/>
          <w14:ligatures w14:val="none"/>
        </w:rPr>
        <w:t xml:space="preserve"> Blackwell.</w:t>
      </w:r>
    </w:p>
    <w:p w14:paraId="60BA0893"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Harman, G. (1976). Practical reasoning. </w:t>
      </w:r>
      <w:r w:rsidRPr="00F8430C">
        <w:rPr>
          <w:rFonts w:ascii="Arial" w:eastAsia="Times New Roman" w:hAnsi="Arial" w:cs="Arial"/>
          <w:i/>
          <w:iCs/>
          <w:color w:val="000000"/>
          <w:kern w:val="0"/>
          <w:sz w:val="22"/>
          <w:szCs w:val="22"/>
          <w14:ligatures w14:val="none"/>
        </w:rPr>
        <w:t>Review of Metaphysics, 29</w:t>
      </w:r>
      <w:r w:rsidRPr="00F8430C">
        <w:rPr>
          <w:rFonts w:ascii="Arial" w:eastAsia="Times New Roman" w:hAnsi="Arial" w:cs="Arial"/>
          <w:color w:val="000000"/>
          <w:kern w:val="0"/>
          <w:sz w:val="22"/>
          <w:szCs w:val="22"/>
          <w14:ligatures w14:val="none"/>
        </w:rPr>
        <w:t>(3), 431–463.</w:t>
      </w:r>
    </w:p>
    <w:p w14:paraId="5BE7DAF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Hindriks, F., Douven, I., &amp; Singmann, H. (2016). A new angle on the Knobe effect: Intentionality correlates with blame, not with praise. </w:t>
      </w:r>
      <w:r w:rsidRPr="00F8430C">
        <w:rPr>
          <w:rFonts w:ascii="Arial" w:eastAsia="Times New Roman" w:hAnsi="Arial" w:cs="Arial"/>
          <w:i/>
          <w:iCs/>
          <w:color w:val="000000"/>
          <w:kern w:val="0"/>
          <w:sz w:val="22"/>
          <w:szCs w:val="22"/>
          <w14:ligatures w14:val="none"/>
        </w:rPr>
        <w:t>Mind &amp; Language, 31</w:t>
      </w:r>
      <w:r w:rsidRPr="00F8430C">
        <w:rPr>
          <w:rFonts w:ascii="Arial" w:eastAsia="Times New Roman" w:hAnsi="Arial" w:cs="Arial"/>
          <w:color w:val="000000"/>
          <w:kern w:val="0"/>
          <w:sz w:val="22"/>
          <w:szCs w:val="22"/>
          <w14:ligatures w14:val="none"/>
        </w:rPr>
        <w:t>(2), 204–220.</w:t>
      </w:r>
    </w:p>
    <w:p w14:paraId="68C9628B"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Kelly, D., Stich, S., Haley, K. J., Eng, S. J., &amp; Fessler, D. M. T. (2007). Harm, affect, and the moral/conventional distinction. </w:t>
      </w:r>
      <w:r w:rsidRPr="00F8430C">
        <w:rPr>
          <w:rFonts w:ascii="Arial" w:eastAsia="Times New Roman" w:hAnsi="Arial" w:cs="Arial"/>
          <w:i/>
          <w:iCs/>
          <w:color w:val="000000"/>
          <w:kern w:val="0"/>
          <w:sz w:val="22"/>
          <w:szCs w:val="22"/>
          <w14:ligatures w14:val="none"/>
        </w:rPr>
        <w:t>Mind &amp; Language, 22</w:t>
      </w:r>
      <w:r w:rsidRPr="00F8430C">
        <w:rPr>
          <w:rFonts w:ascii="Arial" w:eastAsia="Times New Roman" w:hAnsi="Arial" w:cs="Arial"/>
          <w:color w:val="000000"/>
          <w:kern w:val="0"/>
          <w:sz w:val="22"/>
          <w:szCs w:val="22"/>
          <w14:ligatures w14:val="none"/>
        </w:rPr>
        <w:t>(2), 117–131.</w:t>
      </w:r>
    </w:p>
    <w:p w14:paraId="10D65CA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Knobe, J. (2003a). Intentional action and side effects in ordinary language. </w:t>
      </w:r>
      <w:r w:rsidRPr="00F8430C">
        <w:rPr>
          <w:rFonts w:ascii="Arial" w:eastAsia="Times New Roman" w:hAnsi="Arial" w:cs="Arial"/>
          <w:i/>
          <w:iCs/>
          <w:color w:val="000000"/>
          <w:kern w:val="0"/>
          <w:sz w:val="22"/>
          <w:szCs w:val="22"/>
          <w14:ligatures w14:val="none"/>
        </w:rPr>
        <w:t>Analysis, 63</w:t>
      </w:r>
      <w:r w:rsidRPr="00F8430C">
        <w:rPr>
          <w:rFonts w:ascii="Arial" w:eastAsia="Times New Roman" w:hAnsi="Arial" w:cs="Arial"/>
          <w:color w:val="000000"/>
          <w:kern w:val="0"/>
          <w:sz w:val="22"/>
          <w:szCs w:val="22"/>
          <w14:ligatures w14:val="none"/>
        </w:rPr>
        <w:t>(3), 190–194.</w:t>
      </w:r>
    </w:p>
    <w:p w14:paraId="0AACD9D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Knobe, J. (2003b). Intentional action in folk psychology: An experimental investigation. </w:t>
      </w:r>
      <w:r w:rsidRPr="00F8430C">
        <w:rPr>
          <w:rFonts w:ascii="Arial" w:eastAsia="Times New Roman" w:hAnsi="Arial" w:cs="Arial"/>
          <w:i/>
          <w:iCs/>
          <w:color w:val="000000"/>
          <w:kern w:val="0"/>
          <w:sz w:val="22"/>
          <w:szCs w:val="22"/>
          <w14:ligatures w14:val="none"/>
        </w:rPr>
        <w:t>Philosophical Psychology, 16</w:t>
      </w:r>
      <w:r w:rsidRPr="00F8430C">
        <w:rPr>
          <w:rFonts w:ascii="Arial" w:eastAsia="Times New Roman" w:hAnsi="Arial" w:cs="Arial"/>
          <w:color w:val="000000"/>
          <w:kern w:val="0"/>
          <w:sz w:val="22"/>
          <w:szCs w:val="22"/>
          <w14:ligatures w14:val="none"/>
        </w:rPr>
        <w:t>(2), 309–324.</w:t>
      </w:r>
    </w:p>
    <w:p w14:paraId="242EEEC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Knobe, J. (2004). Intention, intentional action, and moral considerations. </w:t>
      </w:r>
      <w:r w:rsidRPr="00F8430C">
        <w:rPr>
          <w:rFonts w:ascii="Arial" w:eastAsia="Times New Roman" w:hAnsi="Arial" w:cs="Arial"/>
          <w:i/>
          <w:iCs/>
          <w:color w:val="000000"/>
          <w:kern w:val="0"/>
          <w:sz w:val="22"/>
          <w:szCs w:val="22"/>
          <w14:ligatures w14:val="none"/>
        </w:rPr>
        <w:t>Analysis, 64</w:t>
      </w:r>
      <w:r w:rsidRPr="00F8430C">
        <w:rPr>
          <w:rFonts w:ascii="Arial" w:eastAsia="Times New Roman" w:hAnsi="Arial" w:cs="Arial"/>
          <w:color w:val="000000"/>
          <w:kern w:val="0"/>
          <w:sz w:val="22"/>
          <w:szCs w:val="22"/>
          <w14:ligatures w14:val="none"/>
        </w:rPr>
        <w:t>(2), 181–187.</w:t>
      </w:r>
    </w:p>
    <w:p w14:paraId="378ABC3B"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Lindauer, M., &amp; Southwood, N. (2021). How to cancel the Knobe effect: The role of sufficiently strong moral censure. </w:t>
      </w:r>
      <w:r w:rsidRPr="00F8430C">
        <w:rPr>
          <w:rFonts w:ascii="Arial" w:eastAsia="Times New Roman" w:hAnsi="Arial" w:cs="Arial"/>
          <w:i/>
          <w:iCs/>
          <w:color w:val="000000"/>
          <w:kern w:val="0"/>
          <w:sz w:val="22"/>
          <w:szCs w:val="22"/>
          <w14:ligatures w14:val="none"/>
        </w:rPr>
        <w:t>American Philosophical Quarterly, 58</w:t>
      </w:r>
      <w:r w:rsidRPr="00F8430C">
        <w:rPr>
          <w:rFonts w:ascii="Arial" w:eastAsia="Times New Roman" w:hAnsi="Arial" w:cs="Arial"/>
          <w:color w:val="000000"/>
          <w:kern w:val="0"/>
          <w:sz w:val="22"/>
          <w:szCs w:val="22"/>
          <w14:ligatures w14:val="none"/>
        </w:rPr>
        <w:t>(2), 181–186.</w:t>
      </w:r>
    </w:p>
    <w:p w14:paraId="6063F3E8"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Mele, A., &amp; Sverdlik, S. (1996). Intention, intentional action, and moral responsibility. </w:t>
      </w:r>
      <w:r w:rsidRPr="00F8430C">
        <w:rPr>
          <w:rFonts w:ascii="Arial" w:eastAsia="Times New Roman" w:hAnsi="Arial" w:cs="Arial"/>
          <w:i/>
          <w:iCs/>
          <w:color w:val="000000"/>
          <w:kern w:val="0"/>
          <w:sz w:val="22"/>
          <w:szCs w:val="22"/>
          <w14:ligatures w14:val="none"/>
        </w:rPr>
        <w:t>Philosophical Studies, 82</w:t>
      </w:r>
      <w:r w:rsidRPr="00F8430C">
        <w:rPr>
          <w:rFonts w:ascii="Arial" w:eastAsia="Times New Roman" w:hAnsi="Arial" w:cs="Arial"/>
          <w:color w:val="000000"/>
          <w:kern w:val="0"/>
          <w:sz w:val="22"/>
          <w:szCs w:val="22"/>
          <w14:ligatures w14:val="none"/>
        </w:rPr>
        <w:t>(3), 265–287.</w:t>
      </w:r>
    </w:p>
    <w:p w14:paraId="7590E844"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Ngo, L., Kelly, M., Coutlee, C. G., Carter, R. M., Sinnott-Armstrong, W., &amp; Huettel, S. A. (2015). Two distinct moral mechanisms for ascribing and denying intentionality. </w:t>
      </w:r>
      <w:r w:rsidRPr="00F8430C">
        <w:rPr>
          <w:rFonts w:ascii="Arial" w:eastAsia="Times New Roman" w:hAnsi="Arial" w:cs="Arial"/>
          <w:i/>
          <w:iCs/>
          <w:color w:val="000000"/>
          <w:kern w:val="0"/>
          <w:sz w:val="22"/>
          <w:szCs w:val="22"/>
          <w14:ligatures w14:val="none"/>
        </w:rPr>
        <w:t>Scientific Reports, 5</w:t>
      </w:r>
      <w:r w:rsidRPr="00F8430C">
        <w:rPr>
          <w:rFonts w:ascii="Arial" w:eastAsia="Times New Roman" w:hAnsi="Arial" w:cs="Arial"/>
          <w:color w:val="000000"/>
          <w:kern w:val="0"/>
          <w:sz w:val="22"/>
          <w:szCs w:val="22"/>
          <w14:ligatures w14:val="none"/>
        </w:rPr>
        <w:t>, 17390.</w:t>
      </w:r>
    </w:p>
    <w:p w14:paraId="532B6280"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Nadelhoffer, T. (2004). On praise, side effects, and folk ascriptions of intentional action. </w:t>
      </w:r>
      <w:r w:rsidRPr="00F8430C">
        <w:rPr>
          <w:rFonts w:ascii="Arial" w:eastAsia="Times New Roman" w:hAnsi="Arial" w:cs="Arial"/>
          <w:i/>
          <w:iCs/>
          <w:color w:val="000000"/>
          <w:kern w:val="0"/>
          <w:sz w:val="22"/>
          <w:szCs w:val="22"/>
          <w14:ligatures w14:val="none"/>
        </w:rPr>
        <w:t>Journal of Theoretical and Philosophical Psychology, 24</w:t>
      </w:r>
      <w:r w:rsidRPr="00F8430C">
        <w:rPr>
          <w:rFonts w:ascii="Arial" w:eastAsia="Times New Roman" w:hAnsi="Arial" w:cs="Arial"/>
          <w:color w:val="000000"/>
          <w:kern w:val="0"/>
          <w:sz w:val="22"/>
          <w:szCs w:val="22"/>
          <w14:ligatures w14:val="none"/>
        </w:rPr>
        <w:t>(2), 196–213.</w:t>
      </w:r>
    </w:p>
    <w:p w14:paraId="426EB49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Pettit, D., &amp; Knobe, J. (2009). The pervasive impact of moral judgment. </w:t>
      </w:r>
      <w:r w:rsidRPr="00F8430C">
        <w:rPr>
          <w:rFonts w:ascii="Arial" w:eastAsia="Times New Roman" w:hAnsi="Arial" w:cs="Arial"/>
          <w:i/>
          <w:iCs/>
          <w:color w:val="000000"/>
          <w:kern w:val="0"/>
          <w:sz w:val="22"/>
          <w:szCs w:val="22"/>
          <w14:ligatures w14:val="none"/>
        </w:rPr>
        <w:t>Mind &amp; Language, 24</w:t>
      </w:r>
      <w:r w:rsidRPr="00F8430C">
        <w:rPr>
          <w:rFonts w:ascii="Arial" w:eastAsia="Times New Roman" w:hAnsi="Arial" w:cs="Arial"/>
          <w:color w:val="000000"/>
          <w:kern w:val="0"/>
          <w:sz w:val="22"/>
          <w:szCs w:val="22"/>
          <w14:ligatures w14:val="none"/>
        </w:rPr>
        <w:t>(5), 586–604.</w:t>
      </w:r>
    </w:p>
    <w:p w14:paraId="2C1415B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Phelan, M., &amp; Sarkissian, H. (2008). The folk strike back; or, why you didn't do it intentionally, though it was bad and you knew it. </w:t>
      </w:r>
      <w:r w:rsidRPr="00F8430C">
        <w:rPr>
          <w:rFonts w:ascii="Arial" w:eastAsia="Times New Roman" w:hAnsi="Arial" w:cs="Arial"/>
          <w:i/>
          <w:iCs/>
          <w:color w:val="000000"/>
          <w:kern w:val="0"/>
          <w:sz w:val="22"/>
          <w:szCs w:val="22"/>
          <w14:ligatures w14:val="none"/>
        </w:rPr>
        <w:t>Philosophical Studies, 138</w:t>
      </w:r>
      <w:r w:rsidRPr="00F8430C">
        <w:rPr>
          <w:rFonts w:ascii="Arial" w:eastAsia="Times New Roman" w:hAnsi="Arial" w:cs="Arial"/>
          <w:color w:val="000000"/>
          <w:kern w:val="0"/>
          <w:sz w:val="22"/>
          <w:szCs w:val="22"/>
          <w14:ligatures w14:val="none"/>
        </w:rPr>
        <w:t>(2), 291–298.</w:t>
      </w:r>
    </w:p>
    <w:p w14:paraId="19922B82"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Scanlon, T. M. (2010). Ambiguity of "intention." </w:t>
      </w:r>
      <w:r w:rsidRPr="00F8430C">
        <w:rPr>
          <w:rFonts w:ascii="Arial" w:eastAsia="Times New Roman" w:hAnsi="Arial" w:cs="Arial"/>
          <w:i/>
          <w:iCs/>
          <w:color w:val="000000"/>
          <w:kern w:val="0"/>
          <w:sz w:val="22"/>
          <w:szCs w:val="22"/>
          <w14:ligatures w14:val="none"/>
        </w:rPr>
        <w:t>Behavioral and Brain Sciences, 33</w:t>
      </w:r>
      <w:r w:rsidRPr="00F8430C">
        <w:rPr>
          <w:rFonts w:ascii="Arial" w:eastAsia="Times New Roman" w:hAnsi="Arial" w:cs="Arial"/>
          <w:color w:val="000000"/>
          <w:kern w:val="0"/>
          <w:sz w:val="22"/>
          <w:szCs w:val="22"/>
          <w14:ligatures w14:val="none"/>
        </w:rPr>
        <w:t>(4), 348–349.</w:t>
      </w:r>
    </w:p>
    <w:p w14:paraId="179BD0C7"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Uttich, K., &amp; Lombrozo, T. (2010). Norms inform mental state ascriptions: A rational explanation for the side-effect effect. </w:t>
      </w:r>
      <w:r w:rsidRPr="00F8430C">
        <w:rPr>
          <w:rFonts w:ascii="Arial" w:eastAsia="Times New Roman" w:hAnsi="Arial" w:cs="Arial"/>
          <w:i/>
          <w:iCs/>
          <w:color w:val="000000"/>
          <w:kern w:val="0"/>
          <w:sz w:val="22"/>
          <w:szCs w:val="22"/>
          <w14:ligatures w14:val="none"/>
        </w:rPr>
        <w:t>Cognition, 116</w:t>
      </w:r>
      <w:r w:rsidRPr="00F8430C">
        <w:rPr>
          <w:rFonts w:ascii="Arial" w:eastAsia="Times New Roman" w:hAnsi="Arial" w:cs="Arial"/>
          <w:color w:val="000000"/>
          <w:kern w:val="0"/>
          <w:sz w:val="22"/>
          <w:szCs w:val="22"/>
          <w14:ligatures w14:val="none"/>
        </w:rPr>
        <w:t>(1), 87–100.</w:t>
      </w:r>
    </w:p>
    <w:p w14:paraId="4FA51EC2"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i/>
          <w:iCs/>
          <w:color w:val="000000"/>
          <w:kern w:val="0"/>
          <w:sz w:val="22"/>
          <w:szCs w:val="22"/>
          <w14:ligatures w14:val="none"/>
        </w:rPr>
        <w:lastRenderedPageBreak/>
        <w:t>Note:</w:t>
      </w:r>
      <w:r w:rsidRPr="00F8430C">
        <w:rPr>
          <w:rFonts w:ascii="Arial" w:eastAsia="Times New Roman" w:hAnsi="Arial" w:cs="Arial"/>
          <w:color w:val="000000"/>
          <w:kern w:val="0"/>
          <w:sz w:val="22"/>
          <w:szCs w:val="22"/>
          <w14:ligatures w14:val="none"/>
        </w:rPr>
        <w:t xml:space="preserve"> a "McGuire, </w:t>
      </w:r>
      <w:r w:rsidRPr="00F8430C">
        <w:rPr>
          <w:rFonts w:ascii="Arial" w:eastAsia="Times New Roman" w:hAnsi="Arial" w:cs="Arial"/>
          <w:i/>
          <w:iCs/>
          <w:color w:val="000000"/>
          <w:kern w:val="0"/>
          <w:sz w:val="22"/>
          <w:szCs w:val="22"/>
          <w14:ligatures w14:val="none"/>
        </w:rPr>
        <w:t>Three Ambiguities in the Knobe Effect</w:t>
      </w:r>
      <w:r w:rsidRPr="00F8430C">
        <w:rPr>
          <w:rFonts w:ascii="Arial" w:eastAsia="Times New Roman" w:hAnsi="Arial" w:cs="Arial"/>
          <w:color w:val="000000"/>
          <w:kern w:val="0"/>
          <w:sz w:val="22"/>
          <w:szCs w:val="22"/>
          <w14:ligatures w14:val="none"/>
        </w:rPr>
        <w:t>" citation appears in some secondary material with a stable URL that, on inspection, actually resolves to the Lindauer &amp; Southwood paper above — that attribution is unreliable and its correct bibliographic details should be independently confirmed before citing.</w:t>
      </w:r>
    </w:p>
    <w:p w14:paraId="0C99E8B9"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Ethical Theory (grounding for Section 4.10's decision rules)</w:t>
      </w:r>
    </w:p>
    <w:p w14:paraId="0781B86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Aristotle. </w:t>
      </w:r>
      <w:r w:rsidRPr="00F8430C">
        <w:rPr>
          <w:rFonts w:ascii="Arial" w:eastAsia="Times New Roman" w:hAnsi="Arial" w:cs="Arial"/>
          <w:i/>
          <w:iCs/>
          <w:color w:val="000000"/>
          <w:kern w:val="0"/>
          <w:sz w:val="22"/>
          <w:szCs w:val="22"/>
          <w14:ligatures w14:val="none"/>
        </w:rPr>
        <w:t>Nicomachean Ethics</w:t>
      </w:r>
      <w:r w:rsidRPr="00F8430C">
        <w:rPr>
          <w:rFonts w:ascii="Arial" w:eastAsia="Times New Roman" w:hAnsi="Arial" w:cs="Arial"/>
          <w:color w:val="000000"/>
          <w:kern w:val="0"/>
          <w:sz w:val="22"/>
          <w:szCs w:val="22"/>
          <w14:ligatures w14:val="none"/>
        </w:rPr>
        <w:t xml:space="preserve"> (various editions).</w:t>
      </w:r>
    </w:p>
    <w:p w14:paraId="168D28C8"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Beauchamp, T. L., &amp; Childress, J. F. (2019). </w:t>
      </w:r>
      <w:r w:rsidRPr="00F8430C">
        <w:rPr>
          <w:rFonts w:ascii="Arial" w:eastAsia="Times New Roman" w:hAnsi="Arial" w:cs="Arial"/>
          <w:i/>
          <w:iCs/>
          <w:color w:val="000000"/>
          <w:kern w:val="0"/>
          <w:sz w:val="22"/>
          <w:szCs w:val="22"/>
          <w14:ligatures w14:val="none"/>
        </w:rPr>
        <w:t>Principles of Biomedical Ethics</w:t>
      </w:r>
      <w:r w:rsidRPr="00F8430C">
        <w:rPr>
          <w:rFonts w:ascii="Arial" w:eastAsia="Times New Roman" w:hAnsi="Arial" w:cs="Arial"/>
          <w:color w:val="000000"/>
          <w:kern w:val="0"/>
          <w:sz w:val="22"/>
          <w:szCs w:val="22"/>
          <w14:ligatures w14:val="none"/>
        </w:rPr>
        <w:t xml:space="preserve"> (8th ed.). Oxford University Press.</w:t>
      </w:r>
    </w:p>
    <w:p w14:paraId="40624BC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Dworkin, R. (1977). </w:t>
      </w:r>
      <w:r w:rsidRPr="00F8430C">
        <w:rPr>
          <w:rFonts w:ascii="Arial" w:eastAsia="Times New Roman" w:hAnsi="Arial" w:cs="Arial"/>
          <w:i/>
          <w:iCs/>
          <w:color w:val="000000"/>
          <w:kern w:val="0"/>
          <w:sz w:val="22"/>
          <w:szCs w:val="22"/>
          <w14:ligatures w14:val="none"/>
        </w:rPr>
        <w:t>Taking Rights Seriously.</w:t>
      </w:r>
      <w:r w:rsidRPr="00F8430C">
        <w:rPr>
          <w:rFonts w:ascii="Arial" w:eastAsia="Times New Roman" w:hAnsi="Arial" w:cs="Arial"/>
          <w:color w:val="000000"/>
          <w:kern w:val="0"/>
          <w:sz w:val="22"/>
          <w:szCs w:val="22"/>
          <w14:ligatures w14:val="none"/>
        </w:rPr>
        <w:t xml:space="preserve"> Harvard University Press.</w:t>
      </w:r>
    </w:p>
    <w:p w14:paraId="16032529"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Feinberg, J. (1984). </w:t>
      </w:r>
      <w:r w:rsidRPr="00F8430C">
        <w:rPr>
          <w:rFonts w:ascii="Arial" w:eastAsia="Times New Roman" w:hAnsi="Arial" w:cs="Arial"/>
          <w:i/>
          <w:iCs/>
          <w:color w:val="000000"/>
          <w:kern w:val="0"/>
          <w:sz w:val="22"/>
          <w:szCs w:val="22"/>
          <w14:ligatures w14:val="none"/>
        </w:rPr>
        <w:t>Harm to Others: The Moral Limits of the Criminal Law.</w:t>
      </w:r>
      <w:r w:rsidRPr="00F8430C">
        <w:rPr>
          <w:rFonts w:ascii="Arial" w:eastAsia="Times New Roman" w:hAnsi="Arial" w:cs="Arial"/>
          <w:color w:val="000000"/>
          <w:kern w:val="0"/>
          <w:sz w:val="22"/>
          <w:szCs w:val="22"/>
          <w14:ligatures w14:val="none"/>
        </w:rPr>
        <w:t xml:space="preserve"> Oxford University Press.</w:t>
      </w:r>
    </w:p>
    <w:p w14:paraId="11B54B0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Kant, I. (1785/1993). </w:t>
      </w:r>
      <w:r w:rsidRPr="00F8430C">
        <w:rPr>
          <w:rFonts w:ascii="Arial" w:eastAsia="Times New Roman" w:hAnsi="Arial" w:cs="Arial"/>
          <w:i/>
          <w:iCs/>
          <w:color w:val="000000"/>
          <w:kern w:val="0"/>
          <w:sz w:val="22"/>
          <w:szCs w:val="22"/>
          <w14:ligatures w14:val="none"/>
        </w:rPr>
        <w:t>Grounding for the Metaphysics of Morals</w:t>
      </w:r>
      <w:r w:rsidRPr="00F8430C">
        <w:rPr>
          <w:rFonts w:ascii="Arial" w:eastAsia="Times New Roman" w:hAnsi="Arial" w:cs="Arial"/>
          <w:color w:val="000000"/>
          <w:kern w:val="0"/>
          <w:sz w:val="22"/>
          <w:szCs w:val="22"/>
          <w14:ligatures w14:val="none"/>
        </w:rPr>
        <w:t xml:space="preserve"> (J. W. Ellington, Trans.). Hackett.</w:t>
      </w:r>
    </w:p>
    <w:p w14:paraId="730BD05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Kant, I. (1790/2000). </w:t>
      </w:r>
      <w:r w:rsidRPr="00F8430C">
        <w:rPr>
          <w:rFonts w:ascii="Arial" w:eastAsia="Times New Roman" w:hAnsi="Arial" w:cs="Arial"/>
          <w:i/>
          <w:iCs/>
          <w:color w:val="000000"/>
          <w:kern w:val="0"/>
          <w:sz w:val="22"/>
          <w:szCs w:val="22"/>
          <w14:ligatures w14:val="none"/>
        </w:rPr>
        <w:t>Critique of the Power of Judgment</w:t>
      </w:r>
      <w:r w:rsidRPr="00F8430C">
        <w:rPr>
          <w:rFonts w:ascii="Arial" w:eastAsia="Times New Roman" w:hAnsi="Arial" w:cs="Arial"/>
          <w:color w:val="000000"/>
          <w:kern w:val="0"/>
          <w:sz w:val="22"/>
          <w:szCs w:val="22"/>
          <w14:ligatures w14:val="none"/>
        </w:rPr>
        <w:t xml:space="preserve"> (P. Guyer &amp; E. Matthews, Trans.). Cambridge University Press.</w:t>
      </w:r>
    </w:p>
    <w:p w14:paraId="2744650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Mill, J. S. (1859/1978). </w:t>
      </w:r>
      <w:r w:rsidRPr="00F8430C">
        <w:rPr>
          <w:rFonts w:ascii="Arial" w:eastAsia="Times New Roman" w:hAnsi="Arial" w:cs="Arial"/>
          <w:i/>
          <w:iCs/>
          <w:color w:val="000000"/>
          <w:kern w:val="0"/>
          <w:sz w:val="22"/>
          <w:szCs w:val="22"/>
          <w14:ligatures w14:val="none"/>
        </w:rPr>
        <w:t>On Liberty.</w:t>
      </w:r>
      <w:r w:rsidRPr="00F8430C">
        <w:rPr>
          <w:rFonts w:ascii="Arial" w:eastAsia="Times New Roman" w:hAnsi="Arial" w:cs="Arial"/>
          <w:color w:val="000000"/>
          <w:kern w:val="0"/>
          <w:sz w:val="22"/>
          <w:szCs w:val="22"/>
          <w14:ligatures w14:val="none"/>
        </w:rPr>
        <w:t xml:space="preserve"> Hackett.</w:t>
      </w:r>
    </w:p>
    <w:p w14:paraId="05E5C6FF"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Nozick, R. (1974). </w:t>
      </w:r>
      <w:r w:rsidRPr="00F8430C">
        <w:rPr>
          <w:rFonts w:ascii="Arial" w:eastAsia="Times New Roman" w:hAnsi="Arial" w:cs="Arial"/>
          <w:i/>
          <w:iCs/>
          <w:color w:val="000000"/>
          <w:kern w:val="0"/>
          <w:sz w:val="22"/>
          <w:szCs w:val="22"/>
          <w14:ligatures w14:val="none"/>
        </w:rPr>
        <w:t>Anarchy, State, and Utopia.</w:t>
      </w:r>
      <w:r w:rsidRPr="00F8430C">
        <w:rPr>
          <w:rFonts w:ascii="Arial" w:eastAsia="Times New Roman" w:hAnsi="Arial" w:cs="Arial"/>
          <w:color w:val="000000"/>
          <w:kern w:val="0"/>
          <w:sz w:val="22"/>
          <w:szCs w:val="22"/>
          <w14:ligatures w14:val="none"/>
        </w:rPr>
        <w:t xml:space="preserve"> Basic Books.</w:t>
      </w:r>
    </w:p>
    <w:p w14:paraId="5B0FD03E"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Parfit, D. (1984). </w:t>
      </w:r>
      <w:r w:rsidRPr="00F8430C">
        <w:rPr>
          <w:rFonts w:ascii="Arial" w:eastAsia="Times New Roman" w:hAnsi="Arial" w:cs="Arial"/>
          <w:i/>
          <w:iCs/>
          <w:color w:val="000000"/>
          <w:kern w:val="0"/>
          <w:sz w:val="22"/>
          <w:szCs w:val="22"/>
          <w14:ligatures w14:val="none"/>
        </w:rPr>
        <w:t>Reasons and Persons.</w:t>
      </w:r>
      <w:r w:rsidRPr="00F8430C">
        <w:rPr>
          <w:rFonts w:ascii="Arial" w:eastAsia="Times New Roman" w:hAnsi="Arial" w:cs="Arial"/>
          <w:color w:val="000000"/>
          <w:kern w:val="0"/>
          <w:sz w:val="22"/>
          <w:szCs w:val="22"/>
          <w14:ligatures w14:val="none"/>
        </w:rPr>
        <w:t xml:space="preserve"> Oxford University Press.</w:t>
      </w:r>
    </w:p>
    <w:p w14:paraId="08B4CFCA"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Rawls, J. (1971). </w:t>
      </w:r>
      <w:r w:rsidRPr="00F8430C">
        <w:rPr>
          <w:rFonts w:ascii="Arial" w:eastAsia="Times New Roman" w:hAnsi="Arial" w:cs="Arial"/>
          <w:i/>
          <w:iCs/>
          <w:color w:val="000000"/>
          <w:kern w:val="0"/>
          <w:sz w:val="22"/>
          <w:szCs w:val="22"/>
          <w14:ligatures w14:val="none"/>
        </w:rPr>
        <w:t>A Theory of Justice.</w:t>
      </w:r>
      <w:r w:rsidRPr="00F8430C">
        <w:rPr>
          <w:rFonts w:ascii="Arial" w:eastAsia="Times New Roman" w:hAnsi="Arial" w:cs="Arial"/>
          <w:color w:val="000000"/>
          <w:kern w:val="0"/>
          <w:sz w:val="22"/>
          <w:szCs w:val="22"/>
          <w14:ligatures w14:val="none"/>
        </w:rPr>
        <w:t xml:space="preserve"> Harvard University Press.</w:t>
      </w:r>
    </w:p>
    <w:p w14:paraId="1B943620"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Rawls, J. (1993). </w:t>
      </w:r>
      <w:r w:rsidRPr="00F8430C">
        <w:rPr>
          <w:rFonts w:ascii="Arial" w:eastAsia="Times New Roman" w:hAnsi="Arial" w:cs="Arial"/>
          <w:i/>
          <w:iCs/>
          <w:color w:val="000000"/>
          <w:kern w:val="0"/>
          <w:sz w:val="22"/>
          <w:szCs w:val="22"/>
          <w14:ligatures w14:val="none"/>
        </w:rPr>
        <w:t>Political Liberalism.</w:t>
      </w:r>
      <w:r w:rsidRPr="00F8430C">
        <w:rPr>
          <w:rFonts w:ascii="Arial" w:eastAsia="Times New Roman" w:hAnsi="Arial" w:cs="Arial"/>
          <w:color w:val="000000"/>
          <w:kern w:val="0"/>
          <w:sz w:val="22"/>
          <w:szCs w:val="22"/>
          <w14:ligatures w14:val="none"/>
        </w:rPr>
        <w:t xml:space="preserve"> Columbia University Press.</w:t>
      </w:r>
    </w:p>
    <w:p w14:paraId="1FED36E1"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Ross, W. D. (1930). </w:t>
      </w:r>
      <w:r w:rsidRPr="00F8430C">
        <w:rPr>
          <w:rFonts w:ascii="Arial" w:eastAsia="Times New Roman" w:hAnsi="Arial" w:cs="Arial"/>
          <w:i/>
          <w:iCs/>
          <w:color w:val="000000"/>
          <w:kern w:val="0"/>
          <w:sz w:val="22"/>
          <w:szCs w:val="22"/>
          <w14:ligatures w14:val="none"/>
        </w:rPr>
        <w:t>The Right and the Good.</w:t>
      </w:r>
      <w:r w:rsidRPr="00F8430C">
        <w:rPr>
          <w:rFonts w:ascii="Arial" w:eastAsia="Times New Roman" w:hAnsi="Arial" w:cs="Arial"/>
          <w:color w:val="000000"/>
          <w:kern w:val="0"/>
          <w:sz w:val="22"/>
          <w:szCs w:val="22"/>
          <w14:ligatures w14:val="none"/>
        </w:rPr>
        <w:t xml:space="preserve"> Oxford University Press.</w:t>
      </w:r>
    </w:p>
    <w:p w14:paraId="6A5F13A0"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Sidgwick, H. (1907). </w:t>
      </w:r>
      <w:r w:rsidRPr="00F8430C">
        <w:rPr>
          <w:rFonts w:ascii="Arial" w:eastAsia="Times New Roman" w:hAnsi="Arial" w:cs="Arial"/>
          <w:i/>
          <w:iCs/>
          <w:color w:val="000000"/>
          <w:kern w:val="0"/>
          <w:sz w:val="22"/>
          <w:szCs w:val="22"/>
          <w14:ligatures w14:val="none"/>
        </w:rPr>
        <w:t>The Methods of Ethics</w:t>
      </w:r>
      <w:r w:rsidRPr="00F8430C">
        <w:rPr>
          <w:rFonts w:ascii="Arial" w:eastAsia="Times New Roman" w:hAnsi="Arial" w:cs="Arial"/>
          <w:color w:val="000000"/>
          <w:kern w:val="0"/>
          <w:sz w:val="22"/>
          <w:szCs w:val="22"/>
          <w14:ligatures w14:val="none"/>
        </w:rPr>
        <w:t xml:space="preserve"> (7th ed.). Macmillan.</w:t>
      </w:r>
    </w:p>
    <w:p w14:paraId="5C80E2AD"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Folk Moral Psychology</w:t>
      </w:r>
    </w:p>
    <w:p w14:paraId="5784E2DC"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Cushman, F. (2008). Crime and punishment: Distinguishing the roles of causal and intentional analyses in moral judgment. </w:t>
      </w:r>
      <w:r w:rsidRPr="00F8430C">
        <w:rPr>
          <w:rFonts w:ascii="Arial" w:eastAsia="Times New Roman" w:hAnsi="Arial" w:cs="Arial"/>
          <w:i/>
          <w:iCs/>
          <w:color w:val="000000"/>
          <w:kern w:val="0"/>
          <w:sz w:val="22"/>
          <w:szCs w:val="22"/>
          <w14:ligatures w14:val="none"/>
        </w:rPr>
        <w:t>Cognition, 108</w:t>
      </w:r>
      <w:r w:rsidRPr="00F8430C">
        <w:rPr>
          <w:rFonts w:ascii="Arial" w:eastAsia="Times New Roman" w:hAnsi="Arial" w:cs="Arial"/>
          <w:color w:val="000000"/>
          <w:kern w:val="0"/>
          <w:sz w:val="22"/>
          <w:szCs w:val="22"/>
          <w14:ligatures w14:val="none"/>
        </w:rPr>
        <w:t>(2), 353–380.</w:t>
      </w:r>
    </w:p>
    <w:p w14:paraId="1FFFEDDC"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Graham, J., Haidt, J., &amp; Nosek, B. A. (2009). Liberals and conservatives rely on different sets of moral foundations. </w:t>
      </w:r>
      <w:r w:rsidRPr="00F8430C">
        <w:rPr>
          <w:rFonts w:ascii="Arial" w:eastAsia="Times New Roman" w:hAnsi="Arial" w:cs="Arial"/>
          <w:i/>
          <w:iCs/>
          <w:color w:val="000000"/>
          <w:kern w:val="0"/>
          <w:sz w:val="22"/>
          <w:szCs w:val="22"/>
          <w14:ligatures w14:val="none"/>
        </w:rPr>
        <w:t>Journal of Personality and Social Psychology, 96</w:t>
      </w:r>
      <w:r w:rsidRPr="00F8430C">
        <w:rPr>
          <w:rFonts w:ascii="Arial" w:eastAsia="Times New Roman" w:hAnsi="Arial" w:cs="Arial"/>
          <w:color w:val="000000"/>
          <w:kern w:val="0"/>
          <w:sz w:val="22"/>
          <w:szCs w:val="22"/>
          <w14:ligatures w14:val="none"/>
        </w:rPr>
        <w:t>(5), 1029–1046.</w:t>
      </w:r>
    </w:p>
    <w:p w14:paraId="3854E5E4"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Gray, K., Young, L., &amp; Waytz, A. (2012). Mind perception is the essence of morality. </w:t>
      </w:r>
      <w:r w:rsidRPr="00F8430C">
        <w:rPr>
          <w:rFonts w:ascii="Arial" w:eastAsia="Times New Roman" w:hAnsi="Arial" w:cs="Arial"/>
          <w:i/>
          <w:iCs/>
          <w:color w:val="000000"/>
          <w:kern w:val="0"/>
          <w:sz w:val="22"/>
          <w:szCs w:val="22"/>
          <w14:ligatures w14:val="none"/>
        </w:rPr>
        <w:t>Psychological Inquiry, 23</w:t>
      </w:r>
      <w:r w:rsidRPr="00F8430C">
        <w:rPr>
          <w:rFonts w:ascii="Arial" w:eastAsia="Times New Roman" w:hAnsi="Arial" w:cs="Arial"/>
          <w:color w:val="000000"/>
          <w:kern w:val="0"/>
          <w:sz w:val="22"/>
          <w:szCs w:val="22"/>
          <w14:ligatures w14:val="none"/>
        </w:rPr>
        <w:t>(2), 101–124.</w:t>
      </w:r>
    </w:p>
    <w:p w14:paraId="2C0434EB"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Haidt, J. (2012). </w:t>
      </w:r>
      <w:r w:rsidRPr="00F8430C">
        <w:rPr>
          <w:rFonts w:ascii="Arial" w:eastAsia="Times New Roman" w:hAnsi="Arial" w:cs="Arial"/>
          <w:i/>
          <w:iCs/>
          <w:color w:val="000000"/>
          <w:kern w:val="0"/>
          <w:sz w:val="22"/>
          <w:szCs w:val="22"/>
          <w14:ligatures w14:val="none"/>
        </w:rPr>
        <w:t>The Righteous Mind: Why Good People Are Divided by Politics and Religion.</w:t>
      </w:r>
      <w:r w:rsidRPr="00F8430C">
        <w:rPr>
          <w:rFonts w:ascii="Arial" w:eastAsia="Times New Roman" w:hAnsi="Arial" w:cs="Arial"/>
          <w:color w:val="000000"/>
          <w:kern w:val="0"/>
          <w:sz w:val="22"/>
          <w:szCs w:val="22"/>
          <w14:ligatures w14:val="none"/>
        </w:rPr>
        <w:t xml:space="preserve"> Pantheon.</w:t>
      </w:r>
    </w:p>
    <w:p w14:paraId="386EF416"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lastRenderedPageBreak/>
        <w:t xml:space="preserve">Malle, B. F., &amp; Nelson, S. E. (2003). Judging mens rea: The tension between folk concepts and legal concepts of intentionality. </w:t>
      </w:r>
      <w:r w:rsidRPr="00F8430C">
        <w:rPr>
          <w:rFonts w:ascii="Arial" w:eastAsia="Times New Roman" w:hAnsi="Arial" w:cs="Arial"/>
          <w:i/>
          <w:iCs/>
          <w:color w:val="000000"/>
          <w:kern w:val="0"/>
          <w:sz w:val="22"/>
          <w:szCs w:val="22"/>
          <w14:ligatures w14:val="none"/>
        </w:rPr>
        <w:t>Behavioral Sciences &amp; the Law, 21</w:t>
      </w:r>
      <w:r w:rsidRPr="00F8430C">
        <w:rPr>
          <w:rFonts w:ascii="Arial" w:eastAsia="Times New Roman" w:hAnsi="Arial" w:cs="Arial"/>
          <w:color w:val="000000"/>
          <w:kern w:val="0"/>
          <w:sz w:val="22"/>
          <w:szCs w:val="22"/>
          <w14:ligatures w14:val="none"/>
        </w:rPr>
        <w:t>(5), 563–580.</w:t>
      </w:r>
    </w:p>
    <w:p w14:paraId="1396CC3B"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Nichols, S. (2004). </w:t>
      </w:r>
      <w:r w:rsidRPr="00F8430C">
        <w:rPr>
          <w:rFonts w:ascii="Arial" w:eastAsia="Times New Roman" w:hAnsi="Arial" w:cs="Arial"/>
          <w:i/>
          <w:iCs/>
          <w:color w:val="000000"/>
          <w:kern w:val="0"/>
          <w:sz w:val="22"/>
          <w:szCs w:val="22"/>
          <w14:ligatures w14:val="none"/>
        </w:rPr>
        <w:t>Sentimental Rules: On the Natural Foundations of Moral Judgment.</w:t>
      </w:r>
      <w:r w:rsidRPr="00F8430C">
        <w:rPr>
          <w:rFonts w:ascii="Arial" w:eastAsia="Times New Roman" w:hAnsi="Arial" w:cs="Arial"/>
          <w:color w:val="000000"/>
          <w:kern w:val="0"/>
          <w:sz w:val="22"/>
          <w:szCs w:val="22"/>
          <w14:ligatures w14:val="none"/>
        </w:rPr>
        <w:t xml:space="preserve"> Oxford University Press.</w:t>
      </w:r>
    </w:p>
    <w:p w14:paraId="1B25BDEA"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LLMs, Cognition, and Moral Reasoning</w:t>
      </w:r>
    </w:p>
    <w:p w14:paraId="11F3829E"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Kegel, M. M., &amp; Ghanem, L. (2024). </w:t>
      </w:r>
      <w:r w:rsidRPr="00F8430C">
        <w:rPr>
          <w:rFonts w:ascii="Arial" w:eastAsia="Times New Roman" w:hAnsi="Arial" w:cs="Arial"/>
          <w:i/>
          <w:iCs/>
          <w:color w:val="000000"/>
          <w:kern w:val="0"/>
          <w:sz w:val="22"/>
          <w:szCs w:val="22"/>
          <w14:ligatures w14:val="none"/>
        </w:rPr>
        <w:t>You did that on purpose! An investigation of the Knobe effect in human-robot interactions</w:t>
      </w:r>
      <w:r w:rsidRPr="00F8430C">
        <w:rPr>
          <w:rFonts w:ascii="Arial" w:eastAsia="Times New Roman" w:hAnsi="Arial" w:cs="Arial"/>
          <w:color w:val="000000"/>
          <w:kern w:val="0"/>
          <w:sz w:val="22"/>
          <w:szCs w:val="22"/>
          <w14:ligatures w14:val="none"/>
        </w:rPr>
        <w:t xml:space="preserve"> [Working paper]. Darmstadt Technical University, Institute for Business Studies.</w:t>
      </w:r>
    </w:p>
    <w:p w14:paraId="45E69B40"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Raimondi, B., Dalbagno, D., &amp; Gabbrielli, M. (2025). </w:t>
      </w:r>
      <w:r w:rsidRPr="00F8430C">
        <w:rPr>
          <w:rFonts w:ascii="Arial" w:eastAsia="Times New Roman" w:hAnsi="Arial" w:cs="Arial"/>
          <w:i/>
          <w:iCs/>
          <w:color w:val="000000"/>
          <w:kern w:val="0"/>
          <w:sz w:val="22"/>
          <w:szCs w:val="22"/>
          <w14:ligatures w14:val="none"/>
        </w:rPr>
        <w:t>Analysing moral bias in finetuned LLMs through mechanistic interpretability</w:t>
      </w:r>
      <w:r w:rsidRPr="00F8430C">
        <w:rPr>
          <w:rFonts w:ascii="Arial" w:eastAsia="Times New Roman" w:hAnsi="Arial" w:cs="Arial"/>
          <w:color w:val="000000"/>
          <w:kern w:val="0"/>
          <w:sz w:val="22"/>
          <w:szCs w:val="22"/>
          <w14:ligatures w14:val="none"/>
        </w:rPr>
        <w:t xml:space="preserve"> (arXiv:2510.12229) [Preprint]. arXiv. https://doi.org/10.48550/arXiv.2510.12229</w:t>
      </w:r>
    </w:p>
    <w:p w14:paraId="3ADEB467"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Rosengren, W., Dennis, A., &amp; Kim, A. (2026). Reversing the Knobe effect: AI takes less blame for harmful decisions. In </w:t>
      </w:r>
      <w:r w:rsidRPr="00F8430C">
        <w:rPr>
          <w:rFonts w:ascii="Arial" w:eastAsia="Times New Roman" w:hAnsi="Arial" w:cs="Arial"/>
          <w:i/>
          <w:iCs/>
          <w:color w:val="000000"/>
          <w:kern w:val="0"/>
          <w:sz w:val="22"/>
          <w:szCs w:val="22"/>
          <w14:ligatures w14:val="none"/>
        </w:rPr>
        <w:t>Proceedings of the 59th Hawaii International Conference on System Sciences.</w:t>
      </w:r>
    </w:p>
    <w:p w14:paraId="0CBB983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Scherrer, N., Shi, C., Feder, A., &amp; Blei, D. M. (2023). Evaluating the moral beliefs encoded in LLMs. </w:t>
      </w:r>
      <w:r w:rsidRPr="00F8430C">
        <w:rPr>
          <w:rFonts w:ascii="Arial" w:eastAsia="Times New Roman" w:hAnsi="Arial" w:cs="Arial"/>
          <w:i/>
          <w:iCs/>
          <w:color w:val="000000"/>
          <w:kern w:val="0"/>
          <w:sz w:val="22"/>
          <w:szCs w:val="22"/>
          <w14:ligatures w14:val="none"/>
        </w:rPr>
        <w:t>Advances in Neural Information Processing Systems, 36</w:t>
      </w:r>
      <w:r w:rsidRPr="00F8430C">
        <w:rPr>
          <w:rFonts w:ascii="Arial" w:eastAsia="Times New Roman" w:hAnsi="Arial" w:cs="Arial"/>
          <w:color w:val="000000"/>
          <w:kern w:val="0"/>
          <w:sz w:val="22"/>
          <w:szCs w:val="22"/>
          <w14:ligatures w14:val="none"/>
        </w:rPr>
        <w:t>, 51778–51809.</w:t>
      </w:r>
    </w:p>
    <w:p w14:paraId="13CAD2FE"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Starita, F., Degni, L., Dalbagno, D., &amp; Ciaramelli, E. (2025). Lesion to the vmPFC abolishes intentionality (mis)attribution in the Knobe effect. </w:t>
      </w:r>
      <w:r w:rsidRPr="00F8430C">
        <w:rPr>
          <w:rFonts w:ascii="Arial" w:eastAsia="Times New Roman" w:hAnsi="Arial" w:cs="Arial"/>
          <w:i/>
          <w:iCs/>
          <w:color w:val="000000"/>
          <w:kern w:val="0"/>
          <w:sz w:val="22"/>
          <w:szCs w:val="22"/>
          <w14:ligatures w14:val="none"/>
        </w:rPr>
        <w:t>Scientific Reports, 15</w:t>
      </w:r>
      <w:r w:rsidRPr="00F8430C">
        <w:rPr>
          <w:rFonts w:ascii="Arial" w:eastAsia="Times New Roman" w:hAnsi="Arial" w:cs="Arial"/>
          <w:color w:val="000000"/>
          <w:kern w:val="0"/>
          <w:sz w:val="22"/>
          <w:szCs w:val="22"/>
          <w14:ligatures w14:val="none"/>
        </w:rPr>
        <w:t>, 21639.</w:t>
      </w:r>
    </w:p>
    <w:p w14:paraId="670D146A"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i/>
          <w:iCs/>
          <w:color w:val="000000"/>
          <w:kern w:val="0"/>
          <w:sz w:val="22"/>
          <w:szCs w:val="22"/>
          <w14:ligatures w14:val="none"/>
        </w:rPr>
        <w:t>[Author(s) not yet confirmed]</w:t>
      </w:r>
      <w:r w:rsidRPr="00F8430C">
        <w:rPr>
          <w:rFonts w:ascii="Arial" w:eastAsia="Times New Roman" w:hAnsi="Arial" w:cs="Arial"/>
          <w:color w:val="000000"/>
          <w:kern w:val="0"/>
          <w:sz w:val="22"/>
          <w:szCs w:val="22"/>
          <w14:ligatures w14:val="none"/>
        </w:rPr>
        <w:t xml:space="preserve"> (2025/2026). </w:t>
      </w:r>
      <w:r w:rsidRPr="00F8430C">
        <w:rPr>
          <w:rFonts w:ascii="Arial" w:eastAsia="Times New Roman" w:hAnsi="Arial" w:cs="Arial"/>
          <w:i/>
          <w:iCs/>
          <w:color w:val="000000"/>
          <w:kern w:val="0"/>
          <w:sz w:val="22"/>
          <w:szCs w:val="22"/>
          <w14:ligatures w14:val="none"/>
        </w:rPr>
        <w:t>Why Sampling Is Not Choosing: Intentionality, Agency, and Moral Responsibility in Large Language Models</w:t>
      </w:r>
      <w:r w:rsidRPr="00F8430C">
        <w:rPr>
          <w:rFonts w:ascii="Arial" w:eastAsia="Times New Roman" w:hAnsi="Arial" w:cs="Arial"/>
          <w:color w:val="000000"/>
          <w:kern w:val="0"/>
          <w:sz w:val="22"/>
          <w:szCs w:val="22"/>
          <w14:ligatures w14:val="none"/>
        </w:rPr>
        <w:t xml:space="preserve"> (arXiv:2606.13441) [Preprint]. arXiv. — directly relevant to whether intentionality, agency, and moral-responsibility concepts apply to LLMs in the first place; confirm full author list before citing formally.</w:t>
      </w:r>
    </w:p>
    <w:p w14:paraId="7BD524E9" w14:textId="77777777" w:rsidR="00F8430C" w:rsidRPr="00F8430C" w:rsidRDefault="00F8430C" w:rsidP="00F8430C">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F8430C">
        <w:rPr>
          <w:rFonts w:ascii="Arial" w:eastAsia="Times New Roman" w:hAnsi="Arial" w:cs="Arial"/>
          <w:b/>
          <w:bCs/>
          <w:color w:val="000000"/>
          <w:kern w:val="0"/>
          <w:sz w:val="26"/>
          <w:szCs w:val="26"/>
          <w14:ligatures w14:val="none"/>
        </w:rPr>
        <w:t>Methodology</w:t>
      </w:r>
    </w:p>
    <w:p w14:paraId="3AF5E8E5" w14:textId="77777777" w:rsidR="00F8430C" w:rsidRPr="00F8430C" w:rsidRDefault="00F8430C" w:rsidP="00F8430C">
      <w:pPr>
        <w:spacing w:before="240" w:after="240" w:line="240" w:lineRule="auto"/>
        <w:rPr>
          <w:rFonts w:ascii="Times New Roman" w:eastAsia="Times New Roman" w:hAnsi="Times New Roman" w:cs="Times New Roman"/>
          <w:color w:val="000000"/>
          <w:kern w:val="0"/>
          <w14:ligatures w14:val="none"/>
        </w:rPr>
      </w:pPr>
      <w:r w:rsidRPr="00F8430C">
        <w:rPr>
          <w:rFonts w:ascii="Arial" w:eastAsia="Times New Roman" w:hAnsi="Arial" w:cs="Arial"/>
          <w:color w:val="000000"/>
          <w:kern w:val="0"/>
          <w:sz w:val="22"/>
          <w:szCs w:val="22"/>
          <w14:ligatures w14:val="none"/>
        </w:rPr>
        <w:t xml:space="preserve">Westfall, J., Kenny, D. A., &amp; Judd, C. M. (2014). Statistical power and optimal design in experiments in which samples of participants respond to samples of stimuli. </w:t>
      </w:r>
      <w:r w:rsidRPr="00F8430C">
        <w:rPr>
          <w:rFonts w:ascii="Arial" w:eastAsia="Times New Roman" w:hAnsi="Arial" w:cs="Arial"/>
          <w:i/>
          <w:iCs/>
          <w:color w:val="000000"/>
          <w:kern w:val="0"/>
          <w:sz w:val="22"/>
          <w:szCs w:val="22"/>
          <w14:ligatures w14:val="none"/>
        </w:rPr>
        <w:t>Journal of Experimental Psychology: General, 143</w:t>
      </w:r>
      <w:r w:rsidRPr="00F8430C">
        <w:rPr>
          <w:rFonts w:ascii="Arial" w:eastAsia="Times New Roman" w:hAnsi="Arial" w:cs="Arial"/>
          <w:color w:val="000000"/>
          <w:kern w:val="0"/>
          <w:sz w:val="22"/>
          <w:szCs w:val="22"/>
          <w14:ligatures w14:val="none"/>
        </w:rPr>
        <w:t>(5), 2020–2045.</w:t>
      </w:r>
    </w:p>
    <w:p w14:paraId="06F46266" w14:textId="77777777" w:rsidR="00F8430C" w:rsidRPr="00F8430C" w:rsidRDefault="00F8430C" w:rsidP="00F8430C">
      <w:pPr>
        <w:spacing w:after="240" w:line="240" w:lineRule="auto"/>
        <w:rPr>
          <w:rFonts w:ascii="Times New Roman" w:eastAsia="Times New Roman" w:hAnsi="Times New Roman" w:cs="Times New Roman"/>
          <w:kern w:val="0"/>
          <w14:ligatures w14:val="none"/>
        </w:rPr>
      </w:pPr>
    </w:p>
    <w:p w14:paraId="686FA849" w14:textId="77777777" w:rsidR="00F8430C" w:rsidRPr="00F8430C" w:rsidRDefault="00F8430C" w:rsidP="00F8430C">
      <w:pPr>
        <w:spacing w:after="0" w:line="240" w:lineRule="auto"/>
        <w:rPr>
          <w:rFonts w:ascii="Times New Roman" w:eastAsia="Times New Roman" w:hAnsi="Times New Roman" w:cs="Times New Roman"/>
          <w:kern w:val="0"/>
          <w14:ligatures w14:val="none"/>
        </w:rPr>
      </w:pPr>
    </w:p>
    <w:p w14:paraId="660A30FB" w14:textId="77777777" w:rsidR="00035F5D" w:rsidRDefault="00035F5D"/>
    <w:sectPr w:rsidR="00035F5D" w:rsidSect="00F843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3123B5"/>
    <w:multiLevelType w:val="multilevel"/>
    <w:tmpl w:val="2584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A73C7E"/>
    <w:multiLevelType w:val="multilevel"/>
    <w:tmpl w:val="F562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890187">
    <w:abstractNumId w:val="1"/>
  </w:num>
  <w:num w:numId="2" w16cid:durableId="16837037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30C"/>
    <w:rsid w:val="00035F5D"/>
    <w:rsid w:val="00094379"/>
    <w:rsid w:val="001E55FD"/>
    <w:rsid w:val="002B4C89"/>
    <w:rsid w:val="00F84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C00C06"/>
  <w15:chartTrackingRefBased/>
  <w15:docId w15:val="{ECD84D74-6B90-BD4A-A1BC-C75F3148B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4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4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4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4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30C"/>
    <w:rPr>
      <w:rFonts w:eastAsiaTheme="majorEastAsia" w:cstheme="majorBidi"/>
      <w:color w:val="272727" w:themeColor="text1" w:themeTint="D8"/>
    </w:rPr>
  </w:style>
  <w:style w:type="paragraph" w:styleId="Title">
    <w:name w:val="Title"/>
    <w:basedOn w:val="Normal"/>
    <w:next w:val="Normal"/>
    <w:link w:val="TitleChar"/>
    <w:uiPriority w:val="10"/>
    <w:qFormat/>
    <w:rsid w:val="00F84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30C"/>
    <w:pPr>
      <w:spacing w:before="160"/>
      <w:jc w:val="center"/>
    </w:pPr>
    <w:rPr>
      <w:i/>
      <w:iCs/>
      <w:color w:val="404040" w:themeColor="text1" w:themeTint="BF"/>
    </w:rPr>
  </w:style>
  <w:style w:type="character" w:customStyle="1" w:styleId="QuoteChar">
    <w:name w:val="Quote Char"/>
    <w:basedOn w:val="DefaultParagraphFont"/>
    <w:link w:val="Quote"/>
    <w:uiPriority w:val="29"/>
    <w:rsid w:val="00F8430C"/>
    <w:rPr>
      <w:i/>
      <w:iCs/>
      <w:color w:val="404040" w:themeColor="text1" w:themeTint="BF"/>
    </w:rPr>
  </w:style>
  <w:style w:type="paragraph" w:styleId="ListParagraph">
    <w:name w:val="List Paragraph"/>
    <w:basedOn w:val="Normal"/>
    <w:uiPriority w:val="34"/>
    <w:qFormat/>
    <w:rsid w:val="00F8430C"/>
    <w:pPr>
      <w:ind w:left="720"/>
      <w:contextualSpacing/>
    </w:pPr>
  </w:style>
  <w:style w:type="character" w:styleId="IntenseEmphasis">
    <w:name w:val="Intense Emphasis"/>
    <w:basedOn w:val="DefaultParagraphFont"/>
    <w:uiPriority w:val="21"/>
    <w:qFormat/>
    <w:rsid w:val="00F8430C"/>
    <w:rPr>
      <w:i/>
      <w:iCs/>
      <w:color w:val="0F4761" w:themeColor="accent1" w:themeShade="BF"/>
    </w:rPr>
  </w:style>
  <w:style w:type="paragraph" w:styleId="IntenseQuote">
    <w:name w:val="Intense Quote"/>
    <w:basedOn w:val="Normal"/>
    <w:next w:val="Normal"/>
    <w:link w:val="IntenseQuoteChar"/>
    <w:uiPriority w:val="30"/>
    <w:qFormat/>
    <w:rsid w:val="00F84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30C"/>
    <w:rPr>
      <w:i/>
      <w:iCs/>
      <w:color w:val="0F4761" w:themeColor="accent1" w:themeShade="BF"/>
    </w:rPr>
  </w:style>
  <w:style w:type="character" w:styleId="IntenseReference">
    <w:name w:val="Intense Reference"/>
    <w:basedOn w:val="DefaultParagraphFont"/>
    <w:uiPriority w:val="32"/>
    <w:qFormat/>
    <w:rsid w:val="00F8430C"/>
    <w:rPr>
      <w:b/>
      <w:bCs/>
      <w:smallCaps/>
      <w:color w:val="0F4761" w:themeColor="accent1" w:themeShade="BF"/>
      <w:spacing w:val="5"/>
    </w:rPr>
  </w:style>
  <w:style w:type="paragraph" w:styleId="NormalWeb">
    <w:name w:val="Normal (Web)"/>
    <w:basedOn w:val="Normal"/>
    <w:uiPriority w:val="99"/>
    <w:semiHidden/>
    <w:unhideWhenUsed/>
    <w:rsid w:val="00F843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9297</Words>
  <Characters>52998</Characters>
  <Application>Microsoft Office Word</Application>
  <DocSecurity>0</DocSecurity>
  <Lines>441</Lines>
  <Paragraphs>124</Paragraphs>
  <ScaleCrop>false</ScaleCrop>
  <Company/>
  <LinksUpToDate>false</LinksUpToDate>
  <CharactersWithSpaces>62171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2026-07-27T19:27:00Z</dcterms:created>
  <dcterms:modified xsi:type="dcterms:W3CDTF">2026-07-27T19:27:00Z</dcterms:modified>
</cp:coreProperties>
</file>