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line="300"/>
      </w:pPr>
    </w:p>
    <w:p>
      <w:pPr>
        <w:spacing w:after="60"/>
        <w:jc w:val="center"/>
      </w:pPr>
      <w:r>
        <w:rPr>
          <w:b/>
          <w:bCs/>
          <w:color w:val="1C2833"/>
          <w:sz w:val="44"/>
          <w:szCs w:val="44"/>
        </w:rPr>
        <w:t xml:space="preserve">ABHAYA AI</w:t>
      </w:r>
    </w:p>
    <w:p>
      <w:pPr>
        <w:spacing w:after="40"/>
        <w:jc w:val="center"/>
      </w:pPr>
      <w:r>
        <w:rPr>
          <w:color w:val="2471A3"/>
          <w:sz w:val="26"/>
          <w:szCs w:val="26"/>
        </w:rPr>
        <w:t xml:space="preserve">AI-Based Women Safety &amp; Emergency Detection System</w:t>
      </w:r>
    </w:p>
    <w:p>
      <w:pPr>
        <w:spacing w:after="300"/>
        <w:jc w:val="center"/>
      </w:pPr>
      <w:r>
        <w:rPr>
          <w:b/>
          <w:bCs/>
          <w:sz w:val="24"/>
          <w:szCs w:val="24"/>
        </w:rPr>
        <w:t xml:space="preserve">PROJECT SYNOPSIS</w:t>
      </w:r>
    </w:p>
    <w:p>
      <w:pPr>
        <w:spacing w:after="40"/>
        <w:jc w:val="center"/>
      </w:pPr>
      <w:r>
        <w:rPr>
          <w:sz w:val="22"/>
          <w:szCs w:val="22"/>
        </w:rPr>
        <w:t xml:space="preserve">Submitted by: Parkhee Jha (24BCS12446)</w:t>
      </w:r>
    </w:p>
    <w:p>
      <w:pPr>
        <w:spacing w:after="40"/>
        <w:jc w:val="center"/>
      </w:pPr>
      <w:r>
        <w:rPr>
          <w:sz w:val="22"/>
          <w:szCs w:val="22"/>
        </w:rPr>
        <w:t xml:space="preserve">BE-CSE, 3rd Year / 5th Semester</w:t>
      </w:r>
    </w:p>
    <w:p>
      <w:pPr>
        <w:spacing w:after="600"/>
        <w:jc w:val="center"/>
      </w:pPr>
      <w:r>
        <w:rPr>
          <w:b/>
          <w:bCs/>
          <w:sz w:val="22"/>
          <w:szCs w:val="22"/>
        </w:rPr>
        <w:t xml:space="preserve">CHANDIGARH UNIVERSITY</w:t>
      </w:r>
    </w:p>
    <w:p>
      <w:r>
        <w:br w:type="page"/>
      </w:r>
    </w:p>
    <w:p>
      <w:pPr>
        <w:pStyle w:val="Heading1"/>
        <w:spacing w:after="150" w:before="320"/>
      </w:pPr>
      <w:r>
        <w:t xml:space="preserve">1. Introduction</w:t>
      </w:r>
    </w:p>
    <w:p>
      <w:pPr>
        <w:spacing w:after="140" w:line="300"/>
      </w:pPr>
      <w:r>
        <w:t xml:space="preserve">Crimes against women and the everyday fear of harassment in public and semi-public spaces remain a serious concern, and this has pushed a wide range of smartphone-based personal-safety applications into the market over the last decade. India's telecom regulator mandated a physical panic button and built-in GPS on all mobile handsets sold from 2017–2018 onward, on the reasoning that a distress signal has to be sent within a second or two of an attack beginning [1]. In parallel, a large number of women-safety applications such as VithU, bSafe, Himmat, Smart24x7, Circle of 6 and Shake2Safety were built around a manual panic button, a power-button sequence, a voice command or a simple phone-shake gesture [2][3][4].</w:t>
      </w:r>
    </w:p>
    <w:p>
      <w:pPr>
        <w:spacing w:after="140" w:line="300"/>
      </w:pPr>
      <w:r>
        <w:t xml:space="preserve">These systems share one structural weakness: they all depend on the victim being physically and mentally able to perform a deliberate action at the exact moment of the assault. Abhaya AI is proposed as an Android-based women-safety application that instead tries to infer an emergency passively, from the phone's accelerometer and gyroscope, using an on-device machine-learning classifier rather than a single fixed motion threshold. A short, user-controlled cancellation window is placed between detection and alerting so that ordinary activities such as running, travelling or handling the phone are not mistaken for danger. When an alert is confirmed, the system shares the user's location with trusted contacts through a Spring Boot backend and feeds a simulated authority dashboard built for demonstration purposes.</w:t>
      </w:r>
    </w:p>
    <w:p>
      <w:pPr>
        <w:spacing w:after="140" w:line="300"/>
      </w:pPr>
      <w:r>
        <w:t xml:space="preserve">The project deliberately narrows its claims. It does not assert that the model can reliably recognise a real assault, only that it can flag emergency-like motion patterns with a measurably lower false-alert rate than a fixed-threshold shake detector, and it does not claim any live integration with police systems — the dashboard is explicitly a simulated, proof-of-concept layer. This synopsis presents the literature that motivates the project, the gaps that remain in existing shake-based and ML-based safety systems, the resulting problem statements, the proposed methodology, a comparison with prior work, and the future scope of the system.</w:t>
      </w:r>
    </w:p>
    <w:p>
      <w:pPr>
        <w:pStyle w:val="Heading1"/>
        <w:spacing w:after="150" w:before="320"/>
      </w:pPr>
      <w:r>
        <w:t xml:space="preserve">2. Literature Review</w:t>
      </w:r>
    </w:p>
    <w:p>
      <w:pPr>
        <w:pStyle w:val="Heading2"/>
        <w:spacing w:after="100" w:before="220"/>
      </w:pPr>
      <w:r>
        <w:t xml:space="preserve">2.1 Manual-activation women-safety applications</w:t>
      </w:r>
    </w:p>
    <w:p>
      <w:pPr>
        <w:spacing w:after="140" w:line="300"/>
      </w:pPr>
      <w:r>
        <w:t xml:space="preserve">VithU sends a repeating distress message with a live-location link to designated contacts once the power button is pressed twice, and bSafe builds a network of ‘guardians’ who can track the user in real time, along with a voice-activated SOS and a fake-call escape feature [2][3]. Himmat, Smart24x7, Circle of 6, VithU and Shake2Safety together illustrate the dominant pattern in this category: a manual button, a small trusted-contact circle, or a shake gesture used to send location and an alert message [4]. A separately documented Android app built around Google Maps and WhatsApp integration for live-location sharing represents an early, low-cost attempt at the same idea [5]. A parallel category of wearable IoT safety devices follows the same manual or fixed-threshold pattern: designs built around physiological signals such as heart rate and body temperature, or a physical trigger button, similarly depend on a hand-tuned threshold rather than a learned classifier [20][21][23]. Across this category, activation is always an explicit, conscious act performed by the user, or a threshold set once and never adapted to context.</w:t>
      </w:r>
    </w:p>
    <w:p>
      <w:pPr>
        <w:pStyle w:val="Heading2"/>
        <w:spacing w:after="100" w:before="220"/>
      </w:pPr>
      <w:r>
        <w:t xml:space="preserve">2.2 Shake- and motion-threshold patents</w:t>
      </w:r>
    </w:p>
    <w:p>
      <w:pPr>
        <w:spacing w:after="140" w:line="300"/>
      </w:pPr>
      <w:r>
        <w:t xml:space="preserve">A cluster of patent filings pre-dates and underlies most shake-to-alert products. US20120225635A1 and US20120302200A1 describe taking an emergency action — calling, messaging or notifying contacts — when a handheld device is shaken rapidly or a defined motion pattern is sensed [6][7]. CN106231116A describes an urgent-help system for smart terminals based on shaking and acceleration thresholds, and CN104320543A describes using a phone's gyroscope specifically to recognise shaking and trigger a help call together with location and video capture [8][9]. WO2014010815A1 extends the idea with a ‘grace controller’ that allows a window between danger detection and notification, based on shaking or impact combined with location and a contact network [10]. All of these systems rely on a fixed or narrowly tuned motion threshold rather than a trained classifier.</w:t>
      </w:r>
    </w:p>
    <w:p>
      <w:pPr>
        <w:pStyle w:val="Heading2"/>
        <w:spacing w:after="100" w:before="220"/>
      </w:pPr>
      <w:r>
        <w:t xml:space="preserve">2.3 Sensor-fusion and ML-based threat or activity detection</w:t>
      </w:r>
    </w:p>
    <w:p>
      <w:pPr>
        <w:spacing w:after="140" w:line="300"/>
      </w:pPr>
      <w:r>
        <w:t xml:space="preserve">Activity-recognition research shows that combining an accelerometer with a gyroscope improves recognition accuracy over a single sensor; a comparative study of Naive Bayes, SVM, Random Forest and related classifiers found a right-arm gyroscope alone reaching close to 94.5% average accuracy, rising to about 98.6% with Random Forest or Naive Bayes when accelerometer and gyroscope readings were combined [11]. A recent IoT-based smart-safety framework for women and children fused physiological sensors (heart rate, temperature) with activity sensors (GPS, accelerometer) and reported an SVM classifier achieving 99.7% average accuracy with roughly three seconds of detection latency [12]. A separate comparative study built directly for women's safety trained both k-NN and SVM classifiers on high-risk versus no-risk sensor data to evaluate which learned model generalised better [22], and a hybrid KNN–ANN framework (AKS-Net) has been proposed specifically to keep risk classification working in offline, low-connectivity conditions [19] — a constraint directly relevant to Abhaya AI's own future-work item on offline-first alerting.</w:t>
      </w:r>
    </w:p>
    <w:p>
      <w:pPr>
        <w:spacing w:after="140" w:line="300"/>
      </w:pPr>
      <w:r>
        <w:t xml:space="preserve">Closer to the present project, the ‘Sindoor Kavach’ Android application fuses accelerometer “distress patterns”, gyroscopic “struggle vectors”, ambient-light readings and time-of-day risk into a composite threat score computed entirely on-device through a foreground service; it was functionally tested across ten scripted scenarios and validated through a 53-respondent survey of young women in Andhra Pradesh [13]. It does not, however, report standard classification metrics such as precision, recall or a measured false-alert rate, and it does not describe a cloud-deployed backend. On the modelling side, deep-learning architectures have repeatedly been shown to outperform hand-engineered, threshold-style features on raw smartphone accelerometer and gyroscope streams: an LSTM network trained directly on accelerometer and gyroscope sequences reached 90.4% activity-classification accuracy without manual feature engineering [27], a ConvAE-LSTM architecture improved further on this by combining convolutional feature extraction with LSTM temporal modelling for smartphone-based activity recognition [28], and a broader comparison across LSTM, BiLSTM, CNN and ConvLSTM models on smartphone and smartwatch sensor data confirmed that convolutional-input classifiers generally out-performed a plain end-to-end LSTM [26]. These results directly motivate testing both a classical baseline and a compact learned model for Abhaya AI, rather than committing to hand-picked features alone.</w:t>
      </w:r>
    </w:p>
    <w:p>
      <w:pPr>
        <w:pStyle w:val="Heading2"/>
        <w:spacing w:after="100" w:before="220"/>
      </w:pPr>
      <w:r>
        <w:t xml:space="preserve">2.4 False-alert reduction in the adjacent fall-detection domain</w:t>
      </w:r>
    </w:p>
    <w:p>
      <w:pPr>
        <w:spacing w:after="140" w:line="300"/>
      </w:pPr>
      <w:r>
        <w:t xml:space="preserve">Because motion-based women-safety detection and elderly fall detection are structurally similar sensor-classification problems, the fall-detection literature is a useful reference point for false-alert performance. Threshold-based fall detectors are simple and cheap to run but are consistently reported as less accurate than ML or deep-learning models, which is why several recent systems combine a threshold pre-filter with a learned classifier to cut false positives while keeping energy use low [14]. Studies using real-world fall datasets report the trade-offs concretely: one evaluation of a support-vector-machine detector reported a false-alarm rate of about 0.56 per hour with a sensitivity above 80% [15]. Waist-mounted SVM detectors tested on real elderly users produced false-positive rates between roughly 0 and 0.3 alarms per hour, with a related SVM model reporting about 0.18 false positives per hour on daily-activity data [16]. An event-triggered ML approach built on a fixed-length sliding window reported six false alarms and six missed falls out of 381 real falls and 429 non-fall activities in laboratory testing, falling to zero false alarms over a twelve-hour real-life trial, while a separate k-NN-based method reached 100% recall with 85% precision [17]. Other work highlights that inconsistent preprocessing of raw sensor data is itself a major source of false positives and false negatives in impact-based detection [18]. The consistent theme across this literature is that a cancellation or confirmation stage, together with a genuinely trained classifier rather than a single hand-picked threshold, is what moves a system from a high-false-alarm shake detector toward a deployable one.</w:t>
      </w:r>
    </w:p>
    <w:p>
      <w:r>
        <w:br w:type="page"/>
      </w:r>
    </w:p>
    <w:p>
      <w:pPr>
        <w:pStyle w:val="Heading1"/>
        <w:spacing w:after="150" w:before="320"/>
      </w:pPr>
      <w:r>
        <w:t xml:space="preserve">3. Research Gaps Identified</w:t>
      </w:r>
    </w:p>
    <w:p>
      <w:pPr>
        <w:spacing w:after="140" w:line="300"/>
      </w:pPr>
      <w:r>
        <w:t xml:space="preserve">Based on the literature reviewed above, and on the scope boundaries already identified during the project's own prior-art review, three specific gaps are identified below.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900"/>
        <w:gridCol w:w="3100"/>
      </w:tblGrid>
      <w:tr>
        <w:trPr>
          <w:cantSplit/>
          <w:tblHeader/>
        </w:trPr>
        <w:tc>
          <w:tcPr>
            <w:tcW w:type="dxa" w:w="600"/>
            <w:shd w:fill="D6EAF8" w:val="clear"/>
            <w:tcMar>
              <w:top w:type="dxa" w:w="90"/>
              <w:left w:type="dxa" w:w="110"/>
              <w:bottom w:type="dxa" w:w="90"/>
              <w:right w:type="dxa" w:w="110"/>
            </w:tcMar>
          </w:tcPr>
          <w:p>
            <w:r>
              <w:rPr>
                <w:b/>
                <w:bCs/>
                <w:sz w:val="17"/>
                <w:szCs w:val="17"/>
              </w:rPr>
              <w:t xml:space="preserve">#</w:t>
            </w:r>
          </w:p>
        </w:tc>
        <w:tc>
          <w:tcPr>
            <w:tcW w:type="dxa" w:w="2100"/>
            <w:shd w:fill="D6EAF8" w:val="clear"/>
            <w:tcMar>
              <w:top w:type="dxa" w:w="90"/>
              <w:left w:type="dxa" w:w="110"/>
              <w:bottom w:type="dxa" w:w="90"/>
              <w:right w:type="dxa" w:w="110"/>
            </w:tcMar>
          </w:tcPr>
          <w:p>
            <w:r>
              <w:rPr>
                <w:b/>
                <w:bCs/>
                <w:sz w:val="17"/>
                <w:szCs w:val="17"/>
              </w:rPr>
              <w:t xml:space="preserve">Gap</w:t>
            </w:r>
          </w:p>
        </w:tc>
        <w:tc>
          <w:tcPr>
            <w:tcW w:type="dxa" w:w="3900"/>
            <w:shd w:fill="D6EAF8" w:val="clear"/>
            <w:tcMar>
              <w:top w:type="dxa" w:w="90"/>
              <w:left w:type="dxa" w:w="110"/>
              <w:bottom w:type="dxa" w:w="90"/>
              <w:right w:type="dxa" w:w="110"/>
            </w:tcMar>
          </w:tcPr>
          <w:p>
            <w:r>
              <w:rPr>
                <w:b/>
                <w:bCs/>
                <w:sz w:val="17"/>
                <w:szCs w:val="17"/>
              </w:rPr>
              <w:t xml:space="preserve">Evidence from Literature</w:t>
            </w:r>
          </w:p>
        </w:tc>
        <w:tc>
          <w:tcPr>
            <w:tcW w:type="dxa" w:w="3100"/>
            <w:shd w:fill="D6EAF8" w:val="clear"/>
            <w:tcMar>
              <w:top w:type="dxa" w:w="90"/>
              <w:left w:type="dxa" w:w="110"/>
              <w:bottom w:type="dxa" w:w="90"/>
              <w:right w:type="dxa" w:w="110"/>
            </w:tcMar>
          </w:tcPr>
          <w:p>
            <w:r>
              <w:rPr>
                <w:b/>
                <w:bCs/>
                <w:sz w:val="17"/>
                <w:szCs w:val="17"/>
              </w:rPr>
              <w:t xml:space="preserve">Implication for Abhaya AI</w:t>
            </w:r>
          </w:p>
        </w:tc>
      </w:tr>
      <w:tr>
        <w:trPr>
          <w:cantSplit/>
        </w:trPr>
        <w:tc>
          <w:tcPr>
            <w:tcW w:type="dxa" w:w="600"/>
            <w:tcMar>
              <w:top w:type="dxa" w:w="90"/>
              <w:left w:type="dxa" w:w="110"/>
              <w:bottom w:type="dxa" w:w="90"/>
              <w:right w:type="dxa" w:w="110"/>
            </w:tcMar>
          </w:tcPr>
          <w:p>
            <w:r>
              <w:rPr>
                <w:b w:val="false"/>
                <w:bCs w:val="false"/>
                <w:sz w:val="16"/>
                <w:szCs w:val="16"/>
              </w:rPr>
              <w:t xml:space="preserve">1</w:t>
            </w:r>
          </w:p>
        </w:tc>
        <w:tc>
          <w:tcPr>
            <w:tcW w:type="dxa" w:w="2100"/>
            <w:tcMar>
              <w:top w:type="dxa" w:w="90"/>
              <w:left w:type="dxa" w:w="110"/>
              <w:bottom w:type="dxa" w:w="90"/>
              <w:right w:type="dxa" w:w="110"/>
            </w:tcMar>
          </w:tcPr>
          <w:p>
            <w:r>
              <w:rPr>
                <w:b w:val="false"/>
                <w:bCs w:val="false"/>
                <w:sz w:val="16"/>
                <w:szCs w:val="16"/>
              </w:rPr>
              <w:t xml:space="preserve">Fixed-threshold shake detection produces unreliable, high-false-alarm triggers</w:t>
            </w:r>
          </w:p>
        </w:tc>
        <w:tc>
          <w:tcPr>
            <w:tcW w:type="dxa" w:w="3900"/>
            <w:tcMar>
              <w:top w:type="dxa" w:w="90"/>
              <w:left w:type="dxa" w:w="110"/>
              <w:bottom w:type="dxa" w:w="90"/>
              <w:right w:type="dxa" w:w="110"/>
            </w:tcMar>
          </w:tcPr>
          <w:p>
            <w:r>
              <w:rPr>
                <w:b w:val="false"/>
                <w:bCs w:val="false"/>
                <w:sz w:val="16"/>
                <w:szCs w:val="16"/>
              </w:rPr>
              <w:t xml:space="preserve">Every shake-based patent/app relies on a single motion threshold [6]-[10]; wearable IoT devices show the same limitation [20][21][23]. Comparable threshold-only systems in fall-detection carry false-alarm rates of several tenths per hour even after tuning [15][16]; everyday movement is frequently misread as an emergency.</w:t>
            </w:r>
          </w:p>
        </w:tc>
        <w:tc>
          <w:tcPr>
            <w:tcW w:type="dxa" w:w="3100"/>
            <w:tcMar>
              <w:top w:type="dxa" w:w="90"/>
              <w:left w:type="dxa" w:w="110"/>
              <w:bottom w:type="dxa" w:w="90"/>
              <w:right w:type="dxa" w:w="110"/>
            </w:tcMar>
          </w:tcPr>
          <w:p>
            <w:r>
              <w:rPr>
                <w:b w:val="false"/>
                <w:bCs w:val="false"/>
                <w:sz w:val="16"/>
                <w:szCs w:val="16"/>
              </w:rPr>
              <w:t xml:space="preserve">Motivates a trained, multi-sensor (accelerometer + gyroscope) ML classifier instead of a fixed threshold — Problem Statement 1.</w:t>
            </w:r>
          </w:p>
        </w:tc>
      </w:tr>
      <w:tr>
        <w:trPr>
          <w:cantSplit/>
        </w:trPr>
        <w:tc>
          <w:tcPr>
            <w:tcW w:type="dxa" w:w="600"/>
            <w:tcMar>
              <w:top w:type="dxa" w:w="90"/>
              <w:left w:type="dxa" w:w="110"/>
              <w:bottom w:type="dxa" w:w="90"/>
              <w:right w:type="dxa" w:w="110"/>
            </w:tcMar>
          </w:tcPr>
          <w:p>
            <w:r>
              <w:rPr>
                <w:b w:val="false"/>
                <w:bCs w:val="false"/>
                <w:sz w:val="16"/>
                <w:szCs w:val="16"/>
              </w:rPr>
              <w:t xml:space="preserve">2</w:t>
            </w:r>
          </w:p>
        </w:tc>
        <w:tc>
          <w:tcPr>
            <w:tcW w:type="dxa" w:w="2100"/>
            <w:tcMar>
              <w:top w:type="dxa" w:w="90"/>
              <w:left w:type="dxa" w:w="110"/>
              <w:bottom w:type="dxa" w:w="90"/>
              <w:right w:type="dxa" w:w="110"/>
            </w:tcMar>
          </w:tcPr>
          <w:p>
            <w:r>
              <w:rPr>
                <w:b w:val="false"/>
                <w:bCs w:val="false"/>
                <w:sz w:val="16"/>
                <w:szCs w:val="16"/>
              </w:rPr>
              <w:t xml:space="preserve">Manual or semi-manual activation fails exactly when it is needed most</w:t>
            </w:r>
          </w:p>
        </w:tc>
        <w:tc>
          <w:tcPr>
            <w:tcW w:type="dxa" w:w="3900"/>
            <w:tcMar>
              <w:top w:type="dxa" w:w="90"/>
              <w:left w:type="dxa" w:w="110"/>
              <w:bottom w:type="dxa" w:w="90"/>
              <w:right w:type="dxa" w:w="110"/>
            </w:tcMar>
          </w:tcPr>
          <w:p>
            <w:r>
              <w:rPr>
                <w:b w:val="false"/>
                <w:bCs w:val="false"/>
                <w:sz w:val="16"/>
                <w:szCs w:val="16"/>
              </w:rPr>
              <w:t xml:space="preserve">VithU, bSafe, Himmat and shake-based apps all require a deliberate physical act from a user whose motor/cognitive control may already be compromised during an assault [2][3][4]. Sindoor Kavach moves toward passive detection but has no user-facing verification step and reports no false-alert rate [13].</w:t>
            </w:r>
          </w:p>
        </w:tc>
        <w:tc>
          <w:tcPr>
            <w:tcW w:type="dxa" w:w="3100"/>
            <w:tcMar>
              <w:top w:type="dxa" w:w="90"/>
              <w:left w:type="dxa" w:w="110"/>
              <w:bottom w:type="dxa" w:w="90"/>
              <w:right w:type="dxa" w:w="110"/>
            </w:tcMar>
          </w:tcPr>
          <w:p>
            <w:r>
              <w:rPr>
                <w:b w:val="false"/>
                <w:bCs w:val="false"/>
                <w:sz w:val="16"/>
                <w:szCs w:val="16"/>
              </w:rPr>
              <w:t xml:space="preserve">Motivates a passive pipeline with a short, user-controlled cancellation window before contacts are notified — Problem Statement 2.</w:t>
            </w:r>
          </w:p>
        </w:tc>
      </w:tr>
      <w:tr>
        <w:trPr>
          <w:cantSplit/>
        </w:trPr>
        <w:tc>
          <w:tcPr>
            <w:tcW w:type="dxa" w:w="600"/>
            <w:tcMar>
              <w:top w:type="dxa" w:w="90"/>
              <w:left w:type="dxa" w:w="110"/>
              <w:bottom w:type="dxa" w:w="90"/>
              <w:right w:type="dxa" w:w="110"/>
            </w:tcMar>
          </w:tcPr>
          <w:p>
            <w:r>
              <w:rPr>
                <w:b w:val="false"/>
                <w:bCs w:val="false"/>
                <w:sz w:val="16"/>
                <w:szCs w:val="16"/>
              </w:rPr>
              <w:t xml:space="preserve">3</w:t>
            </w:r>
          </w:p>
        </w:tc>
        <w:tc>
          <w:tcPr>
            <w:tcW w:type="dxa" w:w="2100"/>
            <w:tcMar>
              <w:top w:type="dxa" w:w="90"/>
              <w:left w:type="dxa" w:w="110"/>
              <w:bottom w:type="dxa" w:w="90"/>
              <w:right w:type="dxa" w:w="110"/>
            </w:tcMar>
          </w:tcPr>
          <w:p>
            <w:r>
              <w:rPr>
                <w:b w:val="false"/>
                <w:bCs w:val="false"/>
                <w:sz w:val="16"/>
                <w:szCs w:val="16"/>
              </w:rPr>
              <w:t xml:space="preserve">No openly documented, evaluable, end-to-end cloud architecture for this problem</w:t>
            </w:r>
          </w:p>
        </w:tc>
        <w:tc>
          <w:tcPr>
            <w:tcW w:type="dxa" w:w="3900"/>
            <w:tcMar>
              <w:top w:type="dxa" w:w="90"/>
              <w:left w:type="dxa" w:w="110"/>
              <w:bottom w:type="dxa" w:w="90"/>
              <w:right w:type="dxa" w:w="110"/>
            </w:tcMar>
          </w:tcPr>
          <w:p>
            <w:r>
              <w:rPr>
                <w:b w:val="false"/>
                <w:bCs w:val="false"/>
                <w:sz w:val="16"/>
                <w:szCs w:val="16"/>
              </w:rPr>
              <w:t xml:space="preserve">Literature reports individual features — location sharing, SOS messaging, a threat score — rarely a complete, cloud-deployable pipeline with standard metrics [2][3][4][5][12][13]. Shake-to-alert is already patented [6]-[10], so novelty on shaking alone is not defensible; privacy protocols for passive monitoring remain under-addressed [29].</w:t>
            </w:r>
          </w:p>
        </w:tc>
        <w:tc>
          <w:tcPr>
            <w:tcW w:type="dxa" w:w="3100"/>
            <w:tcMar>
              <w:top w:type="dxa" w:w="90"/>
              <w:left w:type="dxa" w:w="110"/>
              <w:bottom w:type="dxa" w:w="90"/>
              <w:right w:type="dxa" w:w="110"/>
            </w:tcMar>
          </w:tcPr>
          <w:p>
            <w:r>
              <w:rPr>
                <w:b w:val="false"/>
                <w:bCs w:val="false"/>
                <w:sz w:val="16"/>
                <w:szCs w:val="16"/>
              </w:rPr>
              <w:t xml:space="preserve">Motivates a documented, measurable engineering contribution built on top of prior art rather than repeating it — Problem Statement 3.</w:t>
            </w:r>
          </w:p>
        </w:tc>
      </w:tr>
    </w:tbl>
    <w:p>
      <w:pPr>
        <w:pStyle w:val="Heading1"/>
        <w:spacing w:after="150" w:before="320"/>
      </w:pPr>
      <w:r>
        <w:t xml:space="preserve">4. Problem Statements</w:t>
      </w:r>
    </w:p>
    <w:p>
      <w:pPr>
        <w:spacing w:after="120" w:line="300"/>
      </w:pPr>
      <w:r>
        <w:t xml:space="preserve">Each problem statement below responds directly to the correspondingly numbered gap.</w:t>
      </w:r>
    </w:p>
    <w:p>
      <w:pPr>
        <w:pStyle w:val="ListParagraph"/>
        <w:numPr>
          <w:ilvl w:val="0"/>
          <w:numId w:val="2"/>
        </w:numPr>
        <w:spacing w:after="140"/>
      </w:pPr>
      <w:r>
        <w:t xml:space="preserve">Design and evaluate a multi-sensor (accelerometer + gyroscope) on-device machine-learning classifier for Abhaya AI that distinguishes emergency-like motion from normal daily activity — running, commuting, incidental handling of the phone — with a measurably lower false-alert rate than a fixed-threshold shake detector, reported using accuracy, precision, recall, a confusion matrix and a false-alert-rate metric.</w:t>
      </w:r>
    </w:p>
    <w:p>
      <w:pPr>
        <w:pStyle w:val="ListParagraph"/>
        <w:numPr>
          <w:ilvl w:val="0"/>
          <w:numId w:val="2"/>
        </w:numPr>
        <w:spacing w:after="140"/>
      </w:pPr>
      <w:r>
        <w:t xml:space="preserve">Build a passive, minimal-interaction detection pipeline that flags a possible emergency without requiring a manual trigger, while inserting a short, user-controlled cancellation window between detection and alert dispatch, so that autonomous sensing is balanced against user verification before trusted contacts are notified.</w:t>
      </w:r>
    </w:p>
    <w:p>
      <w:pPr>
        <w:pStyle w:val="ListParagraph"/>
        <w:numPr>
          <w:ilvl w:val="0"/>
          <w:numId w:val="2"/>
        </w:numPr>
        <w:spacing w:after="140"/>
      </w:pPr>
      <w:r>
        <w:t xml:space="preserve">Develop and evaluate an end-to-end, cloud-deployable architecture — mobile sensing, a Spring Boot REST API, a relational database, Firebase-based contact notification and a simulated authority dashboard, containerised with Docker and, where feasible, orchestrated with Kubernetes — while documenting how the system's technical contribution differs from the existing shake-detection patents and apps identified in the prior-art review, rather than claiming shake-to-alert itself as novel.</w:t>
      </w:r>
    </w:p>
    <w:p>
      <w:pPr>
        <w:pStyle w:val="Heading1"/>
        <w:spacing w:after="150" w:before="320"/>
      </w:pPr>
      <w:r>
        <w:t xml:space="preserve">5. Proposed Methodology</w:t>
      </w:r>
    </w:p>
    <w:p>
      <w:pPr>
        <w:pStyle w:val="Heading2"/>
        <w:spacing w:after="100" w:before="220"/>
      </w:pPr>
      <w:r>
        <w:t xml:space="preserve">5.1 System architecture</w:t>
      </w:r>
    </w:p>
    <w:p>
      <w:pPr>
        <w:spacing w:after="140" w:line="300"/>
      </w:pPr>
      <w:r>
        <w:t xml:space="preserve">The system is organised into four layers. The Android layer (Java) continuously reads accelerometer and gyroscope signals through a background service, performs local preprocessing and on-device TFLite inference, manages the cancellation UI, and acquires location on confirmed alerts. The API layer, built in Java with Spring Boot, receives alert events, validates users and trusted contacts, persists events, and exposes monitoring endpoints; for the first MVP this is kept as a single modular monolith, splitting into auth, contact, alert, location, notification and dashboard services only if time permits, following established patterns for containerised Spring Boot services orchestrated with Kubernetes on cloud infrastructure [25][30]. The data layer uses PostgreSQL or MySQL to store user profiles, trusted contacts, alert status, timestamps and location history. The dashboard layer is a simulated authority console (React or a simple web frontend) that displays active alerts, location, time and status, with an explicit note in the interface that it is a proof-of-concept and not a live law-enforcement feed.</w:t>
      </w:r>
    </w:p>
    <w:p>
      <w:pPr>
        <w:pStyle w:val="Heading2"/>
        <w:spacing w:after="100" w:before="220"/>
      </w:pPr>
      <w:r>
        <w:t xml:space="preserve">5.2 Data collection and feature engineering</w:t>
      </w:r>
    </w:p>
    <w:p>
      <w:pPr>
        <w:spacing w:after="140" w:line="300"/>
      </w:pPr>
      <w:r>
        <w:t xml:space="preserve">Public Human Activity Recognition datasets provide the normal-motion classes (walking, running, sitting, commuting, phone handling). Because no ethical real-world dataset of assault motion exists, controlled, clearly labelled synthetic or emulated emergency-like motion samples are recorded separately for the prototype and are never presented as real-world emergency data. Raw signals are cleaned, normalised and divided into short overlapping time windows, from which statistical features (mean, variance, jerk, frequency-domain energy) are extracted for the classical baseline, following the same windowing approach used in the fall-detection literature reviewed in Section 2.4 [14][17].</w:t>
      </w:r>
    </w:p>
    <w:p>
      <w:pPr>
        <w:pStyle w:val="Heading2"/>
        <w:spacing w:after="100" w:before="220"/>
      </w:pPr>
      <w:r>
        <w:t xml:space="preserve">5.3 Model development</w:t>
      </w:r>
    </w:p>
    <w:p>
      <w:pPr>
        <w:spacing w:after="140" w:line="300"/>
      </w:pPr>
      <w:r>
        <w:t xml:space="preserve">A Random Forest classifier trained on windowed statistical features is used as the baseline, consistent with reports that Random Forest and Naive Bayes perform strongly on accelerometer-plus-gyroscope activity data [11]. A compact neural model (small LSTM) is trained as a comparison to test whether learned temporal features outperform hand-engineered ones, in line with results showing LSTM- and CNN-LSTM-based models outperforming hand-engineered features on smartphone sensor streams [26][27][28]. The selected model is exported to TensorFlow Lite for on-device inference on Android, keeping latency and battery consumption within the bounds reported for comparable sensor-fusion systems [12], and taking advantage of TensorFlow Lite's GPU-accelerated on-device inference engine for real-time performance on commodity phones [24].</w:t>
      </w:r>
    </w:p>
    <w:p>
      <w:pPr>
        <w:pStyle w:val="Heading2"/>
        <w:spacing w:after="100" w:before="220"/>
      </w:pPr>
      <w:r>
        <w:t xml:space="preserve">5.4 Detection and cancellation pipeline</w:t>
      </w:r>
    </w:p>
    <w:p>
      <w:pPr>
        <w:spacing w:after="140" w:line="300"/>
      </w:pPr>
      <w:r>
        <w:t xml:space="preserve">The runtime pipeline mirrors the twelve-step workflow defined for Abhaya AI: sensor windows are classified continuously; low-confidence or normal windows are ignored and monitoring continues; an emergency-like classification opens a short cancellation notification; a user cancellation discards the event and logs it as a false alarm for later retraining; no cancellation creates an emergency alert, captures the current location, and forwards the event to the Spring Boot backend, which triggers a Firebase notification to trusted contacts and a simulated dispatch event on the authority dashboard, with location updates continuing until the user ends the emergency.</w:t>
      </w:r>
    </w:p>
    <w:p>
      <w:pPr>
        <w:pStyle w:val="Heading2"/>
        <w:spacing w:after="100" w:before="220"/>
      </w:pPr>
      <w:r>
        <w:t xml:space="preserve">5.5 Evaluation metrics</w:t>
      </w:r>
    </w:p>
    <w:p>
      <w:pPr>
        <w:spacing w:after="140" w:line="300"/>
      </w:pPr>
      <w:r>
        <w:t xml:space="preserve">The classifier and the end-to-end pipeline are evaluated using accuracy, precision, recall, a confusion matrix, and a false-alert rate expressed per hour of monitored use, following the convention used in the fall-detection literature [15][16][17], so that Problem Statement 1 can be answered with a direct, literature-comparable number rather than a qualitative claim.</w:t>
      </w:r>
    </w:p>
    <w:p>
      <w:pPr>
        <w:pStyle w:val="Heading1"/>
        <w:spacing w:after="150" w:before="320"/>
      </w:pPr>
      <w:r>
        <w:t xml:space="preserve">6. Comparison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900"/>
      </w:tblGrid>
      <w:tr>
        <w:trPr>
          <w:tblHeader/>
        </w:trPr>
        <w:tc>
          <w:tcPr>
            <w:tcW w:type="dxa" w:w="1500"/>
            <w:shd w:fill="D6EAF8" w:val="clear"/>
            <w:tcMar>
              <w:top w:type="dxa" w:w="90"/>
              <w:left w:type="dxa" w:w="110"/>
              <w:bottom w:type="dxa" w:w="90"/>
              <w:right w:type="dxa" w:w="110"/>
            </w:tcMar>
          </w:tcPr>
          <w:p>
            <w:r>
              <w:rPr>
                <w:b/>
                <w:bCs/>
                <w:sz w:val="19"/>
                <w:szCs w:val="19"/>
              </w:rPr>
              <w:t xml:space="preserve">Aspect</w:t>
            </w:r>
          </w:p>
        </w:tc>
        <w:tc>
          <w:tcPr>
            <w:tcW w:type="dxa" w:w="2650"/>
            <w:shd w:fill="D6EAF8" w:val="clear"/>
            <w:tcMar>
              <w:top w:type="dxa" w:w="90"/>
              <w:left w:type="dxa" w:w="110"/>
              <w:bottom w:type="dxa" w:w="90"/>
              <w:right w:type="dxa" w:w="110"/>
            </w:tcMar>
          </w:tcPr>
          <w:p>
            <w:r>
              <w:rPr>
                <w:b/>
                <w:bCs/>
                <w:sz w:val="17"/>
                <w:szCs w:val="17"/>
              </w:rPr>
              <w:t xml:space="preserve">Existing manual / shake-based systems [2][3][4][6]-[10][20][21][23]</w:t>
            </w:r>
          </w:p>
        </w:tc>
        <w:tc>
          <w:tcPr>
            <w:tcW w:type="dxa" w:w="2650"/>
            <w:shd w:fill="D6EAF8" w:val="clear"/>
            <w:tcMar>
              <w:top w:type="dxa" w:w="90"/>
              <w:left w:type="dxa" w:w="110"/>
              <w:bottom w:type="dxa" w:w="90"/>
              <w:right w:type="dxa" w:w="110"/>
            </w:tcMar>
          </w:tcPr>
          <w:p>
            <w:r>
              <w:rPr>
                <w:b/>
                <w:bCs/>
                <w:sz w:val="19"/>
                <w:szCs w:val="19"/>
              </w:rPr>
              <w:t xml:space="preserve">Closest ML prototype: Sindoor Kavach [13]</w:t>
            </w:r>
          </w:p>
        </w:tc>
        <w:tc>
          <w:tcPr>
            <w:tcW w:type="dxa" w:w="2900"/>
            <w:shd w:fill="D6EAF8" w:val="clear"/>
            <w:tcMar>
              <w:top w:type="dxa" w:w="90"/>
              <w:left w:type="dxa" w:w="110"/>
              <w:bottom w:type="dxa" w:w="90"/>
              <w:right w:type="dxa" w:w="110"/>
            </w:tcMar>
          </w:tcPr>
          <w:p>
            <w:r>
              <w:rPr>
                <w:b/>
                <w:bCs/>
                <w:sz w:val="19"/>
                <w:szCs w:val="19"/>
              </w:rPr>
              <w:t xml:space="preserve">Proposed Abhaya AI</w:t>
            </w:r>
          </w:p>
        </w:tc>
      </w:tr>
      <w:tr>
        <w:tc>
          <w:tcPr>
            <w:tcW w:type="dxa" w:w="1500"/>
            <w:tcMar>
              <w:top w:type="dxa" w:w="90"/>
              <w:left w:type="dxa" w:w="110"/>
              <w:bottom w:type="dxa" w:w="90"/>
              <w:right w:type="dxa" w:w="110"/>
            </w:tcMar>
          </w:tcPr>
          <w:p>
            <w:r>
              <w:rPr>
                <w:b/>
                <w:bCs/>
                <w:sz w:val="19"/>
                <w:szCs w:val="19"/>
              </w:rPr>
              <w:t xml:space="preserve">Activation mode</w:t>
            </w:r>
          </w:p>
        </w:tc>
        <w:tc>
          <w:tcPr>
            <w:tcW w:type="dxa" w:w="2650"/>
            <w:tcMar>
              <w:top w:type="dxa" w:w="90"/>
              <w:left w:type="dxa" w:w="110"/>
              <w:bottom w:type="dxa" w:w="90"/>
              <w:right w:type="dxa" w:w="110"/>
            </w:tcMar>
          </w:tcPr>
          <w:p>
            <w:r>
              <w:rPr>
                <w:b w:val="false"/>
                <w:bCs w:val="false"/>
                <w:sz w:val="19"/>
                <w:szCs w:val="19"/>
              </w:rPr>
              <w:t xml:space="preserve">Manual: button, voice or shake [2][3][4]</w:t>
            </w:r>
          </w:p>
        </w:tc>
        <w:tc>
          <w:tcPr>
            <w:tcW w:type="dxa" w:w="2650"/>
            <w:tcMar>
              <w:top w:type="dxa" w:w="90"/>
              <w:left w:type="dxa" w:w="110"/>
              <w:bottom w:type="dxa" w:w="90"/>
              <w:right w:type="dxa" w:w="110"/>
            </w:tcMar>
          </w:tcPr>
          <w:p>
            <w:r>
              <w:rPr>
                <w:b w:val="false"/>
                <w:bCs w:val="false"/>
                <w:sz w:val="19"/>
                <w:szCs w:val="19"/>
              </w:rPr>
              <w:t xml:space="preserve">Passive, continuous sensor fusion [13]</w:t>
            </w:r>
          </w:p>
        </w:tc>
        <w:tc>
          <w:tcPr>
            <w:tcW w:type="dxa" w:w="2900"/>
            <w:tcMar>
              <w:top w:type="dxa" w:w="90"/>
              <w:left w:type="dxa" w:w="110"/>
              <w:bottom w:type="dxa" w:w="90"/>
              <w:right w:type="dxa" w:w="110"/>
            </w:tcMar>
          </w:tcPr>
          <w:p>
            <w:r>
              <w:rPr>
                <w:b w:val="false"/>
                <w:bCs w:val="false"/>
                <w:sz w:val="19"/>
                <w:szCs w:val="19"/>
              </w:rPr>
              <w:t xml:space="preserve">Passive accelerometer + gyroscope with ML classification</w:t>
            </w:r>
          </w:p>
        </w:tc>
      </w:tr>
      <w:tr>
        <w:tc>
          <w:tcPr>
            <w:tcW w:type="dxa" w:w="1500"/>
            <w:tcMar>
              <w:top w:type="dxa" w:w="90"/>
              <w:left w:type="dxa" w:w="110"/>
              <w:bottom w:type="dxa" w:w="90"/>
              <w:right w:type="dxa" w:w="110"/>
            </w:tcMar>
          </w:tcPr>
          <w:p>
            <w:r>
              <w:rPr>
                <w:b/>
                <w:bCs/>
                <w:sz w:val="19"/>
                <w:szCs w:val="19"/>
              </w:rPr>
              <w:t xml:space="preserve">Sensor basis</w:t>
            </w:r>
          </w:p>
        </w:tc>
        <w:tc>
          <w:tcPr>
            <w:tcW w:type="dxa" w:w="2650"/>
            <w:tcMar>
              <w:top w:type="dxa" w:w="90"/>
              <w:left w:type="dxa" w:w="110"/>
              <w:bottom w:type="dxa" w:w="90"/>
              <w:right w:type="dxa" w:w="110"/>
            </w:tcMar>
          </w:tcPr>
          <w:p>
            <w:r>
              <w:rPr>
                <w:b w:val="false"/>
                <w:bCs w:val="false"/>
                <w:sz w:val="19"/>
                <w:szCs w:val="19"/>
              </w:rPr>
              <w:t xml:space="preserve">Single trigger / fixed motion or physiological threshold [6]-[10][20][21]</w:t>
            </w:r>
          </w:p>
        </w:tc>
        <w:tc>
          <w:tcPr>
            <w:tcW w:type="dxa" w:w="2650"/>
            <w:tcMar>
              <w:top w:type="dxa" w:w="90"/>
              <w:left w:type="dxa" w:w="110"/>
              <w:bottom w:type="dxa" w:w="90"/>
              <w:right w:type="dxa" w:w="110"/>
            </w:tcMar>
          </w:tcPr>
          <w:p>
            <w:r>
              <w:rPr>
                <w:b w:val="false"/>
                <w:bCs w:val="false"/>
                <w:sz w:val="19"/>
                <w:szCs w:val="19"/>
              </w:rPr>
              <w:t xml:space="preserve">Accelerometer + gyroscope + ambient light + time [13]</w:t>
            </w:r>
          </w:p>
        </w:tc>
        <w:tc>
          <w:tcPr>
            <w:tcW w:type="dxa" w:w="2900"/>
            <w:tcMar>
              <w:top w:type="dxa" w:w="90"/>
              <w:left w:type="dxa" w:w="110"/>
              <w:bottom w:type="dxa" w:w="90"/>
              <w:right w:type="dxa" w:w="110"/>
            </w:tcMar>
          </w:tcPr>
          <w:p>
            <w:r>
              <w:rPr>
                <w:b w:val="false"/>
                <w:bCs w:val="false"/>
                <w:sz w:val="19"/>
                <w:szCs w:val="19"/>
              </w:rPr>
              <w:t xml:space="preserve">Accelerometer + gyroscope; extensible feature set</w:t>
            </w:r>
          </w:p>
        </w:tc>
      </w:tr>
      <w:tr>
        <w:tc>
          <w:tcPr>
            <w:tcW w:type="dxa" w:w="1500"/>
            <w:tcMar>
              <w:top w:type="dxa" w:w="90"/>
              <w:left w:type="dxa" w:w="110"/>
              <w:bottom w:type="dxa" w:w="90"/>
              <w:right w:type="dxa" w:w="110"/>
            </w:tcMar>
          </w:tcPr>
          <w:p>
            <w:r>
              <w:rPr>
                <w:b/>
                <w:bCs/>
                <w:sz w:val="19"/>
                <w:szCs w:val="19"/>
              </w:rPr>
              <w:t xml:space="preserve">False-alert handling</w:t>
            </w:r>
          </w:p>
        </w:tc>
        <w:tc>
          <w:tcPr>
            <w:tcW w:type="dxa" w:w="2650"/>
            <w:tcMar>
              <w:top w:type="dxa" w:w="90"/>
              <w:left w:type="dxa" w:w="110"/>
              <w:bottom w:type="dxa" w:w="90"/>
              <w:right w:type="dxa" w:w="110"/>
            </w:tcMar>
          </w:tcPr>
          <w:p>
            <w:r>
              <w:rPr>
                <w:b w:val="false"/>
                <w:bCs w:val="false"/>
                <w:sz w:val="19"/>
                <w:szCs w:val="19"/>
              </w:rPr>
              <w:t xml:space="preserve">Not addressed; threshold-only [6]-[10]</w:t>
            </w:r>
          </w:p>
        </w:tc>
        <w:tc>
          <w:tcPr>
            <w:tcW w:type="dxa" w:w="2650"/>
            <w:tcMar>
              <w:top w:type="dxa" w:w="90"/>
              <w:left w:type="dxa" w:w="110"/>
              <w:bottom w:type="dxa" w:w="90"/>
              <w:right w:type="dxa" w:w="110"/>
            </w:tcMar>
          </w:tcPr>
          <w:p>
            <w:r>
              <w:rPr>
                <w:b w:val="false"/>
                <w:bCs w:val="false"/>
                <w:sz w:val="19"/>
                <w:szCs w:val="19"/>
              </w:rPr>
              <w:t xml:space="preserve">Composite score, no user cancellation [13]</w:t>
            </w:r>
          </w:p>
        </w:tc>
        <w:tc>
          <w:tcPr>
            <w:tcW w:type="dxa" w:w="2900"/>
            <w:tcMar>
              <w:top w:type="dxa" w:w="90"/>
              <w:left w:type="dxa" w:w="110"/>
              <w:bottom w:type="dxa" w:w="90"/>
              <w:right w:type="dxa" w:w="110"/>
            </w:tcMar>
          </w:tcPr>
          <w:p>
            <w:r>
              <w:rPr>
                <w:b w:val="false"/>
                <w:bCs w:val="false"/>
                <w:sz w:val="19"/>
                <w:szCs w:val="19"/>
              </w:rPr>
              <w:t xml:space="preserve">Cancellation window before an alert is finalised</w:t>
            </w:r>
          </w:p>
        </w:tc>
      </w:tr>
      <w:tr>
        <w:tc>
          <w:tcPr>
            <w:tcW w:type="dxa" w:w="1500"/>
            <w:tcMar>
              <w:top w:type="dxa" w:w="90"/>
              <w:left w:type="dxa" w:w="110"/>
              <w:bottom w:type="dxa" w:w="90"/>
              <w:right w:type="dxa" w:w="110"/>
            </w:tcMar>
          </w:tcPr>
          <w:p>
            <w:r>
              <w:rPr>
                <w:b/>
                <w:bCs/>
                <w:sz w:val="19"/>
                <w:szCs w:val="19"/>
              </w:rPr>
              <w:t xml:space="preserve">On-device ML</w:t>
            </w:r>
          </w:p>
        </w:tc>
        <w:tc>
          <w:tcPr>
            <w:tcW w:type="dxa" w:w="2650"/>
            <w:tcMar>
              <w:top w:type="dxa" w:w="90"/>
              <w:left w:type="dxa" w:w="110"/>
              <w:bottom w:type="dxa" w:w="90"/>
              <w:right w:type="dxa" w:w="110"/>
            </w:tcMar>
          </w:tcPr>
          <w:p>
            <w:r>
              <w:rPr>
                <w:b w:val="false"/>
                <w:bCs w:val="false"/>
                <w:sz w:val="19"/>
                <w:szCs w:val="19"/>
              </w:rPr>
              <w:t xml:space="preserve">Absent in most consumer apps [2][3][4]</w:t>
            </w:r>
          </w:p>
        </w:tc>
        <w:tc>
          <w:tcPr>
            <w:tcW w:type="dxa" w:w="2650"/>
            <w:tcMar>
              <w:top w:type="dxa" w:w="90"/>
              <w:left w:type="dxa" w:w="110"/>
              <w:bottom w:type="dxa" w:w="90"/>
              <w:right w:type="dxa" w:w="110"/>
            </w:tcMar>
          </w:tcPr>
          <w:p>
            <w:r>
              <w:rPr>
                <w:b w:val="false"/>
                <w:bCs w:val="false"/>
                <w:sz w:val="19"/>
                <w:szCs w:val="19"/>
              </w:rPr>
              <w:t xml:space="preserve">Rule/score-based on-device service [13]</w:t>
            </w:r>
          </w:p>
        </w:tc>
        <w:tc>
          <w:tcPr>
            <w:tcW w:type="dxa" w:w="2900"/>
            <w:tcMar>
              <w:top w:type="dxa" w:w="90"/>
              <w:left w:type="dxa" w:w="110"/>
              <w:bottom w:type="dxa" w:w="90"/>
              <w:right w:type="dxa" w:w="110"/>
            </w:tcMar>
          </w:tcPr>
          <w:p>
            <w:r>
              <w:rPr>
                <w:b w:val="false"/>
                <w:bCs w:val="false"/>
                <w:sz w:val="19"/>
                <w:szCs w:val="19"/>
              </w:rPr>
              <w:t xml:space="preserve">TFLite classifier trained on HAR + synthetic data [24][26][27][28]</w:t>
            </w:r>
          </w:p>
        </w:tc>
      </w:tr>
      <w:tr>
        <w:tc>
          <w:tcPr>
            <w:tcW w:type="dxa" w:w="1500"/>
            <w:tcMar>
              <w:top w:type="dxa" w:w="90"/>
              <w:left w:type="dxa" w:w="110"/>
              <w:bottom w:type="dxa" w:w="90"/>
              <w:right w:type="dxa" w:w="110"/>
            </w:tcMar>
          </w:tcPr>
          <w:p>
            <w:r>
              <w:rPr>
                <w:b/>
                <w:bCs/>
                <w:sz w:val="19"/>
                <w:szCs w:val="19"/>
              </w:rPr>
              <w:t xml:space="preserve">Backend / cloud</w:t>
            </w:r>
          </w:p>
        </w:tc>
        <w:tc>
          <w:tcPr>
            <w:tcW w:type="dxa" w:w="2650"/>
            <w:tcMar>
              <w:top w:type="dxa" w:w="90"/>
              <w:left w:type="dxa" w:w="110"/>
              <w:bottom w:type="dxa" w:w="90"/>
              <w:right w:type="dxa" w:w="110"/>
            </w:tcMar>
          </w:tcPr>
          <w:p>
            <w:r>
              <w:rPr>
                <w:b w:val="false"/>
                <w:bCs w:val="false"/>
                <w:sz w:val="19"/>
                <w:szCs w:val="19"/>
              </w:rPr>
              <w:t xml:space="preserve">Notification only; architecture undocumented [5]</w:t>
            </w:r>
          </w:p>
        </w:tc>
        <w:tc>
          <w:tcPr>
            <w:tcW w:type="dxa" w:w="2650"/>
            <w:tcMar>
              <w:top w:type="dxa" w:w="90"/>
              <w:left w:type="dxa" w:w="110"/>
              <w:bottom w:type="dxa" w:w="90"/>
              <w:right w:type="dxa" w:w="110"/>
            </w:tcMar>
          </w:tcPr>
          <w:p>
            <w:r>
              <w:rPr>
                <w:b w:val="false"/>
                <w:bCs w:val="false"/>
                <w:sz w:val="19"/>
                <w:szCs w:val="19"/>
              </w:rPr>
              <w:t xml:space="preserve">Largely offline, no cloud layer reported [13]</w:t>
            </w:r>
          </w:p>
        </w:tc>
        <w:tc>
          <w:tcPr>
            <w:tcW w:type="dxa" w:w="2900"/>
            <w:tcMar>
              <w:top w:type="dxa" w:w="90"/>
              <w:left w:type="dxa" w:w="110"/>
              <w:bottom w:type="dxa" w:w="90"/>
              <w:right w:type="dxa" w:w="110"/>
            </w:tcMar>
          </w:tcPr>
          <w:p>
            <w:r>
              <w:rPr>
                <w:b w:val="false"/>
                <w:bCs w:val="false"/>
                <w:sz w:val="19"/>
                <w:szCs w:val="19"/>
              </w:rPr>
              <w:t xml:space="preserve">Spring Boot REST API, PostgreSQL/MySQL, Docker, Kubernetes [25][30]</w:t>
            </w:r>
          </w:p>
        </w:tc>
      </w:tr>
      <w:tr>
        <w:tc>
          <w:tcPr>
            <w:tcW w:type="dxa" w:w="1500"/>
            <w:tcMar>
              <w:top w:type="dxa" w:w="90"/>
              <w:left w:type="dxa" w:w="110"/>
              <w:bottom w:type="dxa" w:w="90"/>
              <w:right w:type="dxa" w:w="110"/>
            </w:tcMar>
          </w:tcPr>
          <w:p>
            <w:r>
              <w:rPr>
                <w:b/>
                <w:bCs/>
                <w:sz w:val="19"/>
                <w:szCs w:val="19"/>
              </w:rPr>
              <w:t xml:space="preserve">Authority connectivity</w:t>
            </w:r>
          </w:p>
        </w:tc>
        <w:tc>
          <w:tcPr>
            <w:tcW w:type="dxa" w:w="2650"/>
            <w:tcMar>
              <w:top w:type="dxa" w:w="90"/>
              <w:left w:type="dxa" w:w="110"/>
              <w:bottom w:type="dxa" w:w="90"/>
              <w:right w:type="dxa" w:w="110"/>
            </w:tcMar>
          </w:tcPr>
          <w:p>
            <w:r>
              <w:rPr>
                <w:b w:val="false"/>
                <w:bCs w:val="false"/>
                <w:sz w:val="19"/>
                <w:szCs w:val="19"/>
              </w:rPr>
              <w:t xml:space="preserve">Claimed but rarely verifiable [1][2]</w:t>
            </w:r>
          </w:p>
        </w:tc>
        <w:tc>
          <w:tcPr>
            <w:tcW w:type="dxa" w:w="2650"/>
            <w:tcMar>
              <w:top w:type="dxa" w:w="90"/>
              <w:left w:type="dxa" w:w="110"/>
              <w:bottom w:type="dxa" w:w="90"/>
              <w:right w:type="dxa" w:w="110"/>
            </w:tcMar>
          </w:tcPr>
          <w:p>
            <w:r>
              <w:rPr>
                <w:b w:val="false"/>
                <w:bCs w:val="false"/>
                <w:sz w:val="19"/>
                <w:szCs w:val="19"/>
              </w:rPr>
              <w:t xml:space="preserve">Not addressed</w:t>
            </w:r>
          </w:p>
        </w:tc>
        <w:tc>
          <w:tcPr>
            <w:tcW w:type="dxa" w:w="2900"/>
            <w:tcMar>
              <w:top w:type="dxa" w:w="90"/>
              <w:left w:type="dxa" w:w="110"/>
              <w:bottom w:type="dxa" w:w="90"/>
              <w:right w:type="dxa" w:w="110"/>
            </w:tcMar>
          </w:tcPr>
          <w:p>
            <w:r>
              <w:rPr>
                <w:b w:val="false"/>
                <w:bCs w:val="false"/>
                <w:sz w:val="19"/>
                <w:szCs w:val="19"/>
              </w:rPr>
              <w:t xml:space="preserve">Explicitly simulated dashboard; no false claim of police integration</w:t>
            </w:r>
          </w:p>
        </w:tc>
      </w:tr>
      <w:tr>
        <w:tc>
          <w:tcPr>
            <w:tcW w:type="dxa" w:w="1500"/>
            <w:tcMar>
              <w:top w:type="dxa" w:w="90"/>
              <w:left w:type="dxa" w:w="110"/>
              <w:bottom w:type="dxa" w:w="90"/>
              <w:right w:type="dxa" w:w="110"/>
            </w:tcMar>
          </w:tcPr>
          <w:p>
            <w:r>
              <w:rPr>
                <w:b/>
                <w:bCs/>
                <w:sz w:val="19"/>
                <w:szCs w:val="19"/>
              </w:rPr>
              <w:t xml:space="preserve">Reported evaluation</w:t>
            </w:r>
          </w:p>
        </w:tc>
        <w:tc>
          <w:tcPr>
            <w:tcW w:type="dxa" w:w="2650"/>
            <w:tcMar>
              <w:top w:type="dxa" w:w="90"/>
              <w:left w:type="dxa" w:w="110"/>
              <w:bottom w:type="dxa" w:w="90"/>
              <w:right w:type="dxa" w:w="110"/>
            </w:tcMar>
          </w:tcPr>
          <w:p>
            <w:r>
              <w:rPr>
                <w:b w:val="false"/>
                <w:bCs w:val="false"/>
                <w:sz w:val="19"/>
                <w:szCs w:val="19"/>
              </w:rPr>
              <w:t xml:space="preserve">Anecdotal / download counts [2][3]</w:t>
            </w:r>
          </w:p>
        </w:tc>
        <w:tc>
          <w:tcPr>
            <w:tcW w:type="dxa" w:w="2650"/>
            <w:tcMar>
              <w:top w:type="dxa" w:w="90"/>
              <w:left w:type="dxa" w:w="110"/>
              <w:bottom w:type="dxa" w:w="90"/>
              <w:right w:type="dxa" w:w="110"/>
            </w:tcMar>
          </w:tcPr>
          <w:p>
            <w:r>
              <w:rPr>
                <w:b w:val="false"/>
                <w:bCs w:val="false"/>
                <w:sz w:val="19"/>
                <w:szCs w:val="19"/>
              </w:rPr>
              <w:t xml:space="preserve">10 scripted scenarios, 53-user survey [13]</w:t>
            </w:r>
          </w:p>
        </w:tc>
        <w:tc>
          <w:tcPr>
            <w:tcW w:type="dxa" w:w="2900"/>
            <w:tcMar>
              <w:top w:type="dxa" w:w="90"/>
              <w:left w:type="dxa" w:w="110"/>
              <w:bottom w:type="dxa" w:w="90"/>
              <w:right w:type="dxa" w:w="110"/>
            </w:tcMar>
          </w:tcPr>
          <w:p>
            <w:r>
              <w:rPr>
                <w:b w:val="false"/>
                <w:bCs w:val="false"/>
                <w:sz w:val="19"/>
                <w:szCs w:val="19"/>
              </w:rPr>
              <w:t xml:space="preserve">Accuracy, precision, recall, confusion matrix, false-alert rate</w:t>
            </w:r>
          </w:p>
        </w:tc>
      </w:tr>
    </w:tbl>
    <w:p>
      <w:pPr>
        <w:pStyle w:val="Heading1"/>
        <w:spacing w:after="150" w:before="320"/>
      </w:pPr>
      <w:r>
        <w:t xml:space="preserve">7. Future Work and Scope</w:t>
      </w:r>
    </w:p>
    <w:p>
      <w:pPr>
        <w:spacing w:after="120" w:line="300"/>
      </w:pPr>
      <w:r>
        <w:t xml:space="preserve">Once the MVP described above is working end-to-end, the following extensions are identified as stretch goals rather than core deliverables:</w:t>
      </w:r>
    </w:p>
    <w:p>
      <w:pPr>
        <w:pStyle w:val="ListParagraph"/>
        <w:numPr>
          <w:ilvl w:val="0"/>
          <w:numId w:val="3"/>
        </w:numPr>
        <w:spacing w:after="80"/>
      </w:pPr>
      <w:r>
        <w:t xml:space="preserve">Adaptive, on-device personalisation of the motion model to an individual user's typical movement patterns.</w:t>
      </w:r>
    </w:p>
    <w:p>
      <w:pPr>
        <w:pStyle w:val="ListParagraph"/>
        <w:numPr>
          <w:ilvl w:val="0"/>
          <w:numId w:val="3"/>
        </w:numPr>
        <w:spacing w:after="80"/>
      </w:pPr>
      <w:r>
        <w:t xml:space="preserve">An offline-first alert queue with delayed synchronisation for low-connectivity areas, building on the offline-capable hybrid classifier approach explored for women-safety risk prediction [19].</w:t>
      </w:r>
    </w:p>
    <w:p>
      <w:pPr>
        <w:pStyle w:val="ListParagraph"/>
        <w:numPr>
          <w:ilvl w:val="0"/>
          <w:numId w:val="3"/>
        </w:numPr>
        <w:spacing w:after="80"/>
      </w:pPr>
      <w:r>
        <w:t xml:space="preserve">A risk-scoring layer that combines current motion with recent movement context, stated carefully as a risk indicator and not a definitive danger claim.</w:t>
      </w:r>
    </w:p>
    <w:p>
      <w:pPr>
        <w:pStyle w:val="ListParagraph"/>
        <w:numPr>
          <w:ilvl w:val="0"/>
          <w:numId w:val="3"/>
        </w:numPr>
        <w:spacing w:after="80"/>
      </w:pPr>
      <w:r>
        <w:t xml:space="preserve">Battery-aware background sensing to extend continuous monitoring time.</w:t>
      </w:r>
    </w:p>
    <w:p>
      <w:pPr>
        <w:pStyle w:val="ListParagraph"/>
        <w:numPr>
          <w:ilvl w:val="0"/>
          <w:numId w:val="3"/>
        </w:numPr>
        <w:spacing w:after="80"/>
      </w:pPr>
      <w:r>
        <w:t xml:space="preserve">WebSocket-based real-time updates for the authority dashboard.</w:t>
      </w:r>
    </w:p>
    <w:p>
      <w:pPr>
        <w:pStyle w:val="ListParagraph"/>
        <w:numPr>
          <w:ilvl w:val="0"/>
          <w:numId w:val="3"/>
        </w:numPr>
        <w:spacing w:after="80"/>
      </w:pPr>
      <w:r>
        <w:t xml:space="preserve">Kubernetes autoscaling and monitoring for the backend under higher simulated load.</w:t>
      </w:r>
    </w:p>
    <w:p>
      <w:pPr>
        <w:pStyle w:val="ListParagraph"/>
        <w:numPr>
          <w:ilvl w:val="0"/>
          <w:numId w:val="3"/>
        </w:numPr>
        <w:spacing w:after="80"/>
      </w:pPr>
      <w:r>
        <w:t xml:space="preserve">An explainable-ML view on the dashboard showing why a given motion window was classified as emergency-like.</w:t>
      </w:r>
    </w:p>
    <w:p>
      <w:pPr>
        <w:pStyle w:val="ListParagraph"/>
        <w:numPr>
          <w:ilvl w:val="0"/>
          <w:numId w:val="3"/>
        </w:numPr>
        <w:spacing w:after="80"/>
      </w:pPr>
      <w:r>
        <w:t xml:space="preserve">A documented privacy and consent protocol for passive monitoring, addressing the data-protection gap flagged in recent work on smartphone-based monitoring for at-risk users [29].</w:t>
      </w:r>
    </w:p>
    <w:p>
      <w:pPr>
        <w:spacing w:after="100" w:line="300"/>
      </w:pPr>
      <w:r>
        <w:t xml:space="preserve">Any move beyond a simulated authority dashboard toward a real police or emergency-services integration would require a formal partnership, official APIs and operational agreements, and is explicitly out of scope for this project. Similarly, any IP or patentability claim would require a structured prior-art search and professional legal advice before being pursued, given the existing shake-detection patents identified in Section 2.2 [6]-[10].</w:t>
      </w:r>
    </w:p>
    <w:p>
      <w:pPr>
        <w:pStyle w:val="Heading1"/>
        <w:spacing w:after="150" w:before="320"/>
      </w:pPr>
      <w:r>
        <w:t xml:space="preserve">8. References</w:t>
      </w:r>
    </w:p>
    <w:p>
      <w:pPr>
        <w:spacing w:after="90" w:line="280"/>
        <w:ind w:left="450" w:hanging="450"/>
      </w:pPr>
      <w:r>
        <w:rPr>
          <w:b/>
          <w:bCs/>
        </w:rPr>
        <w:t xml:space="preserve">[1] </w:t>
      </w:r>
      <w:r>
        <w:t xml:space="preserve">“India panic button,” TechCrunch, 2016. Available: https://techcrunch.com/2016/04/27/india-panic-button/</w:t>
      </w:r>
    </w:p>
    <w:p>
      <w:pPr>
        <w:spacing w:after="90" w:line="280"/>
        <w:ind w:left="450" w:hanging="450"/>
      </w:pPr>
      <w:r>
        <w:rPr>
          <w:b/>
          <w:bCs/>
        </w:rPr>
        <w:t xml:space="preserve">[2] </w:t>
      </w:r>
      <w:r>
        <w:t xml:space="preserve">“Best women safety apps in India for Android and iOS,” TechRadar, 2017. Available: https://www.techradar.com/news/best-women-safety-apps-in-india-for-android-and-ios</w:t>
      </w:r>
    </w:p>
    <w:p>
      <w:pPr>
        <w:spacing w:after="90" w:line="280"/>
        <w:ind w:left="450" w:hanging="450"/>
      </w:pPr>
      <w:r>
        <w:rPr>
          <w:b/>
          <w:bCs/>
        </w:rPr>
        <w:t xml:space="preserve">[3] </w:t>
      </w:r>
      <w:r>
        <w:t xml:space="preserve">“5 personal safety apps that will help you get through as a woman,” YourStory, 2019. Available: https://yourstory.com/2018/10/5-personal-safety-apps-will-help-get-woman-india</w:t>
      </w:r>
    </w:p>
    <w:p>
      <w:pPr>
        <w:spacing w:after="90" w:line="280"/>
        <w:ind w:left="450" w:hanging="450"/>
      </w:pPr>
      <w:r>
        <w:rPr>
          <w:b/>
          <w:bCs/>
        </w:rPr>
        <w:t xml:space="preserve">[4] </w:t>
      </w:r>
      <w:r>
        <w:t xml:space="preserve">“Best women safety apps with SOS feature (guide 2026),” Her Safety Blog, 2026. Available: https://hersafety.blog/best-womens-safety-apps-with-sos-feature-2026/</w:t>
      </w:r>
    </w:p>
    <w:p>
      <w:pPr>
        <w:spacing w:after="90" w:line="280"/>
        <w:ind w:left="450" w:hanging="450"/>
      </w:pPr>
      <w:r>
        <w:rPr>
          <w:b/>
          <w:bCs/>
        </w:rPr>
        <w:t xml:space="preserve">[5] </w:t>
      </w:r>
      <w:r>
        <w:t xml:space="preserve">“Android-Based Woman Safety App,” Indian Journal of Science and Technology, vol. 16, Special Issue 2, 2023. DOI: 10.17485/IJST/v16iSP2.8767</w:t>
      </w:r>
    </w:p>
    <w:p>
      <w:pPr>
        <w:spacing w:after="90" w:line="280"/>
        <w:ind w:left="450" w:hanging="450"/>
      </w:pPr>
      <w:r>
        <w:rPr>
          <w:b/>
          <w:bCs/>
        </w:rPr>
        <w:t xml:space="preserve">[6] </w:t>
      </w:r>
      <w:r>
        <w:t xml:space="preserve">US Patent Application US20120225635A1, “Method and Apparatus to Take Emergency Actions When a Device Is Shaken Rapidly by Its User.”</w:t>
      </w:r>
    </w:p>
    <w:p>
      <w:pPr>
        <w:spacing w:after="90" w:line="280"/>
        <w:ind w:left="450" w:hanging="450"/>
      </w:pPr>
      <w:r>
        <w:rPr>
          <w:b/>
          <w:bCs/>
        </w:rPr>
        <w:t xml:space="preserve">[7] </w:t>
      </w:r>
      <w:r>
        <w:t xml:space="preserve">US Patent Application US20120302200A1, “Method and Apparatus to Take Emergency Actions by a Portable Device.”</w:t>
      </w:r>
    </w:p>
    <w:p>
      <w:pPr>
        <w:spacing w:after="90" w:line="280"/>
        <w:ind w:left="450" w:hanging="450"/>
      </w:pPr>
      <w:r>
        <w:rPr>
          <w:b/>
          <w:bCs/>
        </w:rPr>
        <w:t xml:space="preserve">[8] </w:t>
      </w:r>
      <w:r>
        <w:t xml:space="preserve">CN Patent Application CN106231116A, urgent-help system based on intelligent-terminal shaking and acceleration thresholds.</w:t>
      </w:r>
    </w:p>
    <w:p>
      <w:pPr>
        <w:spacing w:after="90" w:line="280"/>
        <w:ind w:left="450" w:hanging="450"/>
      </w:pPr>
      <w:r>
        <w:rPr>
          <w:b/>
          <w:bCs/>
        </w:rPr>
        <w:t xml:space="preserve">[9] </w:t>
      </w:r>
      <w:r>
        <w:t xml:space="preserve">CN Patent Application CN104320543A, gyroscope-based shaking recognition and help-seeking call system.</w:t>
      </w:r>
    </w:p>
    <w:p>
      <w:pPr>
        <w:spacing w:after="90" w:line="280"/>
        <w:ind w:left="450" w:hanging="450"/>
      </w:pPr>
      <w:r>
        <w:rPr>
          <w:b/>
          <w:bCs/>
        </w:rPr>
        <w:t xml:space="preserve">[10] </w:t>
      </w:r>
      <w:r>
        <w:t xml:space="preserve">WO Patent Application WO2014010815A1, danger detection/notification using shaking or impact with a grace controller.</w:t>
      </w:r>
    </w:p>
    <w:p>
      <w:pPr>
        <w:spacing w:after="90" w:line="280"/>
        <w:ind w:left="450" w:hanging="450"/>
      </w:pPr>
      <w:r>
        <w:rPr>
          <w:b/>
          <w:bCs/>
        </w:rPr>
        <w:t xml:space="preserve">[11] </w:t>
      </w:r>
      <w:r>
        <w:t xml:space="preserve">W. T. D'souza et al., “Human Activity Recognition Using Accelerometer and Gyroscope Sensors,” International Journal of Engineering and Technology (IJET), 2017. Available: https://www.researchgate.net/publication/318343502</w:t>
      </w:r>
    </w:p>
    <w:p>
      <w:pPr>
        <w:spacing w:after="90" w:line="280"/>
        <w:ind w:left="450" w:hanging="450"/>
      </w:pPr>
      <w:r>
        <w:rPr>
          <w:b/>
          <w:bCs/>
        </w:rPr>
        <w:t xml:space="preserve">[12] </w:t>
      </w:r>
      <w:r>
        <w:t xml:space="preserve">“Evaluation of IoT based smart safety systems for women and children using machine learning techniques,” Scientific Reports, 2025. Available: https://www.nature.com/articles/s41598-025-29146-4</w:t>
      </w:r>
    </w:p>
    <w:p>
      <w:pPr>
        <w:spacing w:after="90" w:line="280"/>
        <w:ind w:left="450" w:hanging="450"/>
      </w:pPr>
      <w:r>
        <w:rPr>
          <w:b/>
          <w:bCs/>
        </w:rPr>
        <w:t xml:space="preserve">[13] </w:t>
      </w:r>
      <w:r>
        <w:t xml:space="preserve">“Sindoor Kavach: An AI Powered Multi Factor Threat Detection System for Women's Safety,” IJERT, 2026. Available: https://www.ijert.org/sindoor-kavach-an-ai-powered-multi-factor-threat-detection-system-for-women-s-safety-ijertv15is042396</w:t>
      </w:r>
    </w:p>
    <w:p>
      <w:pPr>
        <w:spacing w:after="90" w:line="280"/>
        <w:ind w:left="450" w:hanging="450"/>
      </w:pPr>
      <w:r>
        <w:rPr>
          <w:b/>
          <w:bCs/>
        </w:rPr>
        <w:t xml:space="preserve">[14] </w:t>
      </w:r>
      <w:r>
        <w:t xml:space="preserve">“The Impact of the Accelerometer Sampling Rate on the Performance of Machine and Deep Learning Models in Wearable Fall-Detection Systems,” Sensors, 2025. DOI: 10.3390/s26010162</w:t>
      </w:r>
    </w:p>
    <w:p>
      <w:pPr>
        <w:spacing w:after="90" w:line="280"/>
        <w:ind w:left="450" w:hanging="450"/>
      </w:pPr>
      <w:r>
        <w:rPr>
          <w:b/>
          <w:bCs/>
        </w:rPr>
        <w:t xml:space="preserve">[15] </w:t>
      </w:r>
      <w:r>
        <w:t xml:space="preserve">“Accelerometer-Based Fall Detection Using Machine Learning: Training and Testing on Real-World Falls,” PMC, 2020. Available: https://www.ncbi.nlm.nih.gov/pmc/articles/PMC7697900/</w:t>
      </w:r>
    </w:p>
    <w:p>
      <w:pPr>
        <w:spacing w:after="90" w:line="280"/>
        <w:ind w:left="450" w:hanging="450"/>
      </w:pPr>
      <w:r>
        <w:rPr>
          <w:b/>
          <w:bCs/>
        </w:rPr>
        <w:t xml:space="preserve">[16] </w:t>
      </w:r>
      <w:r>
        <w:t xml:space="preserve">“Validation of accuracy of SVM-based fall detection system using real-world fall and non-fall datasets,” PLOS ONE, 2017. Available: https://journals.plos.org/plosone/article?id=10.1371/journal.pone.0180318</w:t>
      </w:r>
    </w:p>
    <w:p>
      <w:pPr>
        <w:spacing w:after="90" w:line="280"/>
        <w:ind w:left="450" w:hanging="450"/>
      </w:pPr>
      <w:r>
        <w:rPr>
          <w:b/>
          <w:bCs/>
        </w:rPr>
        <w:t xml:space="preserve">[17] </w:t>
      </w:r>
      <w:r>
        <w:t xml:space="preserve">“An Event-Triggered Machine Learning Approach for Accelerometer-Based Fall Detection,” PMC. Available: https://pmc.ncbi.nlm.nih.gov/articles/PMC5795925/</w:t>
      </w:r>
    </w:p>
    <w:p>
      <w:pPr>
        <w:spacing w:after="90" w:line="280"/>
        <w:ind w:left="450" w:hanging="450"/>
      </w:pPr>
      <w:r>
        <w:rPr>
          <w:b/>
          <w:bCs/>
        </w:rPr>
        <w:t xml:space="preserve">[18] </w:t>
      </w:r>
      <w:r>
        <w:t xml:space="preserve">“Machine Learning and Feature Ranking for Impact Fall Detection Event Using Multisensor Data,” arXiv, 2025. Available: https://arxiv.org/html/2401.05407v2</w:t>
      </w:r>
    </w:p>
    <w:p>
      <w:pPr>
        <w:spacing w:after="90" w:line="280"/>
        <w:ind w:left="450" w:hanging="450"/>
      </w:pPr>
      <w:r>
        <w:rPr>
          <w:b/>
          <w:bCs/>
        </w:rPr>
        <w:t xml:space="preserve">[19] </w:t>
      </w:r>
      <w:r>
        <w:t xml:space="preserve">“Intelligent Woman Safety App with Machine Learning Based Risk Prediction and Offline Rescue Data Communication,” Springer Nature Link, 2025. Available: https://link.springer.com/chapter/10.1007/978-3-032-23547-3_33</w:t>
      </w:r>
    </w:p>
    <w:p>
      <w:pPr>
        <w:spacing w:after="90" w:line="280"/>
        <w:ind w:left="450" w:hanging="450"/>
      </w:pPr>
      <w:r>
        <w:rPr>
          <w:b/>
          <w:bCs/>
        </w:rPr>
        <w:t xml:space="preserve">[20] </w:t>
      </w:r>
      <w:r>
        <w:t xml:space="preserve">Muskan, T. Khandelwal, M. Khandelwal, P. S. Pandey, “Women Safety Device Designed Using IoT and Machine Learning,” 2018 IEEE SmartWorld, Ubiquitous Intelligence &amp; Computing. Available: https://ieeexplore.ieee.org/document/8560188/</w:t>
      </w:r>
    </w:p>
    <w:p>
      <w:pPr>
        <w:spacing w:after="90" w:line="280"/>
        <w:ind w:left="450" w:hanging="450"/>
      </w:pPr>
      <w:r>
        <w:rPr>
          <w:b/>
          <w:bCs/>
        </w:rPr>
        <w:t xml:space="preserve">[21] </w:t>
      </w:r>
      <w:r>
        <w:t xml:space="preserve">“The Role of IoT in Woman's Safety: A Systematic Literature Review,” IEEE Access, 2023. Available: https://ieeexplore.ieee.org/document/10058949/</w:t>
      </w:r>
    </w:p>
    <w:p>
      <w:pPr>
        <w:spacing w:after="90" w:line="280"/>
        <w:ind w:left="450" w:hanging="450"/>
      </w:pPr>
      <w:r>
        <w:rPr>
          <w:b/>
          <w:bCs/>
        </w:rPr>
        <w:t xml:space="preserve">[22] </w:t>
      </w:r>
      <w:r>
        <w:t xml:space="preserve">“AI and IoT based Mobile Application for Women Safety,” IEEE Conference Publication. Available: https://ieeexplore.ieee.org/document/11011614/</w:t>
      </w:r>
    </w:p>
    <w:p>
      <w:pPr>
        <w:spacing w:after="90" w:line="280"/>
        <w:ind w:left="450" w:hanging="450"/>
      </w:pPr>
      <w:r>
        <w:rPr>
          <w:b/>
          <w:bCs/>
        </w:rPr>
        <w:t xml:space="preserve">[23] </w:t>
      </w:r>
      <w:r>
        <w:t xml:space="preserve">“Wearable Women Safety Device Using IoT And Machine Learning,” International Journal of Scientific Research in Computer Science, Engineering and Information Technology (IJSRCSEIT). Available: https://ijsrcseit.com/CSEIT218214</w:t>
      </w:r>
    </w:p>
    <w:p>
      <w:pPr>
        <w:spacing w:after="90" w:line="280"/>
        <w:ind w:left="450" w:hanging="450"/>
      </w:pPr>
      <w:r>
        <w:rPr>
          <w:b/>
          <w:bCs/>
        </w:rPr>
        <w:t xml:space="preserve">[24] </w:t>
      </w:r>
      <w:r>
        <w:t xml:space="preserve">J. Lee, N. Chirkov, E. Ignasheva, Y. Pisarchyk, M. Shieh, F. Riccardi, R. Sorokin, A. Kulik, M. Grundmann, “On-Device Neural Net Inference with Mobile GPUs,” arXiv:1907.01989, Google Research, 2019. Available: https://arxiv.org/abs/1907.01989</w:t>
      </w:r>
    </w:p>
    <w:p>
      <w:pPr>
        <w:spacing w:after="90" w:line="280"/>
        <w:ind w:left="450" w:hanging="450"/>
      </w:pPr>
      <w:r>
        <w:rPr>
          <w:b/>
          <w:bCs/>
        </w:rPr>
        <w:t xml:space="preserve">[25] </w:t>
      </w:r>
      <w:r>
        <w:t xml:space="preserve">V. Koneni, “Microservices Architectures Using Spring Boot: Embracing Containerization and Observability,” International Research Journal of Engineering and Technology (IRJET), vol. 11, no. 7, July 2024.</w:t>
      </w:r>
    </w:p>
    <w:p>
      <w:pPr>
        <w:spacing w:after="90" w:line="280"/>
        <w:ind w:left="450" w:hanging="450"/>
      </w:pPr>
      <w:r>
        <w:rPr>
          <w:b/>
          <w:bCs/>
        </w:rPr>
        <w:t xml:space="preserve">[26] </w:t>
      </w:r>
      <w:r>
        <w:t xml:space="preserve">B. Oluwalade, S. Neela, J. Wawira, T. Adejumo, S. Purkayastha, “Human Activity Recognition using Deep Learning Models on Smartphones and Smartwatches Sensor Data,” arXiv:2103.03836, 2021. Available: https://arxiv.org/pdf/2103.03836</w:t>
      </w:r>
    </w:p>
    <w:p>
      <w:pPr>
        <w:spacing w:after="90" w:line="280"/>
        <w:ind w:left="450" w:hanging="450"/>
      </w:pPr>
      <w:r>
        <w:rPr>
          <w:b/>
          <w:bCs/>
        </w:rPr>
        <w:t xml:space="preserve">[27] </w:t>
      </w:r>
      <w:r>
        <w:t xml:space="preserve">“Recognition of Human Activities by Smartphone Sensors Using LSTM Neural Network,” Proceedings of ICAITA, 2018. DOI: 10.2991/icaita-18.2018.10</w:t>
      </w:r>
    </w:p>
    <w:p>
      <w:pPr>
        <w:spacing w:after="90" w:line="280"/>
        <w:ind w:left="450" w:hanging="450"/>
      </w:pPr>
      <w:r>
        <w:rPr>
          <w:b/>
          <w:bCs/>
        </w:rPr>
        <w:t xml:space="preserve">[28] </w:t>
      </w:r>
      <w:r>
        <w:t xml:space="preserve">D. Thakur, S. Biswas, E. S. L. Ho, S. Chattopadhyay, “ConvAE-LSTM: Convolutional Autoencoder Long Short-Term Memory Network for Smartphone-Based Human Activity Recognition,” IEEE Access, vol. 10, pp. 4137–4156, 2022. DOI: 10.1109/ACCESS.2022.3140373</w:t>
      </w:r>
    </w:p>
    <w:p>
      <w:pPr>
        <w:spacing w:after="90" w:line="280"/>
        <w:ind w:left="450" w:hanging="450"/>
      </w:pPr>
      <w:r>
        <w:rPr>
          <w:b/>
          <w:bCs/>
        </w:rPr>
        <w:t xml:space="preserve">[29] </w:t>
      </w:r>
      <w:r>
        <w:t xml:space="preserve">“Evaluation of IoT based smart safety systems for women and children using machine learning techniques” [related commentary on smartphone-based monitoring for IPV survivors], PMC, 2025. Available: https://pmc.ncbi.nlm.nih.gov/articles/PMC12764881/</w:t>
      </w:r>
    </w:p>
    <w:p>
      <w:pPr>
        <w:spacing w:after="90" w:line="280"/>
        <w:ind w:left="450" w:hanging="450"/>
      </w:pPr>
      <w:r>
        <w:rPr>
          <w:b/>
          <w:bCs/>
        </w:rPr>
        <w:t xml:space="preserve">[30] </w:t>
      </w:r>
      <w:r>
        <w:t xml:space="preserve">“Building Scalable Spring Boot Microservices on AWS and Kubernetes,” CloudThat, 2025. Available: https://www.cloudthat.com/resources/blog/building-scalable-spring-boot-microservices-on-aws-and-kubernetes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2026-09-23T06:55:58.028Z</dcterms:created>
  <dcterms:modified xsi:type="dcterms:W3CDTF">2026-09-23T06:55:58.037Z</dcterms:modified>
</cp:coreProperties>
</file>

<file path=docProps/custom.xml><?xml version="1.0" encoding="utf-8"?>
<Properties xmlns="http://schemas.openxmlformats.org/officeDocument/2006/custom-properties" xmlns:vt="http://schemas.openxmlformats.org/officeDocument/2006/docPropsVTypes"/>
</file>