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2.png" ContentType="image/png"/>
  <Override PartName="/word/media/rId2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Same Model, Different Evaluation Population</w:t>
      </w:r>
    </w:p>
    <w:p>
      <w:pPr>
        <w:pStyle w:val="Subtitle"/>
      </w:pPr>
      <w:r>
        <w:t xml:space="preserve">A WILDS-inspired laboratory using Civil Comments toxicity data</w:t>
      </w:r>
    </w:p>
    <w:p>
      <w:pPr>
        <w:pStyle w:val="Author"/>
      </w:pPr>
      <w:r>
        <w:t xml:space="preserve">Parminder Singh</w:t>
      </w:r>
    </w:p>
    <w:p>
      <w:pPr>
        <w:pStyle w:val="Date"/>
      </w:pPr>
      <w:r>
        <w:t xml:space="preserve">2026-10-25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laboratory-question"/>
    <w:p>
      <w:pPr>
        <w:pStyle w:val="Heading1"/>
      </w:pPr>
      <w:r>
        <w:t xml:space="preserve">1. Laboratory Question</w:t>
      </w:r>
    </w:p>
    <w:p>
      <w:pPr>
        <w:pStyle w:val="BlockText"/>
      </w:pPr>
      <w:r>
        <w:t xml:space="preserve">What happens to our conclusions when the model stays largely the same but the evaluation environment changes?</w:t>
      </w:r>
    </w:p>
    <w:bookmarkStart w:id="9" w:name="why-this-laboratory"/>
    <w:p>
      <w:pPr>
        <w:pStyle w:val="Heading2"/>
      </w:pPr>
      <w:r>
        <w:t xml:space="preserve">1.1 Why This Laboratory?</w:t>
      </w:r>
    </w:p>
    <w:p>
      <w:pPr>
        <w:pStyle w:val="FirstParagraph"/>
      </w:pPr>
      <w:r>
        <w:t xml:space="preserve">Performance on held-out observations from familiar conditions does not establish performance in every new population, institution, place, or time period. WILDS studies naturally occurring distribution shifts and motivates evaluating systems beyond a single average test score. This laboratory adopts that reasoning without attempting to reproduce the full benchmark</w:t>
      </w:r>
      <w:r>
        <w:t xml:space="preserve"> </w:t>
      </w:r>
      <w:r>
        <w:t xml:space="preserve">(</w:t>
      </w:r>
      <w:hyperlink w:anchor="ref-kohWILDSBenchmarkIntheWild2021">
        <w:r>
          <w:rPr>
            <w:rStyle w:val="Hyperlink"/>
          </w:rPr>
          <w:t xml:space="preserve">Koh et al., 2021</w:t>
        </w:r>
      </w:hyperlink>
      <w:r>
        <w:t xml:space="preserve">)</w:t>
      </w:r>
      <w:r>
        <w:t xml:space="preserve">.</w:t>
      </w:r>
    </w:p>
    <w:bookmarkEnd w:id="9"/>
    <w:bookmarkStart w:id="10" w:name="connect-the-lab-to-wilds"/>
    <w:p>
      <w:pPr>
        <w:pStyle w:val="Heading2"/>
      </w:pPr>
      <w:r>
        <w:t xml:space="preserve">1.2 Connect the Lab to WILDS</w:t>
      </w:r>
    </w:p>
    <w:p>
      <w:pPr>
        <w:pStyle w:val="FirstParagraph"/>
      </w:pPr>
      <w:r>
        <w:t xml:space="preserve">CivilComments-WILDS concerns binary toxicity prediction from comment text and includes identity-mention metadata. Its official evaluation emphasizes performance on identity-by-label groups. Here, the local dataset was prepared from Kaggle Jigsaw/Civil Comments records using processing scripts; its equivalence to the official release has not been independently verified. The actual source CSV is identified by checksum in the reproducibility section</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ref-jigsawJigsawUnintendedBias2019">
        <w:r>
          <w:rPr>
            <w:rStyle w:val="Hyperlink"/>
          </w:rPr>
          <w:t xml:space="preserve">Jigsaw, 2019</w:t>
        </w:r>
      </w:hyperlink>
      <w:r>
        <w:t xml:space="preserve">;</w:t>
      </w:r>
      <w:r>
        <w:t xml:space="preserve"> </w:t>
      </w:r>
      <w:hyperlink w:anchor="ref-kohWILDSBenchmarkIntheWild2021">
        <w:r>
          <w:rPr>
            <w:rStyle w:val="Hyperlink"/>
          </w:rPr>
          <w:t xml:space="preserve">Koh et al., 2021</w:t>
        </w:r>
      </w:hyperlink>
      <w:r>
        <w:t xml:space="preserve">;</w:t>
      </w:r>
      <w:r>
        <w:t xml:space="preserve"> </w:t>
      </w:r>
      <w:hyperlink w:anchor="X3cb78d5960ddbe40797b50f5e5349dbcc9a3af6">
        <w:r>
          <w:rPr>
            <w:rStyle w:val="Hyperlink"/>
          </w:rPr>
          <w:t xml:space="preserve">WILDS contributors, n.d.</w:t>
        </w:r>
      </w:hyperlink>
      <w:r>
        <w:t xml:space="preserve">)</w:t>
      </w:r>
      <w:r>
        <w:t xml:space="preserve">.</w:t>
      </w:r>
    </w:p>
    <w:p>
      <w:pPr>
        <w:pStyle w:val="BodyText"/>
      </w:pPr>
      <w:r>
        <w:t xml:space="preserve">The experiment holds the predictive task, feature pipeline, fitted classifier, and decision threshold constant while changing the identity-mention composition of the evaluation population. This is a custom selection over real comments, not an official leaderboard reproduction and not a claim about a new hospital, platform, or calendar period. The comparison is observational, not a randomized treatment</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ref-kohWILDSBenchmarkIntheWild2021">
        <w:r>
          <w:rPr>
            <w:rStyle w:val="Hyperlink"/>
          </w:rPr>
          <w:t xml:space="preserve">Koh et al., 2021</w:t>
        </w:r>
      </w:hyperlink>
      <w:r>
        <w:t xml:space="preserve">)</w:t>
      </w:r>
      <w:r>
        <w:t xml:space="preserve">.</w:t>
      </w:r>
    </w:p>
    <w:bookmarkEnd w:id="10"/>
    <w:bookmarkStart w:id="11" w:name="learning-objectives"/>
    <w:p>
      <w:pPr>
        <w:pStyle w:val="Heading2"/>
      </w:pPr>
      <w:r>
        <w:t xml:space="preserve">1.3 Learning Objectives</w:t>
      </w:r>
    </w:p>
    <w:p>
      <w:pPr>
        <w:pStyle w:val="FirstParagraph"/>
      </w:pPr>
      <w:r>
        <w:t xml:space="preserve">The goal is to assess what changes in the evidence when evaluation conditions change, not to optimize a benchmark score. The objectives are to distinguish ID from shifted evaluation, separate average performance from local failures, examine probability errors, diagnose before modifying a model, and make a judgment whose scope matches the evidence</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ref-kohWILDSBenchmarkIntheWild2021">
        <w:r>
          <w:rPr>
            <w:rStyle w:val="Hyperlink"/>
          </w:rPr>
          <w:t xml:space="preserve">Koh et al., 2021</w:t>
        </w:r>
      </w:hyperlink>
      <w:r>
        <w:t xml:space="preserve">)</w:t>
      </w:r>
      <w:r>
        <w:t xml:space="preserve">.</w:t>
      </w:r>
    </w:p>
    <w:bookmarkEnd w:id="11"/>
    <w:bookmarkEnd w:id="12"/>
    <w:bookmarkStart w:id="15" w:name="inspect-the-data"/>
    <w:p>
      <w:pPr>
        <w:pStyle w:val="Heading1"/>
      </w:pPr>
      <w:r>
        <w:t xml:space="preserve">2. Inspect the Data</w:t>
      </w:r>
    </w:p>
    <w:bookmarkStart w:id="13" w:name="X944b4687f81c738668f8a8b0111a54ebbc2741e"/>
    <w:p>
      <w:pPr>
        <w:pStyle w:val="Heading2"/>
      </w:pPr>
      <w:r>
        <w:t xml:space="preserve">2.1 Prediction target, predictors, and metadata</w:t>
      </w:r>
    </w:p>
    <w:p>
      <w:pPr>
        <w:pStyle w:val="FirstParagraph"/>
      </w:pPr>
      <w:r>
        <w:t xml:space="preserve">The predictor is</w:t>
      </w:r>
      <w:r>
        <w:t xml:space="preserve"> </w:t>
      </w:r>
      <w:r>
        <w:rPr>
          <w:rStyle w:val="VerbatimChar"/>
        </w:rPr>
        <w:t xml:space="preserve">comment_text</w:t>
      </w:r>
      <w:r>
        <w:t xml:space="preserve">. The binary outcome is</w:t>
      </w:r>
      <w:r>
        <w:t xml:space="preserve"> </w:t>
      </w:r>
      <w:r>
        <w:rPr>
          <w:rStyle w:val="VerbatimChar"/>
        </w:rPr>
        <w:t xml:space="preserve">toxicity &gt;= 0.5</w:t>
      </w:r>
      <w:r>
        <w:t xml:space="preserve">; its source annotation score lies between zero and one. A mean annotation score is not the same quantity as binary toxicity prevalence. The selected metadata fields are male, female, LGBTQ, Christian, Muslim, other religions, Black, and White. Identity annotations describe mentions in text, not the author’s demographic identity. IDs, article IDs, and identity metadata are used for auditing, grouping, and analysis—not as classifier inputs</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ref-jigsawJigsawUnintendedBias2019">
        <w:r>
          <w:rPr>
            <w:rStyle w:val="Hyperlink"/>
          </w:rPr>
          <w:t xml:space="preserve">Jigsaw, 2019</w:t>
        </w:r>
      </w:hyperlink>
      <w:r>
        <w:t xml:space="preserve">;</w:t>
      </w:r>
      <w:r>
        <w:t xml:space="preserve"> </w:t>
      </w:r>
      <w:hyperlink w:anchor="X3cb78d5960ddbe40797b50f5e5349dbcc9a3af6">
        <w:r>
          <w:rPr>
            <w:rStyle w:val="Hyperlink"/>
          </w:rPr>
          <w:t xml:space="preserve">WILDS contributors, n.d.</w:t>
        </w:r>
      </w:hyperlink>
      <w:r>
        <w:t xml:space="preserve">)</w:t>
      </w:r>
      <w:r>
        <w:t xml:space="preserve">.</w:t>
      </w:r>
    </w:p>
    <w:p>
      <w:pPr>
        <w:pStyle w:val="BodyText"/>
      </w:pPr>
      <w:r>
        <w:t xml:space="preserve">The source CSV contains 448,000 records. The preparation excluded 2 records with missing or whitespace-only text. The supplied split counts below precede these exclusions. Source: this laboratory’s saved inspection outputs</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split</w:t>
            </w:r>
          </w:p>
        </w:tc>
        <w:tc>
          <w:tcPr/>
          <w:p>
            <w:pPr>
              <w:pStyle w:val="Compact"/>
              <w:jc w:val="right"/>
            </w:pPr>
            <w:r>
              <w:t xml:space="preserve">n</w:t>
            </w:r>
          </w:p>
        </w:tc>
      </w:tr>
      <w:tr>
        <w:tc>
          <w:tcPr/>
          <w:p>
            <w:pPr>
              <w:pStyle w:val="Compact"/>
              <w:jc w:val="left"/>
            </w:pPr>
            <w:r>
              <w:t xml:space="preserve">train</w:t>
            </w:r>
          </w:p>
        </w:tc>
        <w:tc>
          <w:tcPr/>
          <w:p>
            <w:pPr>
              <w:pStyle w:val="Compact"/>
              <w:jc w:val="right"/>
            </w:pPr>
            <w:r>
              <w:t xml:space="preserve">269038</w:t>
            </w:r>
          </w:p>
        </w:tc>
      </w:tr>
      <w:tr>
        <w:tc>
          <w:tcPr/>
          <w:p>
            <w:pPr>
              <w:pStyle w:val="Compact"/>
              <w:jc w:val="left"/>
            </w:pPr>
            <w:r>
              <w:t xml:space="preserve">test</w:t>
            </w:r>
          </w:p>
        </w:tc>
        <w:tc>
          <w:tcPr/>
          <w:p>
            <w:pPr>
              <w:pStyle w:val="Compact"/>
              <w:jc w:val="right"/>
            </w:pPr>
            <w:r>
              <w:t xml:space="preserve">133782</w:t>
            </w:r>
          </w:p>
        </w:tc>
      </w:tr>
      <w:tr>
        <w:tc>
          <w:tcPr/>
          <w:p>
            <w:pPr>
              <w:pStyle w:val="Compact"/>
              <w:jc w:val="left"/>
            </w:pPr>
            <w:r>
              <w:t xml:space="preserve">val</w:t>
            </w:r>
          </w:p>
        </w:tc>
        <w:tc>
          <w:tcPr/>
          <w:p>
            <w:pPr>
              <w:pStyle w:val="Compact"/>
              <w:jc w:val="right"/>
            </w:pPr>
            <w:r>
              <w:t xml:space="preserve">45180</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source_row</w:t>
            </w:r>
          </w:p>
        </w:tc>
        <w:tc>
          <w:tcPr/>
          <w:p>
            <w:pPr>
              <w:pStyle w:val="Compact"/>
              <w:jc w:val="right"/>
            </w:pPr>
            <w:r>
              <w:t xml:space="preserve">id</w:t>
            </w:r>
          </w:p>
        </w:tc>
        <w:tc>
          <w:tcPr/>
          <w:p>
            <w:pPr>
              <w:pStyle w:val="Compact"/>
              <w:jc w:val="left"/>
            </w:pPr>
            <w:r>
              <w:t xml:space="preserve">split</w:t>
            </w:r>
          </w:p>
        </w:tc>
      </w:tr>
      <w:tr>
        <w:tc>
          <w:tcPr/>
          <w:p>
            <w:pPr>
              <w:pStyle w:val="Compact"/>
              <w:jc w:val="right"/>
            </w:pPr>
            <w:r>
              <w:t xml:space="preserve">235182</w:t>
            </w:r>
          </w:p>
        </w:tc>
        <w:tc>
          <w:tcPr/>
          <w:p>
            <w:pPr>
              <w:pStyle w:val="Compact"/>
              <w:jc w:val="right"/>
            </w:pPr>
            <w:r>
              <w:t xml:space="preserve">5971919</w:t>
            </w:r>
          </w:p>
        </w:tc>
        <w:tc>
          <w:tcPr/>
          <w:p>
            <w:pPr>
              <w:pStyle w:val="Compact"/>
              <w:jc w:val="left"/>
            </w:pPr>
            <w:r>
              <w:t xml:space="preserve">train</w:t>
            </w:r>
          </w:p>
        </w:tc>
      </w:tr>
      <w:tr>
        <w:tc>
          <w:tcPr/>
          <w:p>
            <w:pPr>
              <w:pStyle w:val="Compact"/>
              <w:jc w:val="right"/>
            </w:pPr>
            <w:r>
              <w:t xml:space="preserve">245642</w:t>
            </w:r>
          </w:p>
        </w:tc>
        <w:tc>
          <w:tcPr/>
          <w:p>
            <w:pPr>
              <w:pStyle w:val="Compact"/>
              <w:jc w:val="right"/>
            </w:pPr>
            <w:r>
              <w:t xml:space="preserve">5353666</w:t>
            </w:r>
          </w:p>
        </w:tc>
        <w:tc>
          <w:tcPr/>
          <w:p>
            <w:pPr>
              <w:pStyle w:val="Compact"/>
              <w:jc w:val="left"/>
            </w:pPr>
            <w:r>
              <w:t xml:space="preserve">test</w:t>
            </w:r>
          </w:p>
        </w:tc>
      </w:tr>
    </w:tbl>
    <w:bookmarkEnd w:id="13"/>
    <w:bookmarkStart w:id="14" w:name="contamination-checks-and-repeated-text"/>
    <w:p>
      <w:pPr>
        <w:pStyle w:val="Heading2"/>
      </w:pPr>
      <w:r>
        <w:t xml:space="preserve">2.2 Contamination checks and repeated text</w:t>
      </w:r>
    </w:p>
    <w:p>
      <w:pPr>
        <w:pStyle w:val="FirstParagraph"/>
      </w:pPr>
      <w:r>
        <w:t xml:space="preserve">The audit checks comment IDs, article IDs, and lowercase/whitespace-normalized text. No shared comment IDs or development-to-test article overlap were found in the completed run. Repeated text did occur within and across partitions. The cleaning rule excludes every occurrence of repeated normalized text among the four planned analysis partitions, rather than retaining an arbitrary first copy. This conservative rule changes the evaluated population; it does not establish that repeated comments are invalid, remove paraphrases, or establish independence</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partition</w:t>
            </w:r>
          </w:p>
        </w:tc>
        <w:tc>
          <w:tcPr/>
          <w:p>
            <w:pPr>
              <w:pStyle w:val="Compact"/>
              <w:jc w:val="right"/>
            </w:pPr>
            <w:r>
              <w:t xml:space="preserve">rows_before</w:t>
            </w:r>
          </w:p>
        </w:tc>
        <w:tc>
          <w:tcPr/>
          <w:p>
            <w:pPr>
              <w:pStyle w:val="Compact"/>
              <w:jc w:val="right"/>
            </w:pPr>
            <w:r>
              <w:t xml:space="preserve">rows_removed</w:t>
            </w:r>
          </w:p>
        </w:tc>
        <w:tc>
          <w:tcPr/>
          <w:p>
            <w:pPr>
              <w:pStyle w:val="Compact"/>
              <w:jc w:val="right"/>
            </w:pPr>
            <w:r>
              <w:t xml:space="preserve">rows_after</w:t>
            </w:r>
          </w:p>
        </w:tc>
      </w:tr>
      <w:tr>
        <w:tc>
          <w:tcPr/>
          <w:p>
            <w:pPr>
              <w:pStyle w:val="Compact"/>
              <w:jc w:val="left"/>
            </w:pPr>
            <w:r>
              <w:t xml:space="preserve">train</w:t>
            </w:r>
          </w:p>
        </w:tc>
        <w:tc>
          <w:tcPr/>
          <w:p>
            <w:pPr>
              <w:pStyle w:val="Compact"/>
              <w:jc w:val="right"/>
            </w:pPr>
            <w:r>
              <w:t xml:space="preserve">160916</w:t>
            </w:r>
          </w:p>
        </w:tc>
        <w:tc>
          <w:tcPr/>
          <w:p>
            <w:pPr>
              <w:pStyle w:val="Compact"/>
              <w:jc w:val="right"/>
            </w:pPr>
            <w:r>
              <w:t xml:space="preserve">1759</w:t>
            </w:r>
          </w:p>
        </w:tc>
        <w:tc>
          <w:tcPr/>
          <w:p>
            <w:pPr>
              <w:pStyle w:val="Compact"/>
              <w:jc w:val="right"/>
            </w:pPr>
            <w:r>
              <w:t xml:space="preserve">159157</w:t>
            </w:r>
          </w:p>
        </w:tc>
      </w:tr>
      <w:tr>
        <w:tc>
          <w:tcPr/>
          <w:p>
            <w:pPr>
              <w:pStyle w:val="Compact"/>
              <w:jc w:val="left"/>
            </w:pPr>
            <w:r>
              <w:t xml:space="preserve">validation</w:t>
            </w:r>
          </w:p>
        </w:tc>
        <w:tc>
          <w:tcPr/>
          <w:p>
            <w:pPr>
              <w:pStyle w:val="Compact"/>
              <w:jc w:val="right"/>
            </w:pPr>
            <w:r>
              <w:t xml:space="preserve">27270</w:t>
            </w:r>
          </w:p>
        </w:tc>
        <w:tc>
          <w:tcPr/>
          <w:p>
            <w:pPr>
              <w:pStyle w:val="Compact"/>
              <w:jc w:val="right"/>
            </w:pPr>
            <w:r>
              <w:t xml:space="preserve">288</w:t>
            </w:r>
          </w:p>
        </w:tc>
        <w:tc>
          <w:tcPr/>
          <w:p>
            <w:pPr>
              <w:pStyle w:val="Compact"/>
              <w:jc w:val="right"/>
            </w:pPr>
            <w:r>
              <w:t xml:space="preserve">26982</w:t>
            </w:r>
          </w:p>
        </w:tc>
      </w:tr>
      <w:tr>
        <w:tc>
          <w:tcPr/>
          <w:p>
            <w:pPr>
              <w:pStyle w:val="Compact"/>
              <w:jc w:val="left"/>
            </w:pPr>
            <w:r>
              <w:t xml:space="preserve">ID_test</w:t>
            </w:r>
          </w:p>
        </w:tc>
        <w:tc>
          <w:tcPr/>
          <w:p>
            <w:pPr>
              <w:pStyle w:val="Compact"/>
              <w:jc w:val="right"/>
            </w:pPr>
            <w:r>
              <w:t xml:space="preserve">81234</w:t>
            </w:r>
          </w:p>
        </w:tc>
        <w:tc>
          <w:tcPr/>
          <w:p>
            <w:pPr>
              <w:pStyle w:val="Compact"/>
              <w:jc w:val="right"/>
            </w:pPr>
            <w:r>
              <w:t xml:space="preserve">874</w:t>
            </w:r>
          </w:p>
        </w:tc>
        <w:tc>
          <w:tcPr/>
          <w:p>
            <w:pPr>
              <w:pStyle w:val="Compact"/>
              <w:jc w:val="right"/>
            </w:pPr>
            <w:r>
              <w:t xml:space="preserve">80360</w:t>
            </w:r>
          </w:p>
        </w:tc>
      </w:tr>
      <w:tr>
        <w:tc>
          <w:tcPr/>
          <w:p>
            <w:pPr>
              <w:pStyle w:val="Compact"/>
              <w:jc w:val="left"/>
            </w:pPr>
            <w:r>
              <w:t xml:space="preserve">shifted_test</w:t>
            </w:r>
          </w:p>
        </w:tc>
        <w:tc>
          <w:tcPr/>
          <w:p>
            <w:pPr>
              <w:pStyle w:val="Compact"/>
              <w:jc w:val="right"/>
            </w:pPr>
            <w:r>
              <w:t xml:space="preserve">52547</w:t>
            </w:r>
          </w:p>
        </w:tc>
        <w:tc>
          <w:tcPr/>
          <w:p>
            <w:pPr>
              <w:pStyle w:val="Compact"/>
              <w:jc w:val="right"/>
            </w:pPr>
            <w:r>
              <w:t xml:space="preserve">646</w:t>
            </w:r>
          </w:p>
        </w:tc>
        <w:tc>
          <w:tcPr/>
          <w:p>
            <w:pPr>
              <w:pStyle w:val="Compact"/>
              <w:jc w:val="right"/>
            </w:pPr>
            <w:r>
              <w:t xml:space="preserve">51901</w:t>
            </w:r>
          </w:p>
        </w:tc>
      </w:tr>
    </w:tbl>
    <w:p>
      <w:pPr>
        <w:pStyle w:val="BodyText"/>
      </w:pPr>
      <w:r>
        <w:t xml:space="preserve">The rule removes 3,567 records from the planned partitions. Retained record identifiers and excluded record identifiers are saved separately for audit. Source: original analysis outputs</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bookmarkEnd w:id="14"/>
    <w:bookmarkEnd w:id="15"/>
    <w:bookmarkStart w:id="17" w:name="define-two-evaluation-conditions"/>
    <w:p>
      <w:pPr>
        <w:pStyle w:val="Heading1"/>
      </w:pPr>
      <w:r>
        <w:t xml:space="preserve">3. Define Two Evaluation Conditions</w:t>
      </w:r>
    </w:p>
    <w:bookmarkStart w:id="16" w:name="X54985075ada90fda0439a3a1a3ace40c14cdef6"/>
    <w:p>
      <w:pPr>
        <w:pStyle w:val="Heading2"/>
      </w:pPr>
      <w:r>
        <w:t xml:space="preserve">3.1 What distinguishes development from the shifted environment?</w:t>
      </w:r>
    </w:p>
    <w:p>
      <w:pPr>
        <w:pStyle w:val="FirstParagraph"/>
      </w:pPr>
      <w:r>
        <w:t xml:space="preserve">Development training and validation use comments in their supplied partitions for which none of the eight selected identity scores reaches 0.5. ID evaluation uses identity-mention-absent comments in the supplied test partition. Shifted evaluation uses comments in that same supplied test partition with at least one selected identity score at least 0.5. The broader source field</w:t>
      </w:r>
      <w:r>
        <w:t xml:space="preserve"> </w:t>
      </w:r>
      <w:r>
        <w:rPr>
          <w:rStyle w:val="VerbatimChar"/>
        </w:rPr>
        <w:t xml:space="preserve">identity_any</w:t>
      </w:r>
      <w:r>
        <w:t xml:space="preserve"> </w:t>
      </w:r>
      <w:r>
        <w:t xml:space="preserve">is not substituted for this eight-field definition</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partition</w:t>
            </w:r>
          </w:p>
        </w:tc>
        <w:tc>
          <w:tcPr/>
          <w:p>
            <w:pPr>
              <w:pStyle w:val="Compact"/>
              <w:jc w:val="right"/>
            </w:pPr>
            <w:r>
              <w:t xml:space="preserve">n</w:t>
            </w:r>
          </w:p>
        </w:tc>
        <w:tc>
          <w:tcPr/>
          <w:p>
            <w:pPr>
              <w:pStyle w:val="Compact"/>
              <w:jc w:val="right"/>
            </w:pPr>
            <w:r>
              <w:t xml:space="preserve">toxic_n</w:t>
            </w:r>
          </w:p>
        </w:tc>
        <w:tc>
          <w:tcPr/>
          <w:p>
            <w:pPr>
              <w:pStyle w:val="Compact"/>
              <w:jc w:val="right"/>
            </w:pPr>
            <w:r>
              <w:t xml:space="preserve">toxicity_prevalence</w:t>
            </w:r>
          </w:p>
        </w:tc>
      </w:tr>
      <w:tr>
        <w:tc>
          <w:tcPr/>
          <w:p>
            <w:pPr>
              <w:pStyle w:val="Compact"/>
              <w:jc w:val="left"/>
            </w:pPr>
            <w:r>
              <w:t xml:space="preserve">train</w:t>
            </w:r>
          </w:p>
        </w:tc>
        <w:tc>
          <w:tcPr/>
          <w:p>
            <w:pPr>
              <w:pStyle w:val="Compact"/>
              <w:jc w:val="right"/>
            </w:pPr>
            <w:r>
              <w:t xml:space="preserve">159157</w:t>
            </w:r>
          </w:p>
        </w:tc>
        <w:tc>
          <w:tcPr/>
          <w:p>
            <w:pPr>
              <w:pStyle w:val="Compact"/>
              <w:jc w:val="right"/>
            </w:pPr>
            <w:r>
              <w:t xml:space="preserve">12585</w:t>
            </w:r>
          </w:p>
        </w:tc>
        <w:tc>
          <w:tcPr/>
          <w:p>
            <w:pPr>
              <w:pStyle w:val="Compact"/>
              <w:jc w:val="right"/>
            </w:pPr>
            <w:r>
              <w:t xml:space="preserve">0.0791</w:t>
            </w:r>
          </w:p>
        </w:tc>
      </w:tr>
      <w:tr>
        <w:tc>
          <w:tcPr/>
          <w:p>
            <w:pPr>
              <w:pStyle w:val="Compact"/>
              <w:jc w:val="left"/>
            </w:pPr>
            <w:r>
              <w:t xml:space="preserve">validation</w:t>
            </w:r>
          </w:p>
        </w:tc>
        <w:tc>
          <w:tcPr/>
          <w:p>
            <w:pPr>
              <w:pStyle w:val="Compact"/>
              <w:jc w:val="right"/>
            </w:pPr>
            <w:r>
              <w:t xml:space="preserve">26982</w:t>
            </w:r>
          </w:p>
        </w:tc>
        <w:tc>
          <w:tcPr/>
          <w:p>
            <w:pPr>
              <w:pStyle w:val="Compact"/>
              <w:jc w:val="right"/>
            </w:pPr>
            <w:r>
              <w:t xml:space="preserve">2083</w:t>
            </w:r>
          </w:p>
        </w:tc>
        <w:tc>
          <w:tcPr/>
          <w:p>
            <w:pPr>
              <w:pStyle w:val="Compact"/>
              <w:jc w:val="right"/>
            </w:pPr>
            <w:r>
              <w:t xml:space="preserve">0.0772</w:t>
            </w:r>
          </w:p>
        </w:tc>
      </w:tr>
      <w:tr>
        <w:tc>
          <w:tcPr/>
          <w:p>
            <w:pPr>
              <w:pStyle w:val="Compact"/>
              <w:jc w:val="left"/>
            </w:pPr>
            <w:r>
              <w:t xml:space="preserve">ID_test</w:t>
            </w:r>
          </w:p>
        </w:tc>
        <w:tc>
          <w:tcPr/>
          <w:p>
            <w:pPr>
              <w:pStyle w:val="Compact"/>
              <w:jc w:val="right"/>
            </w:pPr>
            <w:r>
              <w:t xml:space="preserve">80360</w:t>
            </w:r>
          </w:p>
        </w:tc>
        <w:tc>
          <w:tcPr/>
          <w:p>
            <w:pPr>
              <w:pStyle w:val="Compact"/>
              <w:jc w:val="right"/>
            </w:pPr>
            <w:r>
              <w:t xml:space="preserve">6370</w:t>
            </w:r>
          </w:p>
        </w:tc>
        <w:tc>
          <w:tcPr/>
          <w:p>
            <w:pPr>
              <w:pStyle w:val="Compact"/>
              <w:jc w:val="right"/>
            </w:pPr>
            <w:r>
              <w:t xml:space="preserve">0.0793</w:t>
            </w:r>
          </w:p>
        </w:tc>
      </w:tr>
      <w:tr>
        <w:tc>
          <w:tcPr/>
          <w:p>
            <w:pPr>
              <w:pStyle w:val="Compact"/>
              <w:jc w:val="left"/>
            </w:pPr>
            <w:r>
              <w:t xml:space="preserve">shifted_test</w:t>
            </w:r>
          </w:p>
        </w:tc>
        <w:tc>
          <w:tcPr/>
          <w:p>
            <w:pPr>
              <w:pStyle w:val="Compact"/>
              <w:jc w:val="right"/>
            </w:pPr>
            <w:r>
              <w:t xml:space="preserve">51901</w:t>
            </w:r>
          </w:p>
        </w:tc>
        <w:tc>
          <w:tcPr/>
          <w:p>
            <w:pPr>
              <w:pStyle w:val="Compact"/>
              <w:jc w:val="right"/>
            </w:pPr>
            <w:r>
              <w:t xml:space="preserve">8619</w:t>
            </w:r>
          </w:p>
        </w:tc>
        <w:tc>
          <w:tcPr/>
          <w:p>
            <w:pPr>
              <w:pStyle w:val="Compact"/>
              <w:jc w:val="right"/>
            </w:pPr>
            <w:r>
              <w:t xml:space="preserve">0.1661</w:t>
            </w:r>
          </w:p>
        </w:tc>
      </w:tr>
    </w:tbl>
    <w:p>
      <w:pPr>
        <w:pStyle w:val="BodyText"/>
      </w:pPr>
      <w:r>
        <w:t xml:space="preserve">The identity-present training and validation comments are deliberately excluded from development. This makes the population shift explicit, but it also limits conclusions: there is no identity-present ID population for a matched identity-specific degradation comparison. Both test populations retain their supplied article context, including shared test articles. These shared articles do not create development-to-test article overlap</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bookmarkEnd w:id="16"/>
    <w:bookmarkEnd w:id="17"/>
    <w:bookmarkStart w:id="19" w:name="hold-the-modeling-strategy-steady"/>
    <w:p>
      <w:pPr>
        <w:pStyle w:val="Heading1"/>
      </w:pPr>
      <w:r>
        <w:t xml:space="preserve">4. Hold the Modeling Strategy Steady</w:t>
      </w:r>
    </w:p>
    <w:p>
      <w:pPr>
        <w:pStyle w:val="FirstParagraph"/>
      </w:pPr>
      <w:r>
        <w:t xml:space="preserve">A single pipeline fits TF–IDF features and logistic regression using cleaned development training comments only. It uses word unigrams and bigrams, sublinear term frequency, minimum document frequency 3, and at most 50,000 features. Logistic regression uses C=1.0, the liblinear solver, a maximum of 1,000 iterations, no class weighting, and seed 42. Validation is diagnostic only: it selects neither hyperparameters nor the decision threshold. The fixed classification threshold is 0.5 in every population</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X555f05cb0be4c02f19266204efaf405f90d0937">
        <w:r>
          <w:rPr>
            <w:rStyle w:val="Hyperlink"/>
          </w:rPr>
          <w:t xml:space="preserve">Scikit-learn developers, n.d.-d</w:t>
        </w:r>
      </w:hyperlink>
      <w:r>
        <w:t xml:space="preserve">,</w:t>
      </w:r>
      <w:r>
        <w:t xml:space="preserve"> </w:t>
      </w:r>
      <w:hyperlink w:anchor="X82351afa5a4cc740249997252106de6ba8b9940">
        <w:r>
          <w:rPr>
            <w:rStyle w:val="Hyperlink"/>
          </w:rPr>
          <w:t xml:space="preserve">n.d.-a</w:t>
        </w:r>
      </w:hyperlink>
      <w:r>
        <w:t xml:space="preserve">)</w:t>
      </w:r>
      <w:r>
        <w:t xml:space="preserve">.</w:t>
      </w:r>
    </w:p>
    <w:p>
      <w:pPr>
        <w:pStyle w:val="BodyText"/>
      </w:pPr>
      <w:r>
        <w:t xml:space="preserve">The completed run fits 159,157 training records and retains 50,000 text features. The solver reports [12] iterations. Source: saved model metadata</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p>
      <w:pPr>
        <w:pStyle w:val="BodyText"/>
      </w:pPr>
      <w:r>
        <w:t xml:space="preserve">This is the manageable baseline chosen for this laboratory. A separate course starter repository’s prescribed model has not been verified; consequently, the report does not claim to reproduce an unspecified starter model. The important experimental control is that the same fitted pipeline evaluates both test populations</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ref-kohWILDSBenchmarkIntheWild2021">
        <w:r>
          <w:rPr>
            <w:rStyle w:val="Hyperlink"/>
          </w:rPr>
          <w:t xml:space="preserve">Koh et al., 2021</w:t>
        </w:r>
      </w:hyperlink>
      <w:r>
        <w:t xml:space="preserve">)</w:t>
      </w:r>
      <w:r>
        <w:t xml:space="preserve">.</w:t>
      </w:r>
    </w:p>
    <w:bookmarkStart w:id="18" w:name="metrics-and-uncertainty"/>
    <w:p>
      <w:pPr>
        <w:pStyle w:val="Heading2"/>
      </w:pPr>
      <w:r>
        <w:t xml:space="preserve">4.1 Metrics and uncertainty</w:t>
      </w:r>
    </w:p>
    <w:p>
      <w:pPr>
        <w:pStyle w:val="FirstParagraph"/>
      </w:pPr>
      <w:r>
        <w:t xml:space="preserve">Balanced accuracy is primary and averages toxic recall and non-toxic specificity. Secondary evidence includes accuracy, precision, recall, specificity, F1, ROC AUC, and average precision. Brier score and log loss summarize probability-prediction error; lower is better, and neither is a pure calibration statistic. Ten-bin ECE here is the bin-frequency-weighted absolute difference between mean predicted toxicity probability and observed toxicity prevalence, using equal-width probability bins</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X282d5dae050375e68050a946b174c16a0d2ca2d">
        <w:r>
          <w:rPr>
            <w:rStyle w:val="Hyperlink"/>
          </w:rPr>
          <w:t xml:space="preserve">Scikit-learn developers, n.d.-b</w:t>
        </w:r>
      </w:hyperlink>
      <w:r>
        <w:t xml:space="preserve">,</w:t>
      </w:r>
      <w:r>
        <w:t xml:space="preserve"> </w:t>
      </w:r>
      <w:hyperlink w:anchor="X5c992681285cd18d4efc0ca70d410fd8b82b0ca">
        <w:r>
          <w:rPr>
            <w:rStyle w:val="Hyperlink"/>
          </w:rPr>
          <w:t xml:space="preserve">n.d.-c</w:t>
        </w:r>
      </w:hyperlink>
      <w:r>
        <w:t xml:space="preserve">)</w:t>
      </w:r>
      <w:r>
        <w:t xml:space="preserve">.</w:t>
      </w:r>
    </w:p>
    <w:p>
      <w:pPr>
        <w:pStyle w:val="BodyText"/>
      </w:pPr>
      <w:r>
        <w:t xml:space="preserve">Uncertainty for eight metrics uses 1,000 joint article-cluster bootstrap replicates over 20,861 distinct test articles. Each selected article contributes all its comments in both populations. Intervals are percentile intervals for shifted-minus-ID differences, conditional on one fitted model and the cleaned samples. They assume article-level resampling is appropriate, do not capture training variability or cross-article author dependence, and are not adjusted for multiple comparisons</w:t>
      </w:r>
      <w:r>
        <w:t xml:space="preserve"> </w:t>
      </w:r>
      <w:r>
        <w:t xml:space="preserve">(</w:t>
      </w:r>
      <w:hyperlink w:anchor="ref-cameronBootstrapMethods2022">
        <w:r>
          <w:rPr>
            <w:rStyle w:val="Hyperlink"/>
          </w:rPr>
          <w:t xml:space="preserve">Cameron, 2022</w:t>
        </w:r>
      </w:hyperlink>
      <w:r>
        <w:t xml:space="preserve">;</w:t>
      </w:r>
      <w:r>
        <w:t xml:space="preserve"> </w:t>
      </w:r>
      <w:hyperlink w:anchor="X894448cfae9ad68d4764207e303415733b53cc3">
        <w:r>
          <w:rPr>
            <w:rStyle w:val="Hyperlink"/>
          </w:rPr>
          <w:t xml:space="preserve">Civil Comments Laboratory, 2026</w:t>
        </w:r>
      </w:hyperlink>
      <w:r>
        <w:t xml:space="preserve">)</w:t>
      </w:r>
      <w:r>
        <w:t xml:space="preserve">.</w:t>
      </w:r>
    </w:p>
    <w:bookmarkEnd w:id="18"/>
    <w:bookmarkEnd w:id="19"/>
    <w:bookmarkStart w:id="20" w:name="evaluate-in-distribution-performance"/>
    <w:p>
      <w:pPr>
        <w:pStyle w:val="Heading1"/>
      </w:pPr>
      <w:r>
        <w:t xml:space="preserve">5. Evaluate In-Distribution Performance</w:t>
      </w:r>
    </w:p>
    <w:tbl>
      <w:tblPr>
        <w:tblStyle w:val="Table"/>
        <w:tblW w:type="pct" w:w="5000"/>
        <w:tblLayout w:type="fixed"/>
        <w:tblLook w:firstRow="1" w:lastRow="0" w:firstColumn="0" w:lastColumn="0" w:noHBand="0" w:noVBand="0" w:val="0020"/>
      </w:tblPr>
      <w:tblGrid>
        <w:gridCol w:w="944"/>
        <w:gridCol w:w="508"/>
        <w:gridCol w:w="1671"/>
        <w:gridCol w:w="871"/>
        <w:gridCol w:w="1525"/>
        <w:gridCol w:w="726"/>
        <w:gridCol w:w="1089"/>
        <w:gridCol w:w="581"/>
      </w:tblGrid>
      <w:tr>
        <w:trPr>
          <w:tblHeader w:val="on"/>
        </w:trPr>
        <w:tc>
          <w:tcPr/>
          <w:p>
            <w:pPr>
              <w:pStyle w:val="Compact"/>
              <w:jc w:val="left"/>
            </w:pPr>
            <w:r>
              <w:t xml:space="preserve">partition</w:t>
            </w:r>
          </w:p>
        </w:tc>
        <w:tc>
          <w:tcPr/>
          <w:p>
            <w:pPr>
              <w:pStyle w:val="Compact"/>
              <w:jc w:val="right"/>
            </w:pPr>
            <w:r>
              <w:t xml:space="preserve">n</w:t>
            </w:r>
          </w:p>
        </w:tc>
        <w:tc>
          <w:tcPr/>
          <w:p>
            <w:pPr>
              <w:pStyle w:val="Compact"/>
              <w:jc w:val="right"/>
            </w:pPr>
            <w:r>
              <w:t xml:space="preserve">toxicity_prevalence</w:t>
            </w:r>
          </w:p>
        </w:tc>
        <w:tc>
          <w:tcPr/>
          <w:p>
            <w:pPr>
              <w:pStyle w:val="Compact"/>
              <w:jc w:val="right"/>
            </w:pPr>
            <w:r>
              <w:t xml:space="preserve">accuracy</w:t>
            </w:r>
          </w:p>
        </w:tc>
        <w:tc>
          <w:tcPr/>
          <w:p>
            <w:pPr>
              <w:pStyle w:val="Compact"/>
              <w:jc w:val="right"/>
            </w:pPr>
            <w:r>
              <w:t xml:space="preserve">balanced_accuracy</w:t>
            </w:r>
          </w:p>
        </w:tc>
        <w:tc>
          <w:tcPr/>
          <w:p>
            <w:pPr>
              <w:pStyle w:val="Compact"/>
              <w:jc w:val="right"/>
            </w:pPr>
            <w:r>
              <w:t xml:space="preserve">recall</w:t>
            </w:r>
          </w:p>
        </w:tc>
        <w:tc>
          <w:tcPr/>
          <w:p>
            <w:pPr>
              <w:pStyle w:val="Compact"/>
              <w:jc w:val="right"/>
            </w:pPr>
            <w:r>
              <w:t xml:space="preserve">specificity</w:t>
            </w:r>
          </w:p>
        </w:tc>
        <w:tc>
          <w:tcPr/>
          <w:p>
            <w:pPr>
              <w:pStyle w:val="Compact"/>
              <w:jc w:val="right"/>
            </w:pPr>
            <w:r>
              <w:t xml:space="preserve">f1</w:t>
            </w:r>
          </w:p>
        </w:tc>
      </w:tr>
      <w:tr>
        <w:tc>
          <w:tcPr/>
          <w:p>
            <w:pPr>
              <w:pStyle w:val="Compact"/>
              <w:jc w:val="left"/>
            </w:pPr>
            <w:r>
              <w:t xml:space="preserve">validation</w:t>
            </w:r>
          </w:p>
        </w:tc>
        <w:tc>
          <w:tcPr/>
          <w:p>
            <w:pPr>
              <w:pStyle w:val="Compact"/>
              <w:jc w:val="right"/>
            </w:pPr>
            <w:r>
              <w:t xml:space="preserve">26982</w:t>
            </w:r>
          </w:p>
        </w:tc>
        <w:tc>
          <w:tcPr/>
          <w:p>
            <w:pPr>
              <w:pStyle w:val="Compact"/>
              <w:jc w:val="right"/>
            </w:pPr>
            <w:r>
              <w:t xml:space="preserve">0.0772</w:t>
            </w:r>
          </w:p>
        </w:tc>
        <w:tc>
          <w:tcPr/>
          <w:p>
            <w:pPr>
              <w:pStyle w:val="Compact"/>
              <w:jc w:val="right"/>
            </w:pPr>
            <w:r>
              <w:t xml:space="preserve">0.9416</w:t>
            </w:r>
          </w:p>
        </w:tc>
        <w:tc>
          <w:tcPr/>
          <w:p>
            <w:pPr>
              <w:pStyle w:val="Compact"/>
              <w:jc w:val="right"/>
            </w:pPr>
            <w:r>
              <w:t xml:space="preserve">0.6391</w:t>
            </w:r>
          </w:p>
        </w:tc>
        <w:tc>
          <w:tcPr/>
          <w:p>
            <w:pPr>
              <w:pStyle w:val="Compact"/>
              <w:jc w:val="right"/>
            </w:pPr>
            <w:r>
              <w:t xml:space="preserve">0.2813</w:t>
            </w:r>
          </w:p>
        </w:tc>
        <w:tc>
          <w:tcPr/>
          <w:p>
            <w:pPr>
              <w:pStyle w:val="Compact"/>
              <w:jc w:val="right"/>
            </w:pPr>
            <w:r>
              <w:t xml:space="preserve">0.9968</w:t>
            </w:r>
          </w:p>
        </w:tc>
        <w:tc>
          <w:tcPr/>
          <w:p>
            <w:pPr>
              <w:pStyle w:val="Compact"/>
              <w:jc w:val="right"/>
            </w:pPr>
            <w:r>
              <w:t xml:space="preserve">0.4265</w:t>
            </w:r>
          </w:p>
        </w:tc>
      </w:tr>
      <w:tr>
        <w:tc>
          <w:tcPr/>
          <w:p>
            <w:pPr>
              <w:pStyle w:val="Compact"/>
              <w:jc w:val="left"/>
            </w:pPr>
            <w:r>
              <w:t xml:space="preserve">ID_test</w:t>
            </w:r>
          </w:p>
        </w:tc>
        <w:tc>
          <w:tcPr/>
          <w:p>
            <w:pPr>
              <w:pStyle w:val="Compact"/>
              <w:jc w:val="right"/>
            </w:pPr>
            <w:r>
              <w:t xml:space="preserve">80360</w:t>
            </w:r>
          </w:p>
        </w:tc>
        <w:tc>
          <w:tcPr/>
          <w:p>
            <w:pPr>
              <w:pStyle w:val="Compact"/>
              <w:jc w:val="right"/>
            </w:pPr>
            <w:r>
              <w:t xml:space="preserve">0.0793</w:t>
            </w:r>
          </w:p>
        </w:tc>
        <w:tc>
          <w:tcPr/>
          <w:p>
            <w:pPr>
              <w:pStyle w:val="Compact"/>
              <w:jc w:val="right"/>
            </w:pPr>
            <w:r>
              <w:t xml:space="preserve">0.9389</w:t>
            </w:r>
          </w:p>
        </w:tc>
        <w:tc>
          <w:tcPr/>
          <w:p>
            <w:pPr>
              <w:pStyle w:val="Compact"/>
              <w:jc w:val="right"/>
            </w:pPr>
            <w:r>
              <w:t xml:space="preserve">0.6308</w:t>
            </w:r>
          </w:p>
        </w:tc>
        <w:tc>
          <w:tcPr/>
          <w:p>
            <w:pPr>
              <w:pStyle w:val="Compact"/>
              <w:jc w:val="right"/>
            </w:pPr>
            <w:r>
              <w:t xml:space="preserve">0.2647</w:t>
            </w:r>
          </w:p>
        </w:tc>
        <w:tc>
          <w:tcPr/>
          <w:p>
            <w:pPr>
              <w:pStyle w:val="Compact"/>
              <w:jc w:val="right"/>
            </w:pPr>
            <w:r>
              <w:t xml:space="preserve">0.9970</w:t>
            </w:r>
          </w:p>
        </w:tc>
        <w:tc>
          <w:tcPr/>
          <w:p>
            <w:pPr>
              <w:pStyle w:val="Compact"/>
              <w:jc w:val="right"/>
            </w:pPr>
            <w:r>
              <w:t xml:space="preserve">0.4072</w:t>
            </w:r>
          </w:p>
        </w:tc>
      </w:tr>
    </w:tbl>
    <w:p>
      <w:pPr>
        <w:pStyle w:val="BodyText"/>
      </w:pPr>
      <w:r>
        <w:t xml:space="preserve">ID accuracy is 93.89%, but toxic recall is only 26.47%. The model detects 1,686 toxic comments and misses 4,684. Thus high overall accuracy is not evidence of satisfactory toxic-comment detection even under familiar conditions. Source: original evaluation results</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bookmarkEnd w:id="20"/>
    <w:bookmarkStart w:id="27" w:name="evaluate-the-shifted-environment"/>
    <w:p>
      <w:pPr>
        <w:pStyle w:val="Heading1"/>
      </w:pPr>
      <w:r>
        <w:t xml:space="preserve">6. Evaluate the Shifted Environment</w:t>
      </w:r>
    </w:p>
    <w:bookmarkStart w:id="25" w:name="how-does-predictive-performance-change"/>
    <w:p>
      <w:pPr>
        <w:pStyle w:val="Heading2"/>
      </w:pPr>
      <w:r>
        <w:t xml:space="preserve">6.1 How does predictive performance change?</w:t>
      </w:r>
    </w:p>
    <w:p>
      <w:pPr>
        <w:pStyle w:val="FirstParagraph"/>
      </w:pPr>
      <w:r>
        <w:t xml:space="preserve">The pipeline is not rebuilt, recalibrated, or tuned using the shifted test data. Change in the following table means shifted minus ID. Positive changes improve higher-is-better scores but worsen Brier score, log loss, and ECE</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X282d5dae050375e68050a946b174c16a0d2ca2d">
        <w:r>
          <w:rPr>
            <w:rStyle w:val="Hyperlink"/>
          </w:rPr>
          <w:t xml:space="preserve">Scikit-learn developers, n.d.-b</w:t>
        </w:r>
      </w:hyperlink>
      <w:r>
        <w:t xml:space="preserve">)</w:t>
      </w:r>
      <w:r>
        <w:t xml:space="preserve">.</w:t>
      </w:r>
    </w:p>
    <w:tbl>
      <w:tblPr>
        <w:tblStyle w:val="Table"/>
        <w:tblW w:type="pct" w:w="5000"/>
        <w:tblLayout w:type="fixed"/>
        <w:tblLook w:firstRow="1" w:lastRow="0" w:firstColumn="0" w:lastColumn="0" w:noHBand="0" w:noVBand="0" w:val="0020"/>
      </w:tblPr>
      <w:tblGrid>
        <w:gridCol w:w="1770"/>
        <w:gridCol w:w="745"/>
        <w:gridCol w:w="1024"/>
        <w:gridCol w:w="2515"/>
        <w:gridCol w:w="1863"/>
      </w:tblGrid>
      <w:tr>
        <w:trPr>
          <w:tblHeader w:val="on"/>
        </w:trPr>
        <w:tc>
          <w:tcPr/>
          <w:p>
            <w:pPr>
              <w:pStyle w:val="Compact"/>
              <w:jc w:val="left"/>
            </w:pPr>
            <w:r>
              <w:t xml:space="preserve">metric</w:t>
            </w:r>
          </w:p>
        </w:tc>
        <w:tc>
          <w:tcPr/>
          <w:p>
            <w:pPr>
              <w:pStyle w:val="Compact"/>
              <w:jc w:val="right"/>
            </w:pPr>
            <w:r>
              <w:t xml:space="preserve">ID</w:t>
            </w:r>
          </w:p>
        </w:tc>
        <w:tc>
          <w:tcPr/>
          <w:p>
            <w:pPr>
              <w:pStyle w:val="Compact"/>
              <w:jc w:val="right"/>
            </w:pPr>
            <w:r>
              <w:t xml:space="preserve">shifted</w:t>
            </w:r>
          </w:p>
        </w:tc>
        <w:tc>
          <w:tcPr/>
          <w:p>
            <w:pPr>
              <w:pStyle w:val="Compact"/>
              <w:jc w:val="right"/>
            </w:pPr>
            <w:r>
              <w:t xml:space="preserve">change_shifted_minus_ID</w:t>
            </w:r>
          </w:p>
        </w:tc>
        <w:tc>
          <w:tcPr/>
          <w:p>
            <w:pPr>
              <w:pStyle w:val="Compact"/>
              <w:jc w:val="left"/>
            </w:pPr>
            <w:r>
              <w:t xml:space="preserve">better_direction</w:t>
            </w:r>
          </w:p>
        </w:tc>
      </w:tr>
      <w:tr>
        <w:tc>
          <w:tcPr/>
          <w:p>
            <w:pPr>
              <w:pStyle w:val="Compact"/>
              <w:jc w:val="left"/>
            </w:pPr>
            <w:r>
              <w:t xml:space="preserve">accuracy</w:t>
            </w:r>
          </w:p>
        </w:tc>
        <w:tc>
          <w:tcPr/>
          <w:p>
            <w:pPr>
              <w:pStyle w:val="Compact"/>
              <w:jc w:val="right"/>
            </w:pPr>
            <w:r>
              <w:t xml:space="preserve">0.9389</w:t>
            </w:r>
          </w:p>
        </w:tc>
        <w:tc>
          <w:tcPr/>
          <w:p>
            <w:pPr>
              <w:pStyle w:val="Compact"/>
              <w:jc w:val="right"/>
            </w:pPr>
            <w:r>
              <w:t xml:space="preserve">0.8528</w:t>
            </w:r>
          </w:p>
        </w:tc>
        <w:tc>
          <w:tcPr/>
          <w:p>
            <w:pPr>
              <w:pStyle w:val="Compact"/>
              <w:jc w:val="right"/>
            </w:pPr>
            <w:r>
              <w:t xml:space="preserve">-0.0861</w:t>
            </w:r>
          </w:p>
        </w:tc>
        <w:tc>
          <w:tcPr/>
          <w:p>
            <w:pPr>
              <w:pStyle w:val="Compact"/>
              <w:jc w:val="left"/>
            </w:pPr>
            <w:r>
              <w:t xml:space="preserve">higher</w:t>
            </w:r>
          </w:p>
        </w:tc>
      </w:tr>
      <w:tr>
        <w:tc>
          <w:tcPr/>
          <w:p>
            <w:pPr>
              <w:pStyle w:val="Compact"/>
              <w:jc w:val="left"/>
            </w:pPr>
            <w:r>
              <w:t xml:space="preserve">balanced_accuracy</w:t>
            </w:r>
          </w:p>
        </w:tc>
        <w:tc>
          <w:tcPr/>
          <w:p>
            <w:pPr>
              <w:pStyle w:val="Compact"/>
              <w:jc w:val="right"/>
            </w:pPr>
            <w:r>
              <w:t xml:space="preserve">0.6308</w:t>
            </w:r>
          </w:p>
        </w:tc>
        <w:tc>
          <w:tcPr/>
          <w:p>
            <w:pPr>
              <w:pStyle w:val="Compact"/>
              <w:jc w:val="right"/>
            </w:pPr>
            <w:r>
              <w:t xml:space="preserve">0.5630</w:t>
            </w:r>
          </w:p>
        </w:tc>
        <w:tc>
          <w:tcPr/>
          <w:p>
            <w:pPr>
              <w:pStyle w:val="Compact"/>
              <w:jc w:val="right"/>
            </w:pPr>
            <w:r>
              <w:t xml:space="preserve">-0.0679</w:t>
            </w:r>
          </w:p>
        </w:tc>
        <w:tc>
          <w:tcPr/>
          <w:p>
            <w:pPr>
              <w:pStyle w:val="Compact"/>
              <w:jc w:val="left"/>
            </w:pPr>
            <w:r>
              <w:t xml:space="preserve">higher</w:t>
            </w:r>
          </w:p>
        </w:tc>
      </w:tr>
      <w:tr>
        <w:tc>
          <w:tcPr/>
          <w:p>
            <w:pPr>
              <w:pStyle w:val="Compact"/>
              <w:jc w:val="left"/>
            </w:pPr>
            <w:r>
              <w:t xml:space="preserve">precision</w:t>
            </w:r>
          </w:p>
        </w:tc>
        <w:tc>
          <w:tcPr/>
          <w:p>
            <w:pPr>
              <w:pStyle w:val="Compact"/>
              <w:jc w:val="right"/>
            </w:pPr>
            <w:r>
              <w:t xml:space="preserve">0.8827</w:t>
            </w:r>
          </w:p>
        </w:tc>
        <w:tc>
          <w:tcPr/>
          <w:p>
            <w:pPr>
              <w:pStyle w:val="Compact"/>
              <w:jc w:val="right"/>
            </w:pPr>
            <w:r>
              <w:t xml:space="preserve">0.8932</w:t>
            </w:r>
          </w:p>
        </w:tc>
        <w:tc>
          <w:tcPr/>
          <w:p>
            <w:pPr>
              <w:pStyle w:val="Compact"/>
              <w:jc w:val="right"/>
            </w:pPr>
            <w:r>
              <w:t xml:space="preserve">0.0105</w:t>
            </w:r>
          </w:p>
        </w:tc>
        <w:tc>
          <w:tcPr/>
          <w:p>
            <w:pPr>
              <w:pStyle w:val="Compact"/>
              <w:jc w:val="left"/>
            </w:pPr>
            <w:r>
              <w:t xml:space="preserve">higher</w:t>
            </w:r>
          </w:p>
        </w:tc>
      </w:tr>
      <w:tr>
        <w:tc>
          <w:tcPr/>
          <w:p>
            <w:pPr>
              <w:pStyle w:val="Compact"/>
              <w:jc w:val="left"/>
            </w:pPr>
            <w:r>
              <w:t xml:space="preserve">recall</w:t>
            </w:r>
          </w:p>
        </w:tc>
        <w:tc>
          <w:tcPr/>
          <w:p>
            <w:pPr>
              <w:pStyle w:val="Compact"/>
              <w:jc w:val="right"/>
            </w:pPr>
            <w:r>
              <w:t xml:space="preserve">0.2647</w:t>
            </w:r>
          </w:p>
        </w:tc>
        <w:tc>
          <w:tcPr/>
          <w:p>
            <w:pPr>
              <w:pStyle w:val="Compact"/>
              <w:jc w:val="right"/>
            </w:pPr>
            <w:r>
              <w:t xml:space="preserve">0.1290</w:t>
            </w:r>
          </w:p>
        </w:tc>
        <w:tc>
          <w:tcPr/>
          <w:p>
            <w:pPr>
              <w:pStyle w:val="Compact"/>
              <w:jc w:val="right"/>
            </w:pPr>
            <w:r>
              <w:t xml:space="preserve">-0.1357</w:t>
            </w:r>
          </w:p>
        </w:tc>
        <w:tc>
          <w:tcPr/>
          <w:p>
            <w:pPr>
              <w:pStyle w:val="Compact"/>
              <w:jc w:val="left"/>
            </w:pPr>
            <w:r>
              <w:t xml:space="preserve">higher</w:t>
            </w:r>
          </w:p>
        </w:tc>
      </w:tr>
      <w:tr>
        <w:tc>
          <w:tcPr/>
          <w:p>
            <w:pPr>
              <w:pStyle w:val="Compact"/>
              <w:jc w:val="left"/>
            </w:pPr>
            <w:r>
              <w:t xml:space="preserve">specificity</w:t>
            </w:r>
          </w:p>
        </w:tc>
        <w:tc>
          <w:tcPr/>
          <w:p>
            <w:pPr>
              <w:pStyle w:val="Compact"/>
              <w:jc w:val="right"/>
            </w:pPr>
            <w:r>
              <w:t xml:space="preserve">0.9970</w:t>
            </w:r>
          </w:p>
        </w:tc>
        <w:tc>
          <w:tcPr/>
          <w:p>
            <w:pPr>
              <w:pStyle w:val="Compact"/>
              <w:jc w:val="right"/>
            </w:pPr>
            <w:r>
              <w:t xml:space="preserve">0.9969</w:t>
            </w:r>
          </w:p>
        </w:tc>
        <w:tc>
          <w:tcPr/>
          <w:p>
            <w:pPr>
              <w:pStyle w:val="Compact"/>
              <w:jc w:val="right"/>
            </w:pPr>
            <w:r>
              <w:t xml:space="preserve">-0.0000</w:t>
            </w:r>
          </w:p>
        </w:tc>
        <w:tc>
          <w:tcPr/>
          <w:p>
            <w:pPr>
              <w:pStyle w:val="Compact"/>
              <w:jc w:val="left"/>
            </w:pPr>
            <w:r>
              <w:t xml:space="preserve">higher</w:t>
            </w:r>
          </w:p>
        </w:tc>
      </w:tr>
      <w:tr>
        <w:tc>
          <w:tcPr/>
          <w:p>
            <w:pPr>
              <w:pStyle w:val="Compact"/>
              <w:jc w:val="left"/>
            </w:pPr>
            <w:r>
              <w:t xml:space="preserve">f1</w:t>
            </w:r>
          </w:p>
        </w:tc>
        <w:tc>
          <w:tcPr/>
          <w:p>
            <w:pPr>
              <w:pStyle w:val="Compact"/>
              <w:jc w:val="right"/>
            </w:pPr>
            <w:r>
              <w:t xml:space="preserve">0.4072</w:t>
            </w:r>
          </w:p>
        </w:tc>
        <w:tc>
          <w:tcPr/>
          <w:p>
            <w:pPr>
              <w:pStyle w:val="Compact"/>
              <w:jc w:val="right"/>
            </w:pPr>
            <w:r>
              <w:t xml:space="preserve">0.2255</w:t>
            </w:r>
          </w:p>
        </w:tc>
        <w:tc>
          <w:tcPr/>
          <w:p>
            <w:pPr>
              <w:pStyle w:val="Compact"/>
              <w:jc w:val="right"/>
            </w:pPr>
            <w:r>
              <w:t xml:space="preserve">-0.1818</w:t>
            </w:r>
          </w:p>
        </w:tc>
        <w:tc>
          <w:tcPr/>
          <w:p>
            <w:pPr>
              <w:pStyle w:val="Compact"/>
              <w:jc w:val="left"/>
            </w:pPr>
            <w:r>
              <w:t xml:space="preserve">higher</w:t>
            </w:r>
          </w:p>
        </w:tc>
      </w:tr>
      <w:tr>
        <w:tc>
          <w:tcPr/>
          <w:p>
            <w:pPr>
              <w:pStyle w:val="Compact"/>
              <w:jc w:val="left"/>
            </w:pPr>
            <w:r>
              <w:t xml:space="preserve">roc_auc</w:t>
            </w:r>
          </w:p>
        </w:tc>
        <w:tc>
          <w:tcPr/>
          <w:p>
            <w:pPr>
              <w:pStyle w:val="Compact"/>
              <w:jc w:val="right"/>
            </w:pPr>
            <w:r>
              <w:t xml:space="preserve">0.9186</w:t>
            </w:r>
          </w:p>
        </w:tc>
        <w:tc>
          <w:tcPr/>
          <w:p>
            <w:pPr>
              <w:pStyle w:val="Compact"/>
              <w:jc w:val="right"/>
            </w:pPr>
            <w:r>
              <w:t xml:space="preserve">0.8228</w:t>
            </w:r>
          </w:p>
        </w:tc>
        <w:tc>
          <w:tcPr/>
          <w:p>
            <w:pPr>
              <w:pStyle w:val="Compact"/>
              <w:jc w:val="right"/>
            </w:pPr>
            <w:r>
              <w:t xml:space="preserve">-0.0958</w:t>
            </w:r>
          </w:p>
        </w:tc>
        <w:tc>
          <w:tcPr/>
          <w:p>
            <w:pPr>
              <w:pStyle w:val="Compact"/>
              <w:jc w:val="left"/>
            </w:pPr>
            <w:r>
              <w:t xml:space="preserve">higher</w:t>
            </w:r>
          </w:p>
        </w:tc>
      </w:tr>
      <w:tr>
        <w:tc>
          <w:tcPr/>
          <w:p>
            <w:pPr>
              <w:pStyle w:val="Compact"/>
              <w:jc w:val="left"/>
            </w:pPr>
            <w:r>
              <w:t xml:space="preserve">average_precision</w:t>
            </w:r>
          </w:p>
        </w:tc>
        <w:tc>
          <w:tcPr/>
          <w:p>
            <w:pPr>
              <w:pStyle w:val="Compact"/>
              <w:jc w:val="right"/>
            </w:pPr>
            <w:r>
              <w:t xml:space="preserve">0.6501</w:t>
            </w:r>
          </w:p>
        </w:tc>
        <w:tc>
          <w:tcPr/>
          <w:p>
            <w:pPr>
              <w:pStyle w:val="Compact"/>
              <w:jc w:val="right"/>
            </w:pPr>
            <w:r>
              <w:t xml:space="preserve">0.5642</w:t>
            </w:r>
          </w:p>
        </w:tc>
        <w:tc>
          <w:tcPr/>
          <w:p>
            <w:pPr>
              <w:pStyle w:val="Compact"/>
              <w:jc w:val="right"/>
            </w:pPr>
            <w:r>
              <w:t xml:space="preserve">-0.0859</w:t>
            </w:r>
          </w:p>
        </w:tc>
        <w:tc>
          <w:tcPr/>
          <w:p>
            <w:pPr>
              <w:pStyle w:val="Compact"/>
              <w:jc w:val="left"/>
            </w:pPr>
            <w:r>
              <w:t xml:space="preserve">higher</w:t>
            </w:r>
          </w:p>
        </w:tc>
      </w:tr>
      <w:tr>
        <w:tc>
          <w:tcPr/>
          <w:p>
            <w:pPr>
              <w:pStyle w:val="Compact"/>
              <w:jc w:val="left"/>
            </w:pPr>
            <w:r>
              <w:t xml:space="preserve">brier_score</w:t>
            </w:r>
          </w:p>
        </w:tc>
        <w:tc>
          <w:tcPr/>
          <w:p>
            <w:pPr>
              <w:pStyle w:val="Compact"/>
              <w:jc w:val="right"/>
            </w:pPr>
            <w:r>
              <w:t xml:space="preserve">0.0464</w:t>
            </w:r>
          </w:p>
        </w:tc>
        <w:tc>
          <w:tcPr/>
          <w:p>
            <w:pPr>
              <w:pStyle w:val="Compact"/>
              <w:jc w:val="right"/>
            </w:pPr>
            <w:r>
              <w:t xml:space="preserve">0.1141</w:t>
            </w:r>
          </w:p>
        </w:tc>
        <w:tc>
          <w:tcPr/>
          <w:p>
            <w:pPr>
              <w:pStyle w:val="Compact"/>
              <w:jc w:val="right"/>
            </w:pPr>
            <w:r>
              <w:t xml:space="preserve">0.0677</w:t>
            </w:r>
          </w:p>
        </w:tc>
        <w:tc>
          <w:tcPr/>
          <w:p>
            <w:pPr>
              <w:pStyle w:val="Compact"/>
              <w:jc w:val="left"/>
            </w:pPr>
            <w:r>
              <w:t xml:space="preserve">lower</w:t>
            </w:r>
          </w:p>
        </w:tc>
      </w:tr>
      <w:tr>
        <w:tc>
          <w:tcPr/>
          <w:p>
            <w:pPr>
              <w:pStyle w:val="Compact"/>
              <w:jc w:val="left"/>
            </w:pPr>
            <w:r>
              <w:t xml:space="preserve">log_loss</w:t>
            </w:r>
          </w:p>
        </w:tc>
        <w:tc>
          <w:tcPr/>
          <w:p>
            <w:pPr>
              <w:pStyle w:val="Compact"/>
              <w:jc w:val="right"/>
            </w:pPr>
            <w:r>
              <w:t xml:space="preserve">0.1693</w:t>
            </w:r>
          </w:p>
        </w:tc>
        <w:tc>
          <w:tcPr/>
          <w:p>
            <w:pPr>
              <w:pStyle w:val="Compact"/>
              <w:jc w:val="right"/>
            </w:pPr>
            <w:r>
              <w:t xml:space="preserve">0.3755</w:t>
            </w:r>
          </w:p>
        </w:tc>
        <w:tc>
          <w:tcPr/>
          <w:p>
            <w:pPr>
              <w:pStyle w:val="Compact"/>
              <w:jc w:val="right"/>
            </w:pPr>
            <w:r>
              <w:t xml:space="preserve">0.2062</w:t>
            </w:r>
          </w:p>
        </w:tc>
        <w:tc>
          <w:tcPr/>
          <w:p>
            <w:pPr>
              <w:pStyle w:val="Compact"/>
              <w:jc w:val="left"/>
            </w:pPr>
            <w:r>
              <w:t xml:space="preserve">lower</w:t>
            </w:r>
          </w:p>
        </w:tc>
      </w:tr>
      <w:tr>
        <w:tc>
          <w:tcPr/>
          <w:p>
            <w:pPr>
              <w:pStyle w:val="Compact"/>
              <w:jc w:val="left"/>
            </w:pPr>
            <w:r>
              <w:t xml:space="preserve">ece_10_bins</w:t>
            </w:r>
          </w:p>
        </w:tc>
        <w:tc>
          <w:tcPr/>
          <w:p>
            <w:pPr>
              <w:pStyle w:val="Compact"/>
              <w:jc w:val="right"/>
            </w:pPr>
            <w:r>
              <w:t xml:space="preserve">0.0331</w:t>
            </w:r>
          </w:p>
        </w:tc>
        <w:tc>
          <w:tcPr/>
          <w:p>
            <w:pPr>
              <w:pStyle w:val="Compact"/>
              <w:jc w:val="right"/>
            </w:pPr>
            <w:r>
              <w:t xml:space="preserve">0.0741</w:t>
            </w:r>
          </w:p>
        </w:tc>
        <w:tc>
          <w:tcPr/>
          <w:p>
            <w:pPr>
              <w:pStyle w:val="Compact"/>
              <w:jc w:val="right"/>
            </w:pPr>
            <w:r>
              <w:t xml:space="preserve">0.0410</w:t>
            </w:r>
          </w:p>
        </w:tc>
        <w:tc>
          <w:tcPr/>
          <w:p>
            <w:pPr>
              <w:pStyle w:val="Compact"/>
              <w:jc w:val="left"/>
            </w:pPr>
            <w:r>
              <w:t xml:space="preserve">lower</w:t>
            </w:r>
          </w:p>
        </w:tc>
      </w:tr>
    </w:tbl>
    <w:tbl>
      <w:tblPr>
        <w:tblStyle w:val="Table"/>
        <w:tblW w:type="pct" w:w="5000"/>
        <w:tblLayout w:type="fixed"/>
        <w:tblLook w:firstRow="1" w:lastRow="0" w:firstColumn="0" w:lastColumn="0" w:noHBand="0" w:noVBand="0" w:val="0020"/>
      </w:tblPr>
      <w:tblGrid>
        <w:gridCol w:w="2061"/>
        <w:gridCol w:w="2929"/>
        <w:gridCol w:w="1410"/>
        <w:gridCol w:w="1518"/>
      </w:tblGrid>
      <w:tr>
        <w:trPr>
          <w:tblHeader w:val="on"/>
        </w:trPr>
        <w:tc>
          <w:tcPr/>
          <w:p>
            <w:pPr>
              <w:pStyle w:val="Compact"/>
              <w:jc w:val="left"/>
            </w:pPr>
            <w:r>
              <w:t xml:space="preserve">metric</w:t>
            </w:r>
          </w:p>
        </w:tc>
        <w:tc>
          <w:tcPr/>
          <w:p>
            <w:pPr>
              <w:pStyle w:val="Compact"/>
              <w:jc w:val="right"/>
            </w:pPr>
            <w:r>
              <w:t xml:space="preserve">change_shifted_minus_ID</w:t>
            </w:r>
          </w:p>
        </w:tc>
        <w:tc>
          <w:tcPr/>
          <w:p>
            <w:pPr>
              <w:pStyle w:val="Compact"/>
              <w:jc w:val="right"/>
            </w:pPr>
            <w:r>
              <w:t xml:space="preserve">ci_95_low</w:t>
            </w:r>
          </w:p>
        </w:tc>
        <w:tc>
          <w:tcPr/>
          <w:p>
            <w:pPr>
              <w:pStyle w:val="Compact"/>
              <w:jc w:val="right"/>
            </w:pPr>
            <w:r>
              <w:t xml:space="preserve">ci_95_high</w:t>
            </w:r>
          </w:p>
        </w:tc>
      </w:tr>
      <w:tr>
        <w:tc>
          <w:tcPr/>
          <w:p>
            <w:pPr>
              <w:pStyle w:val="Compact"/>
              <w:jc w:val="left"/>
            </w:pPr>
            <w:r>
              <w:t xml:space="preserve">accuracy</w:t>
            </w:r>
          </w:p>
        </w:tc>
        <w:tc>
          <w:tcPr/>
          <w:p>
            <w:pPr>
              <w:pStyle w:val="Compact"/>
              <w:jc w:val="right"/>
            </w:pPr>
            <w:r>
              <w:t xml:space="preserve">-0.0861</w:t>
            </w:r>
          </w:p>
        </w:tc>
        <w:tc>
          <w:tcPr/>
          <w:p>
            <w:pPr>
              <w:pStyle w:val="Compact"/>
              <w:jc w:val="right"/>
            </w:pPr>
            <w:r>
              <w:t xml:space="preserve">-0.0916</w:t>
            </w:r>
          </w:p>
        </w:tc>
        <w:tc>
          <w:tcPr/>
          <w:p>
            <w:pPr>
              <w:pStyle w:val="Compact"/>
              <w:jc w:val="right"/>
            </w:pPr>
            <w:r>
              <w:t xml:space="preserve">-0.0807</w:t>
            </w:r>
          </w:p>
        </w:tc>
      </w:tr>
      <w:tr>
        <w:tc>
          <w:tcPr/>
          <w:p>
            <w:pPr>
              <w:pStyle w:val="Compact"/>
              <w:jc w:val="left"/>
            </w:pPr>
            <w:r>
              <w:t xml:space="preserve">balanced_accuracy</w:t>
            </w:r>
          </w:p>
        </w:tc>
        <w:tc>
          <w:tcPr/>
          <w:p>
            <w:pPr>
              <w:pStyle w:val="Compact"/>
              <w:jc w:val="right"/>
            </w:pPr>
            <w:r>
              <w:t xml:space="preserve">-0.0679</w:t>
            </w:r>
          </w:p>
        </w:tc>
        <w:tc>
          <w:tcPr/>
          <w:p>
            <w:pPr>
              <w:pStyle w:val="Compact"/>
              <w:jc w:val="right"/>
            </w:pPr>
            <w:r>
              <w:t xml:space="preserve">-0.0745</w:t>
            </w:r>
          </w:p>
        </w:tc>
        <w:tc>
          <w:tcPr/>
          <w:p>
            <w:pPr>
              <w:pStyle w:val="Compact"/>
              <w:jc w:val="right"/>
            </w:pPr>
            <w:r>
              <w:t xml:space="preserve">-0.0611</w:t>
            </w:r>
          </w:p>
        </w:tc>
      </w:tr>
      <w:tr>
        <w:tc>
          <w:tcPr/>
          <w:p>
            <w:pPr>
              <w:pStyle w:val="Compact"/>
              <w:jc w:val="left"/>
            </w:pPr>
            <w:r>
              <w:t xml:space="preserve">precision</w:t>
            </w:r>
          </w:p>
        </w:tc>
        <w:tc>
          <w:tcPr/>
          <w:p>
            <w:pPr>
              <w:pStyle w:val="Compact"/>
              <w:jc w:val="right"/>
            </w:pPr>
            <w:r>
              <w:t xml:space="preserve">0.0105</w:t>
            </w:r>
          </w:p>
        </w:tc>
        <w:tc>
          <w:tcPr/>
          <w:p>
            <w:pPr>
              <w:pStyle w:val="Compact"/>
              <w:jc w:val="right"/>
            </w:pPr>
            <w:r>
              <w:t xml:space="preserve">-0.0117</w:t>
            </w:r>
          </w:p>
        </w:tc>
        <w:tc>
          <w:tcPr/>
          <w:p>
            <w:pPr>
              <w:pStyle w:val="Compact"/>
              <w:jc w:val="right"/>
            </w:pPr>
            <w:r>
              <w:t xml:space="preserve">0.0333</w:t>
            </w:r>
          </w:p>
        </w:tc>
      </w:tr>
      <w:tr>
        <w:tc>
          <w:tcPr/>
          <w:p>
            <w:pPr>
              <w:pStyle w:val="Compact"/>
              <w:jc w:val="left"/>
            </w:pPr>
            <w:r>
              <w:t xml:space="preserve">recall</w:t>
            </w:r>
          </w:p>
        </w:tc>
        <w:tc>
          <w:tcPr/>
          <w:p>
            <w:pPr>
              <w:pStyle w:val="Compact"/>
              <w:jc w:val="right"/>
            </w:pPr>
            <w:r>
              <w:t xml:space="preserve">-0.1357</w:t>
            </w:r>
          </w:p>
        </w:tc>
        <w:tc>
          <w:tcPr/>
          <w:p>
            <w:pPr>
              <w:pStyle w:val="Compact"/>
              <w:jc w:val="right"/>
            </w:pPr>
            <w:r>
              <w:t xml:space="preserve">-0.1488</w:t>
            </w:r>
          </w:p>
        </w:tc>
        <w:tc>
          <w:tcPr/>
          <w:p>
            <w:pPr>
              <w:pStyle w:val="Compact"/>
              <w:jc w:val="right"/>
            </w:pPr>
            <w:r>
              <w:t xml:space="preserve">-0.1222</w:t>
            </w:r>
          </w:p>
        </w:tc>
      </w:tr>
      <w:tr>
        <w:tc>
          <w:tcPr/>
          <w:p>
            <w:pPr>
              <w:pStyle w:val="Compact"/>
              <w:jc w:val="left"/>
            </w:pPr>
            <w:r>
              <w:t xml:space="preserve">specificity</w:t>
            </w:r>
          </w:p>
        </w:tc>
        <w:tc>
          <w:tcPr/>
          <w:p>
            <w:pPr>
              <w:pStyle w:val="Compact"/>
              <w:jc w:val="right"/>
            </w:pPr>
            <w:r>
              <w:t xml:space="preserve">-0.0000</w:t>
            </w:r>
          </w:p>
        </w:tc>
        <w:tc>
          <w:tcPr/>
          <w:p>
            <w:pPr>
              <w:pStyle w:val="Compact"/>
              <w:jc w:val="right"/>
            </w:pPr>
            <w:r>
              <w:t xml:space="preserve">-0.0007</w:t>
            </w:r>
          </w:p>
        </w:tc>
        <w:tc>
          <w:tcPr/>
          <w:p>
            <w:pPr>
              <w:pStyle w:val="Compact"/>
              <w:jc w:val="right"/>
            </w:pPr>
            <w:r>
              <w:t xml:space="preserve">0.0006</w:t>
            </w:r>
          </w:p>
        </w:tc>
      </w:tr>
      <w:tr>
        <w:tc>
          <w:tcPr/>
          <w:p>
            <w:pPr>
              <w:pStyle w:val="Compact"/>
              <w:jc w:val="left"/>
            </w:pPr>
            <w:r>
              <w:t xml:space="preserve">f1</w:t>
            </w:r>
          </w:p>
        </w:tc>
        <w:tc>
          <w:tcPr/>
          <w:p>
            <w:pPr>
              <w:pStyle w:val="Compact"/>
              <w:jc w:val="right"/>
            </w:pPr>
            <w:r>
              <w:t xml:space="preserve">-0.1818</w:t>
            </w:r>
          </w:p>
        </w:tc>
        <w:tc>
          <w:tcPr/>
          <w:p>
            <w:pPr>
              <w:pStyle w:val="Compact"/>
              <w:jc w:val="right"/>
            </w:pPr>
            <w:r>
              <w:t xml:space="preserve">-0.1995</w:t>
            </w:r>
          </w:p>
        </w:tc>
        <w:tc>
          <w:tcPr/>
          <w:p>
            <w:pPr>
              <w:pStyle w:val="Compact"/>
              <w:jc w:val="right"/>
            </w:pPr>
            <w:r>
              <w:t xml:space="preserve">-0.1638</w:t>
            </w:r>
          </w:p>
        </w:tc>
      </w:tr>
      <w:tr>
        <w:tc>
          <w:tcPr/>
          <w:p>
            <w:pPr>
              <w:pStyle w:val="Compact"/>
              <w:jc w:val="left"/>
            </w:pPr>
            <w:r>
              <w:t xml:space="preserve">brier_score</w:t>
            </w:r>
          </w:p>
        </w:tc>
        <w:tc>
          <w:tcPr/>
          <w:p>
            <w:pPr>
              <w:pStyle w:val="Compact"/>
              <w:jc w:val="right"/>
            </w:pPr>
            <w:r>
              <w:t xml:space="preserve">0.0677</w:t>
            </w:r>
          </w:p>
        </w:tc>
        <w:tc>
          <w:tcPr/>
          <w:p>
            <w:pPr>
              <w:pStyle w:val="Compact"/>
              <w:jc w:val="right"/>
            </w:pPr>
            <w:r>
              <w:t xml:space="preserve">0.0635</w:t>
            </w:r>
          </w:p>
        </w:tc>
        <w:tc>
          <w:tcPr/>
          <w:p>
            <w:pPr>
              <w:pStyle w:val="Compact"/>
              <w:jc w:val="right"/>
            </w:pPr>
            <w:r>
              <w:t xml:space="preserve">0.0720</w:t>
            </w:r>
          </w:p>
        </w:tc>
      </w:tr>
      <w:tr>
        <w:tc>
          <w:tcPr/>
          <w:p>
            <w:pPr>
              <w:pStyle w:val="Compact"/>
              <w:jc w:val="left"/>
            </w:pPr>
            <w:r>
              <w:t xml:space="preserve">log_loss</w:t>
            </w:r>
          </w:p>
        </w:tc>
        <w:tc>
          <w:tcPr/>
          <w:p>
            <w:pPr>
              <w:pStyle w:val="Compact"/>
              <w:jc w:val="right"/>
            </w:pPr>
            <w:r>
              <w:t xml:space="preserve">0.2062</w:t>
            </w:r>
          </w:p>
        </w:tc>
        <w:tc>
          <w:tcPr/>
          <w:p>
            <w:pPr>
              <w:pStyle w:val="Compact"/>
              <w:jc w:val="right"/>
            </w:pPr>
            <w:r>
              <w:t xml:space="preserve">0.1939</w:t>
            </w:r>
          </w:p>
        </w:tc>
        <w:tc>
          <w:tcPr/>
          <w:p>
            <w:pPr>
              <w:pStyle w:val="Compact"/>
              <w:jc w:val="right"/>
            </w:pPr>
            <w:r>
              <w:t xml:space="preserve">0.2191</w:t>
            </w:r>
          </w:p>
        </w:tc>
      </w:tr>
    </w:tbl>
    <w:p>
      <w:pPr>
        <w:pStyle w:val="BodyText"/>
      </w:pPr>
      <w:r>
        <w:t xml:space="preserve">Balanced accuracy changes from 0.6308 to 0.5630: -6.79 percentage points, with a 95% article-cluster bootstrap interval of [-7.45, -6.11] points. Shifted toxic recall is 12.90%: 1,112 toxic comments are detected and 7,507 are missed. Source: original analysis results</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24" w:name="fig-performance"/>
          <w:p>
            <w:pPr>
              <w:pStyle w:val="Compact"/>
              <w:jc w:val="center"/>
            </w:pPr>
            <w:r>
              <w:drawing>
                <wp:inline>
                  <wp:extent cx="5334000" cy="3000375"/>
                  <wp:effectExtent b="0" l="0" r="0" t="0"/>
                  <wp:docPr descr="" title="" id="22" name="Picture"/>
                  <a:graphic>
                    <a:graphicData uri="http://schemas.openxmlformats.org/drawingml/2006/picture">
                      <pic:pic>
                        <pic:nvPicPr>
                          <pic:cNvPr descr="report_files/figure-docx/fig-performance-output-1.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Fixed-model performance across the two evaluation populations. Source: original laboratory analysis.</w:t>
            </w:r>
          </w:p>
          <w:bookmarkEnd w:id="24"/>
        </w:tc>
      </w:tr>
    </w:tbl>
    <w:bookmarkEnd w:id="25"/>
    <w:bookmarkStart w:id="26" w:name="which-performance-dimension-changes-most"/>
    <w:p>
      <w:pPr>
        <w:pStyle w:val="Heading2"/>
      </w:pPr>
      <w:r>
        <w:t xml:space="preserve">6.2 Which performance dimension changes most?</w:t>
      </w:r>
    </w:p>
    <w:p>
      <w:pPr>
        <w:pStyle w:val="FirstParagraph"/>
      </w:pPr>
      <w:r>
        <w:t xml:space="preserve">Among the prespecified classification scores on the 0–1 scale, f1 has the largest absolute point change (-0.1818). The error pattern is more informative than the ranking alone: toxic recall falls while specificity changes little. The bootstrap intervals for precision and specificity include zero; this does not establish equivalence. Log-loss changes are not ranked against F1 changes because these quantities have different scales and meanings</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X282d5dae050375e68050a946b174c16a0d2ca2d">
        <w:r>
          <w:rPr>
            <w:rStyle w:val="Hyperlink"/>
          </w:rPr>
          <w:t xml:space="preserve">Scikit-learn developers, n.d.-b</w:t>
        </w:r>
      </w:hyperlink>
      <w:r>
        <w:t xml:space="preserve">)</w:t>
      </w:r>
      <w:r>
        <w:t xml:space="preserve">.</w:t>
      </w:r>
    </w:p>
    <w:bookmarkEnd w:id="26"/>
    <w:bookmarkEnd w:id="27"/>
    <w:bookmarkStart w:id="37" w:name="look-beneath-the-average"/>
    <w:p>
      <w:pPr>
        <w:pStyle w:val="Heading1"/>
      </w:pPr>
      <w:r>
        <w:t xml:space="preserve">7. Look Beneath the Average</w:t>
      </w:r>
    </w:p>
    <w:bookmarkStart w:id="36" w:name="X731de6aa7326909899db2ff9690555c9be79166"/>
    <w:p>
      <w:pPr>
        <w:pStyle w:val="Heading2"/>
      </w:pPr>
      <w:r>
        <w:t xml:space="preserve">7.1 Is degradation similar across relevant subgroups?</w:t>
      </w:r>
    </w:p>
    <w:p>
      <w:pPr>
        <w:pStyle w:val="FirstParagraph"/>
      </w:pPr>
      <w:r>
        <w:t xml:space="preserve">The shared length boundary is the cleaned training median: 35 words. Short means at or below this boundary; long means above it. This boundary is not selected from test outcomes</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tbl>
      <w:tblPr>
        <w:tblStyle w:val="Table"/>
        <w:tblW w:type="pct" w:w="5000"/>
        <w:tblLayout w:type="fixed"/>
        <w:tblLook w:firstRow="1" w:lastRow="0" w:firstColumn="0" w:lastColumn="0" w:noHBand="0" w:noVBand="0" w:val="0020"/>
      </w:tblPr>
      <w:tblGrid>
        <w:gridCol w:w="1564"/>
        <w:gridCol w:w="1857"/>
        <w:gridCol w:w="782"/>
        <w:gridCol w:w="1075"/>
        <w:gridCol w:w="2640"/>
      </w:tblGrid>
      <w:tr>
        <w:trPr>
          <w:tblHeader w:val="on"/>
        </w:trPr>
        <w:tc>
          <w:tcPr/>
          <w:p>
            <w:pPr>
              <w:pStyle w:val="Compact"/>
              <w:jc w:val="left"/>
            </w:pPr>
            <w:r>
              <w:t xml:space="preserve">length_group</w:t>
            </w:r>
          </w:p>
        </w:tc>
        <w:tc>
          <w:tcPr/>
          <w:p>
            <w:pPr>
              <w:pStyle w:val="Compact"/>
              <w:jc w:val="left"/>
            </w:pPr>
            <w:r>
              <w:t xml:space="preserve">metric</w:t>
            </w:r>
          </w:p>
        </w:tc>
        <w:tc>
          <w:tcPr/>
          <w:p>
            <w:pPr>
              <w:pStyle w:val="Compact"/>
              <w:jc w:val="right"/>
            </w:pPr>
            <w:r>
              <w:t xml:space="preserve">ID</w:t>
            </w:r>
          </w:p>
        </w:tc>
        <w:tc>
          <w:tcPr/>
          <w:p>
            <w:pPr>
              <w:pStyle w:val="Compact"/>
              <w:jc w:val="right"/>
            </w:pPr>
            <w:r>
              <w:t xml:space="preserve">shifted</w:t>
            </w:r>
          </w:p>
        </w:tc>
        <w:tc>
          <w:tcPr/>
          <w:p>
            <w:pPr>
              <w:pStyle w:val="Compact"/>
              <w:jc w:val="right"/>
            </w:pPr>
            <w:r>
              <w:t xml:space="preserve">change_shifted_minus_ID</w:t>
            </w:r>
          </w:p>
        </w:tc>
      </w:tr>
      <w:tr>
        <w:tc>
          <w:tcPr/>
          <w:p>
            <w:pPr>
              <w:pStyle w:val="Compact"/>
              <w:jc w:val="left"/>
            </w:pPr>
            <w:r>
              <w:t xml:space="preserve">short</w:t>
            </w:r>
          </w:p>
        </w:tc>
        <w:tc>
          <w:tcPr/>
          <w:p>
            <w:pPr>
              <w:pStyle w:val="Compact"/>
              <w:jc w:val="left"/>
            </w:pPr>
            <w:r>
              <w:t xml:space="preserve">balanced_accuracy</w:t>
            </w:r>
          </w:p>
        </w:tc>
        <w:tc>
          <w:tcPr/>
          <w:p>
            <w:pPr>
              <w:pStyle w:val="Compact"/>
              <w:jc w:val="right"/>
            </w:pPr>
            <w:r>
              <w:t xml:space="preserve">0.6561</w:t>
            </w:r>
          </w:p>
        </w:tc>
        <w:tc>
          <w:tcPr/>
          <w:p>
            <w:pPr>
              <w:pStyle w:val="Compact"/>
              <w:jc w:val="right"/>
            </w:pPr>
            <w:r>
              <w:t xml:space="preserve">0.5568</w:t>
            </w:r>
          </w:p>
        </w:tc>
        <w:tc>
          <w:tcPr/>
          <w:p>
            <w:pPr>
              <w:pStyle w:val="Compact"/>
              <w:jc w:val="right"/>
            </w:pPr>
            <w:r>
              <w:t xml:space="preserve">-0.0993</w:t>
            </w:r>
          </w:p>
        </w:tc>
      </w:tr>
      <w:tr>
        <w:tc>
          <w:tcPr/>
          <w:p>
            <w:pPr>
              <w:pStyle w:val="Compact"/>
              <w:jc w:val="left"/>
            </w:pPr>
            <w:r>
              <w:t xml:space="preserve">short</w:t>
            </w:r>
          </w:p>
        </w:tc>
        <w:tc>
          <w:tcPr/>
          <w:p>
            <w:pPr>
              <w:pStyle w:val="Compact"/>
              <w:jc w:val="left"/>
            </w:pPr>
            <w:r>
              <w:t xml:space="preserve">recall</w:t>
            </w:r>
          </w:p>
        </w:tc>
        <w:tc>
          <w:tcPr/>
          <w:p>
            <w:pPr>
              <w:pStyle w:val="Compact"/>
              <w:jc w:val="right"/>
            </w:pPr>
            <w:r>
              <w:t xml:space="preserve">0.3157</w:t>
            </w:r>
          </w:p>
        </w:tc>
        <w:tc>
          <w:tcPr/>
          <w:p>
            <w:pPr>
              <w:pStyle w:val="Compact"/>
              <w:jc w:val="right"/>
            </w:pPr>
            <w:r>
              <w:t xml:space="preserve">0.1153</w:t>
            </w:r>
          </w:p>
        </w:tc>
        <w:tc>
          <w:tcPr/>
          <w:p>
            <w:pPr>
              <w:pStyle w:val="Compact"/>
              <w:jc w:val="right"/>
            </w:pPr>
            <w:r>
              <w:t xml:space="preserve">-0.2004</w:t>
            </w:r>
          </w:p>
        </w:tc>
      </w:tr>
      <w:tr>
        <w:tc>
          <w:tcPr/>
          <w:p>
            <w:pPr>
              <w:pStyle w:val="Compact"/>
              <w:jc w:val="left"/>
            </w:pPr>
            <w:r>
              <w:t xml:space="preserve">short</w:t>
            </w:r>
          </w:p>
        </w:tc>
        <w:tc>
          <w:tcPr/>
          <w:p>
            <w:pPr>
              <w:pStyle w:val="Compact"/>
              <w:jc w:val="left"/>
            </w:pPr>
            <w:r>
              <w:t xml:space="preserve">specificity</w:t>
            </w:r>
          </w:p>
        </w:tc>
        <w:tc>
          <w:tcPr/>
          <w:p>
            <w:pPr>
              <w:pStyle w:val="Compact"/>
              <w:jc w:val="right"/>
            </w:pPr>
            <w:r>
              <w:t xml:space="preserve">0.9965</w:t>
            </w:r>
          </w:p>
        </w:tc>
        <w:tc>
          <w:tcPr/>
          <w:p>
            <w:pPr>
              <w:pStyle w:val="Compact"/>
              <w:jc w:val="right"/>
            </w:pPr>
            <w:r>
              <w:t xml:space="preserve">0.9984</w:t>
            </w:r>
          </w:p>
        </w:tc>
        <w:tc>
          <w:tcPr/>
          <w:p>
            <w:pPr>
              <w:pStyle w:val="Compact"/>
              <w:jc w:val="right"/>
            </w:pPr>
            <w:r>
              <w:t xml:space="preserve">0.0018</w:t>
            </w:r>
          </w:p>
        </w:tc>
      </w:tr>
      <w:tr>
        <w:tc>
          <w:tcPr/>
          <w:p>
            <w:pPr>
              <w:pStyle w:val="Compact"/>
              <w:jc w:val="left"/>
            </w:pPr>
            <w:r>
              <w:t xml:space="preserve">long</w:t>
            </w:r>
          </w:p>
        </w:tc>
        <w:tc>
          <w:tcPr/>
          <w:p>
            <w:pPr>
              <w:pStyle w:val="Compact"/>
              <w:jc w:val="left"/>
            </w:pPr>
            <w:r>
              <w:t xml:space="preserve">balanced_accuracy</w:t>
            </w:r>
          </w:p>
        </w:tc>
        <w:tc>
          <w:tcPr/>
          <w:p>
            <w:pPr>
              <w:pStyle w:val="Compact"/>
              <w:jc w:val="right"/>
            </w:pPr>
            <w:r>
              <w:t xml:space="preserve">0.6008</w:t>
            </w:r>
          </w:p>
        </w:tc>
        <w:tc>
          <w:tcPr/>
          <w:p>
            <w:pPr>
              <w:pStyle w:val="Compact"/>
              <w:jc w:val="right"/>
            </w:pPr>
            <w:r>
              <w:t xml:space="preserve">0.5667</w:t>
            </w:r>
          </w:p>
        </w:tc>
        <w:tc>
          <w:tcPr/>
          <w:p>
            <w:pPr>
              <w:pStyle w:val="Compact"/>
              <w:jc w:val="right"/>
            </w:pPr>
            <w:r>
              <w:t xml:space="preserve">-0.0342</w:t>
            </w:r>
          </w:p>
        </w:tc>
      </w:tr>
      <w:tr>
        <w:tc>
          <w:tcPr/>
          <w:p>
            <w:pPr>
              <w:pStyle w:val="Compact"/>
              <w:jc w:val="left"/>
            </w:pPr>
            <w:r>
              <w:t xml:space="preserve">long</w:t>
            </w:r>
          </w:p>
        </w:tc>
        <w:tc>
          <w:tcPr/>
          <w:p>
            <w:pPr>
              <w:pStyle w:val="Compact"/>
              <w:jc w:val="left"/>
            </w:pPr>
            <w:r>
              <w:t xml:space="preserve">recall</w:t>
            </w:r>
          </w:p>
        </w:tc>
        <w:tc>
          <w:tcPr/>
          <w:p>
            <w:pPr>
              <w:pStyle w:val="Compact"/>
              <w:jc w:val="right"/>
            </w:pPr>
            <w:r>
              <w:t xml:space="preserve">0.2042</w:t>
            </w:r>
          </w:p>
        </w:tc>
        <w:tc>
          <w:tcPr/>
          <w:p>
            <w:pPr>
              <w:pStyle w:val="Compact"/>
              <w:jc w:val="right"/>
            </w:pPr>
            <w:r>
              <w:t xml:space="preserve">0.1369</w:t>
            </w:r>
          </w:p>
        </w:tc>
        <w:tc>
          <w:tcPr/>
          <w:p>
            <w:pPr>
              <w:pStyle w:val="Compact"/>
              <w:jc w:val="right"/>
            </w:pPr>
            <w:r>
              <w:t xml:space="preserve">-0.0673</w:t>
            </w:r>
          </w:p>
        </w:tc>
      </w:tr>
      <w:tr>
        <w:tc>
          <w:tcPr/>
          <w:p>
            <w:pPr>
              <w:pStyle w:val="Compact"/>
              <w:jc w:val="left"/>
            </w:pPr>
            <w:r>
              <w:t xml:space="preserve">long</w:t>
            </w:r>
          </w:p>
        </w:tc>
        <w:tc>
          <w:tcPr/>
          <w:p>
            <w:pPr>
              <w:pStyle w:val="Compact"/>
              <w:jc w:val="left"/>
            </w:pPr>
            <w:r>
              <w:t xml:space="preserve">specificity</w:t>
            </w:r>
          </w:p>
        </w:tc>
        <w:tc>
          <w:tcPr/>
          <w:p>
            <w:pPr>
              <w:pStyle w:val="Compact"/>
              <w:jc w:val="right"/>
            </w:pPr>
            <w:r>
              <w:t xml:space="preserve">0.9974</w:t>
            </w:r>
          </w:p>
        </w:tc>
        <w:tc>
          <w:tcPr/>
          <w:p>
            <w:pPr>
              <w:pStyle w:val="Compact"/>
              <w:jc w:val="right"/>
            </w:pPr>
            <w:r>
              <w:t xml:space="preserve">0.9964</w:t>
            </w:r>
          </w:p>
        </w:tc>
        <w:tc>
          <w:tcPr/>
          <w:p>
            <w:pPr>
              <w:pStyle w:val="Compact"/>
              <w:jc w:val="right"/>
            </w:pPr>
            <w:r>
              <w:t xml:space="preserve">-0.0010</w:t>
            </w:r>
          </w:p>
        </w:tc>
      </w:tr>
    </w:tbl>
    <w:tbl>
      <w:tblPr>
        <w:tblStyle w:val="Table"/>
        <w:tblW w:type="pct" w:w="5000"/>
        <w:tblLayout w:type="fixed"/>
        <w:tblLook w:firstRow="0" w:lastRow="0" w:firstColumn="0" w:lastColumn="0" w:noHBand="0" w:noVBand="0" w:val="0000"/>
      </w:tblPr>
      <w:tblGrid>
        <w:gridCol w:w="7920"/>
      </w:tblGrid>
      <w:tr>
        <w:tc>
          <w:tcPr/>
          <w:bookmarkStart w:id="31" w:name="fig-length"/>
          <w:p>
            <w:pPr>
              <w:pStyle w:val="Compact"/>
              <w:jc w:val="center"/>
            </w:pPr>
            <w:r>
              <w:drawing>
                <wp:inline>
                  <wp:extent cx="5334000" cy="4000499"/>
                  <wp:effectExtent b="0" l="0" r="0" t="0"/>
                  <wp:docPr descr="" title="" id="29" name="Picture"/>
                  <a:graphic>
                    <a:graphicData uri="http://schemas.openxmlformats.org/drawingml/2006/picture">
                      <pic:pic>
                        <pic:nvPicPr>
                          <pic:cNvPr descr="report_files/figure-docx/fig-length-output-1.png" id="30" name="Picture"/>
                          <pic:cNvPicPr>
                            <a:picLocks noChangeArrowheads="1" noChangeAspect="1"/>
                          </pic:cNvPicPr>
                        </pic:nvPicPr>
                        <pic:blipFill>
                          <a:blip r:embed="rId28"/>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Balanced accuracy by a common training-defined comment-length boundary. Source: original laboratory analysis.</w:t>
            </w:r>
          </w:p>
          <w:bookmarkEnd w:id="31"/>
        </w:tc>
      </w:tr>
    </w:tbl>
    <w:p>
      <w:pPr>
        <w:pStyle w:val="BodyText"/>
      </w:pPr>
      <w:r>
        <w:t xml:space="preserve">The observed balanced-accuracy change is -9.93 percentage points for short comments and -3.42 for long comments. Degradation is descriptively uneven, but a difference between subgroup changes has not been tested with its own interval. A larger change must also be distinguished from a lower final score</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tbl>
      <w:tblPr>
        <w:tblStyle w:val="Table"/>
        <w:tblW w:type="pct" w:w="5000"/>
        <w:tblLayout w:type="fixed"/>
        <w:tblLook w:firstRow="1" w:lastRow="0" w:firstColumn="0" w:lastColumn="0" w:noHBand="0" w:noVBand="0" w:val="0020"/>
      </w:tblPr>
      <w:tblGrid>
        <w:gridCol w:w="1662"/>
        <w:gridCol w:w="684"/>
        <w:gridCol w:w="1075"/>
        <w:gridCol w:w="977"/>
        <w:gridCol w:w="1466"/>
        <w:gridCol w:w="2053"/>
      </w:tblGrid>
      <w:tr>
        <w:trPr>
          <w:tblHeader w:val="on"/>
        </w:trPr>
        <w:tc>
          <w:tcPr/>
          <w:p>
            <w:pPr>
              <w:pStyle w:val="Compact"/>
              <w:jc w:val="left"/>
            </w:pPr>
            <w:r>
              <w:t xml:space="preserve">identity</w:t>
            </w:r>
          </w:p>
        </w:tc>
        <w:tc>
          <w:tcPr/>
          <w:p>
            <w:pPr>
              <w:pStyle w:val="Compact"/>
              <w:jc w:val="right"/>
            </w:pPr>
            <w:r>
              <w:t xml:space="preserve">n</w:t>
            </w:r>
          </w:p>
        </w:tc>
        <w:tc>
          <w:tcPr/>
          <w:p>
            <w:pPr>
              <w:pStyle w:val="Compact"/>
              <w:jc w:val="right"/>
            </w:pPr>
            <w:r>
              <w:t xml:space="preserve">toxic_n</w:t>
            </w:r>
          </w:p>
        </w:tc>
        <w:tc>
          <w:tcPr/>
          <w:p>
            <w:pPr>
              <w:pStyle w:val="Compact"/>
              <w:jc w:val="right"/>
            </w:pPr>
            <w:r>
              <w:t xml:space="preserve">recall</w:t>
            </w:r>
          </w:p>
        </w:tc>
        <w:tc>
          <w:tcPr/>
          <w:p>
            <w:pPr>
              <w:pStyle w:val="Compact"/>
              <w:jc w:val="right"/>
            </w:pPr>
            <w:r>
              <w:t xml:space="preserve">specificity</w:t>
            </w:r>
          </w:p>
        </w:tc>
        <w:tc>
          <w:tcPr/>
          <w:p>
            <w:pPr>
              <w:pStyle w:val="Compact"/>
              <w:jc w:val="right"/>
            </w:pPr>
            <w:r>
              <w:t xml:space="preserve">balanced_accuracy</w:t>
            </w:r>
          </w:p>
        </w:tc>
      </w:tr>
      <w:tr>
        <w:tc>
          <w:tcPr/>
          <w:p>
            <w:pPr>
              <w:pStyle w:val="Compact"/>
              <w:jc w:val="left"/>
            </w:pPr>
            <w:r>
              <w:t xml:space="preserve">male</w:t>
            </w:r>
          </w:p>
        </w:tc>
        <w:tc>
          <w:tcPr/>
          <w:p>
            <w:pPr>
              <w:pStyle w:val="Compact"/>
              <w:jc w:val="right"/>
            </w:pPr>
            <w:r>
              <w:t xml:space="preserve">14143</w:t>
            </w:r>
          </w:p>
        </w:tc>
        <w:tc>
          <w:tcPr/>
          <w:p>
            <w:pPr>
              <w:pStyle w:val="Compact"/>
              <w:jc w:val="right"/>
            </w:pPr>
            <w:r>
              <w:t xml:space="preserve">2171</w:t>
            </w:r>
          </w:p>
        </w:tc>
        <w:tc>
          <w:tcPr/>
          <w:p>
            <w:pPr>
              <w:pStyle w:val="Compact"/>
              <w:jc w:val="right"/>
            </w:pPr>
            <w:r>
              <w:t xml:space="preserve">0.1608</w:t>
            </w:r>
          </w:p>
        </w:tc>
        <w:tc>
          <w:tcPr/>
          <w:p>
            <w:pPr>
              <w:pStyle w:val="Compact"/>
              <w:jc w:val="right"/>
            </w:pPr>
            <w:r>
              <w:t xml:space="preserve">0.9959</w:t>
            </w:r>
          </w:p>
        </w:tc>
        <w:tc>
          <w:tcPr/>
          <w:p>
            <w:pPr>
              <w:pStyle w:val="Compact"/>
              <w:jc w:val="right"/>
            </w:pPr>
            <w:r>
              <w:t xml:space="preserve">0.5783</w:t>
            </w:r>
          </w:p>
        </w:tc>
      </w:tr>
      <w:tr>
        <w:tc>
          <w:tcPr/>
          <w:p>
            <w:pPr>
              <w:pStyle w:val="Compact"/>
              <w:jc w:val="left"/>
            </w:pPr>
            <w:r>
              <w:t xml:space="preserve">female</w:t>
            </w:r>
          </w:p>
        </w:tc>
        <w:tc>
          <w:tcPr/>
          <w:p>
            <w:pPr>
              <w:pStyle w:val="Compact"/>
              <w:jc w:val="right"/>
            </w:pPr>
            <w:r>
              <w:t xml:space="preserve">16255</w:t>
            </w:r>
          </w:p>
        </w:tc>
        <w:tc>
          <w:tcPr/>
          <w:p>
            <w:pPr>
              <w:pStyle w:val="Compact"/>
              <w:jc w:val="right"/>
            </w:pPr>
            <w:r>
              <w:t xml:space="preserve">2240</w:t>
            </w:r>
          </w:p>
        </w:tc>
        <w:tc>
          <w:tcPr/>
          <w:p>
            <w:pPr>
              <w:pStyle w:val="Compact"/>
              <w:jc w:val="right"/>
            </w:pPr>
            <w:r>
              <w:t xml:space="preserve">0.1571</w:t>
            </w:r>
          </w:p>
        </w:tc>
        <w:tc>
          <w:tcPr/>
          <w:p>
            <w:pPr>
              <w:pStyle w:val="Compact"/>
              <w:jc w:val="right"/>
            </w:pPr>
            <w:r>
              <w:t xml:space="preserve">0.9970</w:t>
            </w:r>
          </w:p>
        </w:tc>
        <w:tc>
          <w:tcPr/>
          <w:p>
            <w:pPr>
              <w:pStyle w:val="Compact"/>
              <w:jc w:val="right"/>
            </w:pPr>
            <w:r>
              <w:t xml:space="preserve">0.5771</w:t>
            </w:r>
          </w:p>
        </w:tc>
      </w:tr>
      <w:tr>
        <w:tc>
          <w:tcPr/>
          <w:p>
            <w:pPr>
              <w:pStyle w:val="Compact"/>
              <w:jc w:val="left"/>
            </w:pPr>
            <w:r>
              <w:t xml:space="preserve">LGBTQ</w:t>
            </w:r>
          </w:p>
        </w:tc>
        <w:tc>
          <w:tcPr/>
          <w:p>
            <w:pPr>
              <w:pStyle w:val="Compact"/>
              <w:jc w:val="right"/>
            </w:pPr>
            <w:r>
              <w:t xml:space="preserve">4377</w:t>
            </w:r>
          </w:p>
        </w:tc>
        <w:tc>
          <w:tcPr/>
          <w:p>
            <w:pPr>
              <w:pStyle w:val="Compact"/>
              <w:jc w:val="right"/>
            </w:pPr>
            <w:r>
              <w:t xml:space="preserve">1196</w:t>
            </w:r>
          </w:p>
        </w:tc>
        <w:tc>
          <w:tcPr/>
          <w:p>
            <w:pPr>
              <w:pStyle w:val="Compact"/>
              <w:jc w:val="right"/>
            </w:pPr>
            <w:r>
              <w:t xml:space="preserve">0.0736</w:t>
            </w:r>
          </w:p>
        </w:tc>
        <w:tc>
          <w:tcPr/>
          <w:p>
            <w:pPr>
              <w:pStyle w:val="Compact"/>
              <w:jc w:val="right"/>
            </w:pPr>
            <w:r>
              <w:t xml:space="preserve">0.9981</w:t>
            </w:r>
          </w:p>
        </w:tc>
        <w:tc>
          <w:tcPr/>
          <w:p>
            <w:pPr>
              <w:pStyle w:val="Compact"/>
              <w:jc w:val="right"/>
            </w:pPr>
            <w:r>
              <w:t xml:space="preserve">0.5358</w:t>
            </w:r>
          </w:p>
        </w:tc>
      </w:tr>
      <w:tr>
        <w:tc>
          <w:tcPr/>
          <w:p>
            <w:pPr>
              <w:pStyle w:val="Compact"/>
              <w:jc w:val="left"/>
            </w:pPr>
            <w:r>
              <w:t xml:space="preserve">christian</w:t>
            </w:r>
          </w:p>
        </w:tc>
        <w:tc>
          <w:tcPr/>
          <w:p>
            <w:pPr>
              <w:pStyle w:val="Compact"/>
              <w:jc w:val="right"/>
            </w:pPr>
            <w:r>
              <w:t xml:space="preserve">13242</w:t>
            </w:r>
          </w:p>
        </w:tc>
        <w:tc>
          <w:tcPr/>
          <w:p>
            <w:pPr>
              <w:pStyle w:val="Compact"/>
              <w:jc w:val="right"/>
            </w:pPr>
            <w:r>
              <w:t xml:space="preserve">1243</w:t>
            </w:r>
          </w:p>
        </w:tc>
        <w:tc>
          <w:tcPr/>
          <w:p>
            <w:pPr>
              <w:pStyle w:val="Compact"/>
              <w:jc w:val="right"/>
            </w:pPr>
            <w:r>
              <w:t xml:space="preserve">0.0861</w:t>
            </w:r>
          </w:p>
        </w:tc>
        <w:tc>
          <w:tcPr/>
          <w:p>
            <w:pPr>
              <w:pStyle w:val="Compact"/>
              <w:jc w:val="right"/>
            </w:pPr>
            <w:r>
              <w:t xml:space="preserve">0.9988</w:t>
            </w:r>
          </w:p>
        </w:tc>
        <w:tc>
          <w:tcPr/>
          <w:p>
            <w:pPr>
              <w:pStyle w:val="Compact"/>
              <w:jc w:val="right"/>
            </w:pPr>
            <w:r>
              <w:t xml:space="preserve">0.5425</w:t>
            </w:r>
          </w:p>
        </w:tc>
      </w:tr>
      <w:tr>
        <w:tc>
          <w:tcPr/>
          <w:p>
            <w:pPr>
              <w:pStyle w:val="Compact"/>
              <w:jc w:val="left"/>
            </w:pPr>
            <w:r>
              <w:t xml:space="preserve">muslim</w:t>
            </w:r>
          </w:p>
        </w:tc>
        <w:tc>
          <w:tcPr/>
          <w:p>
            <w:pPr>
              <w:pStyle w:val="Compact"/>
              <w:jc w:val="right"/>
            </w:pPr>
            <w:r>
              <w:t xml:space="preserve">6813</w:t>
            </w:r>
          </w:p>
        </w:tc>
        <w:tc>
          <w:tcPr/>
          <w:p>
            <w:pPr>
              <w:pStyle w:val="Compact"/>
              <w:jc w:val="right"/>
            </w:pPr>
            <w:r>
              <w:t xml:space="preserve">1588</w:t>
            </w:r>
          </w:p>
        </w:tc>
        <w:tc>
          <w:tcPr/>
          <w:p>
            <w:pPr>
              <w:pStyle w:val="Compact"/>
              <w:jc w:val="right"/>
            </w:pPr>
            <w:r>
              <w:t xml:space="preserve">0.0963</w:t>
            </w:r>
          </w:p>
        </w:tc>
        <w:tc>
          <w:tcPr/>
          <w:p>
            <w:pPr>
              <w:pStyle w:val="Compact"/>
              <w:jc w:val="right"/>
            </w:pPr>
            <w:r>
              <w:t xml:space="preserve">0.9956</w:t>
            </w:r>
          </w:p>
        </w:tc>
        <w:tc>
          <w:tcPr/>
          <w:p>
            <w:pPr>
              <w:pStyle w:val="Compact"/>
              <w:jc w:val="right"/>
            </w:pPr>
            <w:r>
              <w:t xml:space="preserve">0.5460</w:t>
            </w:r>
          </w:p>
        </w:tc>
      </w:tr>
      <w:tr>
        <w:tc>
          <w:tcPr/>
          <w:p>
            <w:pPr>
              <w:pStyle w:val="Compact"/>
              <w:jc w:val="left"/>
            </w:pPr>
            <w:r>
              <w:t xml:space="preserve">other_religions</w:t>
            </w:r>
          </w:p>
        </w:tc>
        <w:tc>
          <w:tcPr/>
          <w:p>
            <w:pPr>
              <w:pStyle w:val="Compact"/>
              <w:jc w:val="right"/>
            </w:pPr>
            <w:r>
              <w:t xml:space="preserve">3438</w:t>
            </w:r>
          </w:p>
        </w:tc>
        <w:tc>
          <w:tcPr/>
          <w:p>
            <w:pPr>
              <w:pStyle w:val="Compact"/>
              <w:jc w:val="right"/>
            </w:pPr>
            <w:r>
              <w:t xml:space="preserve">513</w:t>
            </w:r>
          </w:p>
        </w:tc>
        <w:tc>
          <w:tcPr/>
          <w:p>
            <w:pPr>
              <w:pStyle w:val="Compact"/>
              <w:jc w:val="right"/>
            </w:pPr>
            <w:r>
              <w:t xml:space="preserve">0.0760</w:t>
            </w:r>
          </w:p>
        </w:tc>
        <w:tc>
          <w:tcPr/>
          <w:p>
            <w:pPr>
              <w:pStyle w:val="Compact"/>
              <w:jc w:val="right"/>
            </w:pPr>
            <w:r>
              <w:t xml:space="preserve">0.9990</w:t>
            </w:r>
          </w:p>
        </w:tc>
        <w:tc>
          <w:tcPr/>
          <w:p>
            <w:pPr>
              <w:pStyle w:val="Compact"/>
              <w:jc w:val="right"/>
            </w:pPr>
            <w:r>
              <w:t xml:space="preserve">0.5375</w:t>
            </w:r>
          </w:p>
        </w:tc>
      </w:tr>
      <w:tr>
        <w:tc>
          <w:tcPr/>
          <w:p>
            <w:pPr>
              <w:pStyle w:val="Compact"/>
              <w:jc w:val="left"/>
            </w:pPr>
            <w:r>
              <w:t xml:space="preserve">black</w:t>
            </w:r>
          </w:p>
        </w:tc>
        <w:tc>
          <w:tcPr/>
          <w:p>
            <w:pPr>
              <w:pStyle w:val="Compact"/>
              <w:jc w:val="right"/>
            </w:pPr>
            <w:r>
              <w:t xml:space="preserve">4812</w:t>
            </w:r>
          </w:p>
        </w:tc>
        <w:tc>
          <w:tcPr/>
          <w:p>
            <w:pPr>
              <w:pStyle w:val="Compact"/>
              <w:jc w:val="right"/>
            </w:pPr>
            <w:r>
              <w:t xml:space="preserve">1510</w:t>
            </w:r>
          </w:p>
        </w:tc>
        <w:tc>
          <w:tcPr/>
          <w:p>
            <w:pPr>
              <w:pStyle w:val="Compact"/>
              <w:jc w:val="right"/>
            </w:pPr>
            <w:r>
              <w:t xml:space="preserve">0.1066</w:t>
            </w:r>
          </w:p>
        </w:tc>
        <w:tc>
          <w:tcPr/>
          <w:p>
            <w:pPr>
              <w:pStyle w:val="Compact"/>
              <w:jc w:val="right"/>
            </w:pPr>
            <w:r>
              <w:t xml:space="preserve">0.9942</w:t>
            </w:r>
          </w:p>
        </w:tc>
        <w:tc>
          <w:tcPr/>
          <w:p>
            <w:pPr>
              <w:pStyle w:val="Compact"/>
              <w:jc w:val="right"/>
            </w:pPr>
            <w:r>
              <w:t xml:space="preserve">0.5504</w:t>
            </w:r>
          </w:p>
        </w:tc>
      </w:tr>
      <w:tr>
        <w:tc>
          <w:tcPr/>
          <w:p>
            <w:pPr>
              <w:pStyle w:val="Compact"/>
              <w:jc w:val="left"/>
            </w:pPr>
            <w:r>
              <w:t xml:space="preserve">white</w:t>
            </w:r>
          </w:p>
        </w:tc>
        <w:tc>
          <w:tcPr/>
          <w:p>
            <w:pPr>
              <w:pStyle w:val="Compact"/>
              <w:jc w:val="right"/>
            </w:pPr>
            <w:r>
              <w:t xml:space="preserve">7796</w:t>
            </w:r>
          </w:p>
        </w:tc>
        <w:tc>
          <w:tcPr/>
          <w:p>
            <w:pPr>
              <w:pStyle w:val="Compact"/>
              <w:jc w:val="right"/>
            </w:pPr>
            <w:r>
              <w:t xml:space="preserve">2182</w:t>
            </w:r>
          </w:p>
        </w:tc>
        <w:tc>
          <w:tcPr/>
          <w:p>
            <w:pPr>
              <w:pStyle w:val="Compact"/>
              <w:jc w:val="right"/>
            </w:pPr>
            <w:r>
              <w:t xml:space="preserve">0.1247</w:t>
            </w:r>
          </w:p>
        </w:tc>
        <w:tc>
          <w:tcPr/>
          <w:p>
            <w:pPr>
              <w:pStyle w:val="Compact"/>
              <w:jc w:val="right"/>
            </w:pPr>
            <w:r>
              <w:t xml:space="preserve">0.9945</w:t>
            </w:r>
          </w:p>
        </w:tc>
        <w:tc>
          <w:tcPr/>
          <w:p>
            <w:pPr>
              <w:pStyle w:val="Compact"/>
              <w:jc w:val="right"/>
            </w:pPr>
            <w:r>
              <w:t xml:space="preserve">0.5596</w:t>
            </w:r>
          </w:p>
        </w:tc>
      </w:tr>
    </w:tbl>
    <w:p>
      <w:pPr>
        <w:pStyle w:val="BodyText"/>
      </w:pPr>
      <w:r>
        <w:t xml:space="preserve">Within shifted test, the lowest observed toxic recall is 7.36% for LGBTQ mentions: 88 of 1,196 toxic comments are detected. Identity groups overlap and are not additive. They describe mentions, not authors, and their differences are descriptive rather than uncertainty-adjusted. These are local shifted-population failures, not matched identity-specific ID-to-shifted changes</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X3cb78d5960ddbe40797b50f5e5349dbcc9a3af6">
        <w:r>
          <w:rPr>
            <w:rStyle w:val="Hyperlink"/>
          </w:rPr>
          <w:t xml:space="preserve">WILDS contributors, n.d.</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35" w:name="fig-identity"/>
          <w:p>
            <w:pPr>
              <w:pStyle w:val="Compact"/>
              <w:jc w:val="center"/>
            </w:pPr>
            <w:r>
              <w:drawing>
                <wp:inline>
                  <wp:extent cx="5334000" cy="3429000"/>
                  <wp:effectExtent b="0" l="0" r="0" t="0"/>
                  <wp:docPr descr="" title="" id="33" name="Picture"/>
                  <a:graphic>
                    <a:graphicData uri="http://schemas.openxmlformats.org/drawingml/2006/picture">
                      <pic:pic>
                        <pic:nvPicPr>
                          <pic:cNvPr descr="report_files/figure-docx/fig-identity-output-1.png" id="34" name="Picture"/>
                          <pic:cNvPicPr>
                            <a:picLocks noChangeArrowheads="1" noChangeAspect="1"/>
                          </pic:cNvPicPr>
                        </pic:nvPicPr>
                        <pic:blipFill>
                          <a:blip r:embed="rId32"/>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Toxic recall within overlapping identity-mention groups in shifted test. Source: original laboratory analysis.</w:t>
            </w:r>
          </w:p>
          <w:bookmarkEnd w:id="35"/>
        </w:tc>
      </w:tr>
    </w:tbl>
    <w:bookmarkEnd w:id="36"/>
    <w:bookmarkEnd w:id="37"/>
    <w:bookmarkStart w:id="48" w:name="diagnose"/>
    <w:p>
      <w:pPr>
        <w:pStyle w:val="Heading1"/>
      </w:pPr>
      <w:r>
        <w:t xml:space="preserve">8. Diagnose</w:t>
      </w:r>
    </w:p>
    <w:bookmarkStart w:id="47" w:name="X3e7152531ac4cf89673ff758c5c870756825071"/>
    <w:p>
      <w:pPr>
        <w:pStyle w:val="Heading2"/>
      </w:pPr>
      <w:r>
        <w:t xml:space="preserve">8.1 What evidence suggests a possible explanation?</w:t>
      </w:r>
    </w:p>
    <w:bookmarkStart w:id="38" w:name="outcome-and-predictor-composition"/>
    <w:p>
      <w:pPr>
        <w:pStyle w:val="Heading3"/>
      </w:pPr>
      <w:r>
        <w:t xml:space="preserve">8.1.1 Outcome and predictor composition</w:t>
      </w:r>
    </w:p>
    <w:tbl>
      <w:tblPr>
        <w:tblStyle w:val="Table"/>
        <w:tblW w:type="pct" w:w="5000"/>
        <w:tblLayout w:type="fixed"/>
        <w:tblLook w:firstRow="1" w:lastRow="0" w:firstColumn="0" w:lastColumn="0" w:noHBand="0" w:noVBand="0" w:val="0020"/>
      </w:tblPr>
      <w:tblGrid>
        <w:gridCol w:w="1179"/>
        <w:gridCol w:w="2696"/>
        <w:gridCol w:w="1179"/>
        <w:gridCol w:w="1348"/>
        <w:gridCol w:w="1516"/>
      </w:tblGrid>
      <w:tr>
        <w:trPr>
          <w:tblHeader w:val="on"/>
        </w:trPr>
        <w:tc>
          <w:tcPr/>
          <w:p>
            <w:pPr>
              <w:pStyle w:val="Compact"/>
              <w:jc w:val="left"/>
            </w:pPr>
            <w:r>
              <w:t xml:space="preserve">partition</w:t>
            </w:r>
          </w:p>
        </w:tc>
        <w:tc>
          <w:tcPr/>
          <w:p>
            <w:pPr>
              <w:pStyle w:val="Compact"/>
              <w:jc w:val="right"/>
            </w:pPr>
            <w:r>
              <w:t xml:space="preserve">observed_toxicity_prevalence</w:t>
            </w:r>
          </w:p>
        </w:tc>
        <w:tc>
          <w:tcPr/>
          <w:p>
            <w:pPr>
              <w:pStyle w:val="Compact"/>
              <w:jc w:val="right"/>
            </w:pPr>
            <w:r>
              <w:t xml:space="preserve">mean_words</w:t>
            </w:r>
          </w:p>
        </w:tc>
        <w:tc>
          <w:tcPr/>
          <w:p>
            <w:pPr>
              <w:pStyle w:val="Compact"/>
              <w:jc w:val="right"/>
            </w:pPr>
            <w:r>
              <w:t xml:space="preserve">median_words</w:t>
            </w:r>
          </w:p>
        </w:tc>
        <w:tc>
          <w:tcPr/>
          <w:p>
            <w:pPr>
              <w:pStyle w:val="Compact"/>
              <w:jc w:val="right"/>
            </w:pPr>
            <w:r>
              <w:t xml:space="preserve">fraction_short</w:t>
            </w:r>
          </w:p>
        </w:tc>
      </w:tr>
      <w:tr>
        <w:tc>
          <w:tcPr/>
          <w:p>
            <w:pPr>
              <w:pStyle w:val="Compact"/>
              <w:jc w:val="left"/>
            </w:pPr>
            <w:r>
              <w:t xml:space="preserve">ID_test</w:t>
            </w:r>
          </w:p>
        </w:tc>
        <w:tc>
          <w:tcPr/>
          <w:p>
            <w:pPr>
              <w:pStyle w:val="Compact"/>
              <w:jc w:val="right"/>
            </w:pPr>
            <w:r>
              <w:t xml:space="preserve">0.0793</w:t>
            </w:r>
          </w:p>
        </w:tc>
        <w:tc>
          <w:tcPr/>
          <w:p>
            <w:pPr>
              <w:pStyle w:val="Compact"/>
              <w:jc w:val="right"/>
            </w:pPr>
            <w:r>
              <w:t xml:space="preserve">50.3095</w:t>
            </w:r>
          </w:p>
        </w:tc>
        <w:tc>
          <w:tcPr/>
          <w:p>
            <w:pPr>
              <w:pStyle w:val="Compact"/>
              <w:jc w:val="right"/>
            </w:pPr>
            <w:r>
              <w:t xml:space="preserve">35.0000</w:t>
            </w:r>
          </w:p>
        </w:tc>
        <w:tc>
          <w:tcPr/>
          <w:p>
            <w:pPr>
              <w:pStyle w:val="Compact"/>
              <w:jc w:val="right"/>
            </w:pPr>
            <w:r>
              <w:t xml:space="preserve">0.5068</w:t>
            </w:r>
          </w:p>
        </w:tc>
      </w:tr>
      <w:tr>
        <w:tc>
          <w:tcPr/>
          <w:p>
            <w:pPr>
              <w:pStyle w:val="Compact"/>
              <w:jc w:val="left"/>
            </w:pPr>
            <w:r>
              <w:t xml:space="preserve">shifted_test</w:t>
            </w:r>
          </w:p>
        </w:tc>
        <w:tc>
          <w:tcPr/>
          <w:p>
            <w:pPr>
              <w:pStyle w:val="Compact"/>
              <w:jc w:val="right"/>
            </w:pPr>
            <w:r>
              <w:t xml:space="preserve">0.1661</w:t>
            </w:r>
          </w:p>
        </w:tc>
        <w:tc>
          <w:tcPr/>
          <w:p>
            <w:pPr>
              <w:pStyle w:val="Compact"/>
              <w:jc w:val="right"/>
            </w:pPr>
            <w:r>
              <w:t xml:space="preserve">75.8077</w:t>
            </w:r>
          </w:p>
        </w:tc>
        <w:tc>
          <w:tcPr/>
          <w:p>
            <w:pPr>
              <w:pStyle w:val="Compact"/>
              <w:jc w:val="right"/>
            </w:pPr>
            <w:r>
              <w:t xml:space="preserve">63.0000</w:t>
            </w:r>
          </w:p>
        </w:tc>
        <w:tc>
          <w:tcPr/>
          <w:p>
            <w:pPr>
              <w:pStyle w:val="Compact"/>
              <w:jc w:val="right"/>
            </w:pPr>
            <w:r>
              <w:t xml:space="preserve">0.2830</w:t>
            </w:r>
          </w:p>
        </w:tc>
      </w:tr>
    </w:tbl>
    <w:p>
      <w:pPr>
        <w:pStyle w:val="BodyText"/>
      </w:pPr>
      <w:r>
        <w:t xml:space="preserve">The shifted population differs in outcome prevalence and length composition. The earlier length subgroup comparison shows lower shifted balanced accuracy within both coarse length categories, so merely identifying more long comments is not a sufficient explanation. Nonetheless, these strata do not isolate a causal length effect or hold all other text properties constant</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bookmarkEnd w:id="38"/>
    <w:bookmarkStart w:id="39" w:name="Xc9ab83f21b7c3ef87cb9e03ae313ac07be79cbb"/>
    <w:p>
      <w:pPr>
        <w:pStyle w:val="Heading3"/>
      </w:pPr>
      <w:r>
        <w:t xml:space="preserve">8.1.2 Representation by the training vocabulary</w:t>
      </w:r>
    </w:p>
    <w:tbl>
      <w:tblPr>
        <w:tblStyle w:val="Table"/>
        <w:tblW w:type="pct" w:w="5000"/>
        <w:tblLayout w:type="fixed"/>
        <w:tblLook w:firstRow="1" w:lastRow="0" w:firstColumn="0" w:lastColumn="0" w:noHBand="0" w:noVBand="0" w:val="0020"/>
      </w:tblPr>
      <w:tblGrid>
        <w:gridCol w:w="1320"/>
        <w:gridCol w:w="3488"/>
        <w:gridCol w:w="3111"/>
      </w:tblGrid>
      <w:tr>
        <w:trPr>
          <w:tblHeader w:val="on"/>
        </w:trPr>
        <w:tc>
          <w:tcPr/>
          <w:p>
            <w:pPr>
              <w:pStyle w:val="Compact"/>
              <w:jc w:val="left"/>
            </w:pPr>
            <w:r>
              <w:t xml:space="preserve">partition</w:t>
            </w:r>
          </w:p>
        </w:tc>
        <w:tc>
          <w:tcPr/>
          <w:p>
            <w:pPr>
              <w:pStyle w:val="Compact"/>
              <w:jc w:val="right"/>
            </w:pPr>
            <w:r>
              <w:t xml:space="preserve">outside_vocabulary_ngram_fraction</w:t>
            </w:r>
          </w:p>
        </w:tc>
        <w:tc>
          <w:tcPr/>
          <w:p>
            <w:pPr>
              <w:pStyle w:val="Compact"/>
              <w:jc w:val="right"/>
            </w:pPr>
            <w:r>
              <w:t xml:space="preserve">zero_feature_comment_fraction</w:t>
            </w:r>
          </w:p>
        </w:tc>
      </w:tr>
      <w:tr>
        <w:tc>
          <w:tcPr/>
          <w:p>
            <w:pPr>
              <w:pStyle w:val="Compact"/>
              <w:jc w:val="left"/>
            </w:pPr>
            <w:r>
              <w:t xml:space="preserve">ID_test</w:t>
            </w:r>
          </w:p>
        </w:tc>
        <w:tc>
          <w:tcPr/>
          <w:p>
            <w:pPr>
              <w:pStyle w:val="Compact"/>
              <w:jc w:val="right"/>
            </w:pPr>
            <w:r>
              <w:t xml:space="preserve">0.2627</w:t>
            </w:r>
          </w:p>
        </w:tc>
        <w:tc>
          <w:tcPr/>
          <w:p>
            <w:pPr>
              <w:pStyle w:val="Compact"/>
              <w:jc w:val="right"/>
            </w:pPr>
            <w:r>
              <w:t xml:space="preserve">0.0023</w:t>
            </w:r>
          </w:p>
        </w:tc>
      </w:tr>
      <w:tr>
        <w:tc>
          <w:tcPr/>
          <w:p>
            <w:pPr>
              <w:pStyle w:val="Compact"/>
              <w:jc w:val="left"/>
            </w:pPr>
            <w:r>
              <w:t xml:space="preserve">shifted_test</w:t>
            </w:r>
          </w:p>
        </w:tc>
        <w:tc>
          <w:tcPr/>
          <w:p>
            <w:pPr>
              <w:pStyle w:val="Compact"/>
              <w:jc w:val="right"/>
            </w:pPr>
            <w:r>
              <w:t xml:space="preserve">0.2744</w:t>
            </w:r>
          </w:p>
        </w:tc>
        <w:tc>
          <w:tcPr/>
          <w:p>
            <w:pPr>
              <w:pStyle w:val="Compact"/>
              <w:jc w:val="right"/>
            </w:pPr>
            <w:r>
              <w:t xml:space="preserve">0.0001</w:t>
            </w:r>
          </w:p>
        </w:tc>
      </w:tr>
    </w:tbl>
    <w:p>
      <w:pPr>
        <w:pStyle w:val="BodyText"/>
      </w:pPr>
      <w:r>
        <w:t xml:space="preserve">The outside-vocabulary fraction counts analyzer-generated unigrams and bigrams absent from the retained vocabulary. It includes terms excluded by minimum frequency and the feature cap, not only terms never encountered during training. The modest coverage difference and low featureless-comment rates do not establish vocabulary failure as the main explanation. They also do not rule out changes in term frequencies, context, or feature–outcome relationships</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X555f05cb0be4c02f19266204efaf405f90d0937">
        <w:r>
          <w:rPr>
            <w:rStyle w:val="Hyperlink"/>
          </w:rPr>
          <w:t xml:space="preserve">Scikit-learn developers, n.d.-d</w:t>
        </w:r>
      </w:hyperlink>
      <w:r>
        <w:t xml:space="preserve">)</w:t>
      </w:r>
      <w:r>
        <w:t xml:space="preserve">.</w:t>
      </w:r>
    </w:p>
    <w:bookmarkEnd w:id="39"/>
    <w:bookmarkStart w:id="44" w:name="probability-behavior"/>
    <w:p>
      <w:pPr>
        <w:pStyle w:val="Heading3"/>
      </w:pPr>
      <w:r>
        <w:t xml:space="preserve">8.1.3 Probability behavior</w:t>
      </w:r>
    </w:p>
    <w:tbl>
      <w:tblPr>
        <w:tblStyle w:val="Table"/>
        <w:tblW w:type="pct" w:w="5000"/>
        <w:tblLayout w:type="fixed"/>
        <w:tblLook w:firstRow="1" w:lastRow="0" w:firstColumn="0" w:lastColumn="0" w:noHBand="0" w:noVBand="0" w:val="0020"/>
      </w:tblPr>
      <w:tblGrid>
        <w:gridCol w:w="1007"/>
        <w:gridCol w:w="2304"/>
        <w:gridCol w:w="1944"/>
        <w:gridCol w:w="2664"/>
      </w:tblGrid>
      <w:tr>
        <w:trPr>
          <w:tblHeader w:val="on"/>
        </w:trPr>
        <w:tc>
          <w:tcPr/>
          <w:p>
            <w:pPr>
              <w:pStyle w:val="Compact"/>
              <w:jc w:val="left"/>
            </w:pPr>
            <w:r>
              <w:t xml:space="preserve">partition</w:t>
            </w:r>
          </w:p>
        </w:tc>
        <w:tc>
          <w:tcPr/>
          <w:p>
            <w:pPr>
              <w:pStyle w:val="Compact"/>
              <w:jc w:val="right"/>
            </w:pPr>
            <w:r>
              <w:t xml:space="preserve">observed_toxicity_prevalence</w:t>
            </w:r>
          </w:p>
        </w:tc>
        <w:tc>
          <w:tcPr/>
          <w:p>
            <w:pPr>
              <w:pStyle w:val="Compact"/>
              <w:jc w:val="right"/>
            </w:pPr>
            <w:r>
              <w:t xml:space="preserve">mean_predicted_toxicity</w:t>
            </w:r>
          </w:p>
        </w:tc>
        <w:tc>
          <w:tcPr/>
          <w:p>
            <w:pPr>
              <w:pStyle w:val="Compact"/>
              <w:jc w:val="right"/>
            </w:pPr>
            <w:r>
              <w:t xml:space="preserve">mean_probability_minus_prevalence</w:t>
            </w:r>
          </w:p>
        </w:tc>
      </w:tr>
      <w:tr>
        <w:tc>
          <w:tcPr/>
          <w:p>
            <w:pPr>
              <w:pStyle w:val="Compact"/>
              <w:jc w:val="left"/>
            </w:pPr>
            <w:r>
              <w:t xml:space="preserve">ID_test</w:t>
            </w:r>
          </w:p>
        </w:tc>
        <w:tc>
          <w:tcPr/>
          <w:p>
            <w:pPr>
              <w:pStyle w:val="Compact"/>
              <w:jc w:val="right"/>
            </w:pPr>
            <w:r>
              <w:t xml:space="preserve">0.0793</w:t>
            </w:r>
          </w:p>
        </w:tc>
        <w:tc>
          <w:tcPr/>
          <w:p>
            <w:pPr>
              <w:pStyle w:val="Compact"/>
              <w:jc w:val="right"/>
            </w:pPr>
            <w:r>
              <w:t xml:space="preserve">0.0768</w:t>
            </w:r>
          </w:p>
        </w:tc>
        <w:tc>
          <w:tcPr/>
          <w:p>
            <w:pPr>
              <w:pStyle w:val="Compact"/>
              <w:jc w:val="right"/>
            </w:pPr>
            <w:r>
              <w:t xml:space="preserve">-0.0024</w:t>
            </w:r>
          </w:p>
        </w:tc>
      </w:tr>
      <w:tr>
        <w:tc>
          <w:tcPr/>
          <w:p>
            <w:pPr>
              <w:pStyle w:val="Compact"/>
              <w:jc w:val="left"/>
            </w:pPr>
            <w:r>
              <w:t xml:space="preserve">shifted_test</w:t>
            </w:r>
          </w:p>
        </w:tc>
        <w:tc>
          <w:tcPr/>
          <w:p>
            <w:pPr>
              <w:pStyle w:val="Compact"/>
              <w:jc w:val="right"/>
            </w:pPr>
            <w:r>
              <w:t xml:space="preserve">0.1661</w:t>
            </w:r>
          </w:p>
        </w:tc>
        <w:tc>
          <w:tcPr/>
          <w:p>
            <w:pPr>
              <w:pStyle w:val="Compact"/>
              <w:jc w:val="right"/>
            </w:pPr>
            <w:r>
              <w:t xml:space="preserve">0.0920</w:t>
            </w:r>
          </w:p>
        </w:tc>
        <w:tc>
          <w:tcPr/>
          <w:p>
            <w:pPr>
              <w:pStyle w:val="Compact"/>
              <w:jc w:val="right"/>
            </w:pPr>
            <w:r>
              <w:t xml:space="preserve">-0.0741</w:t>
            </w:r>
          </w:p>
        </w:tc>
      </w:tr>
    </w:tbl>
    <w:p>
      <w:pPr>
        <w:pStyle w:val="BodyText"/>
      </w:pPr>
      <w:r>
        <w:t xml:space="preserve">Next Image</w:t>
      </w:r>
    </w:p>
    <w:tbl>
      <w:tblPr>
        <w:tblStyle w:val="Table"/>
        <w:tblW w:type="pct" w:w="5000"/>
        <w:tblLayout w:type="fixed"/>
        <w:tblLook w:firstRow="0" w:lastRow="0" w:firstColumn="0" w:lastColumn="0" w:noHBand="0" w:noVBand="0" w:val="0000"/>
      </w:tblPr>
      <w:tblGrid>
        <w:gridCol w:w="7920"/>
      </w:tblGrid>
      <w:tr>
        <w:tc>
          <w:tcPr/>
          <w:bookmarkStart w:id="43" w:name="fig-calibration"/>
          <w:p>
            <w:pPr>
              <w:pStyle w:val="Compact"/>
              <w:jc w:val="center"/>
            </w:pPr>
            <w:r>
              <w:drawing>
                <wp:inline>
                  <wp:extent cx="5334000" cy="4444999"/>
                  <wp:effectExtent b="0" l="0" r="0" t="0"/>
                  <wp:docPr descr="" title="" id="41" name="Picture"/>
                  <a:graphic>
                    <a:graphicData uri="http://schemas.openxmlformats.org/drawingml/2006/picture">
                      <pic:pic>
                        <pic:nvPicPr>
                          <pic:cNvPr descr="report_files/figure-docx/fig-calibration-output-1.png" id="42" name="Picture"/>
                          <pic:cNvPicPr>
                            <a:picLocks noChangeArrowheads="1" noChangeAspect="1"/>
                          </pic:cNvPicPr>
                        </pic:nvPicPr>
                        <pic:blipFill>
                          <a:blip r:embed="rId40"/>
                          <a:stretch>
                            <a:fillRect/>
                          </a:stretch>
                        </pic:blipFill>
                        <pic:spPr bwMode="auto">
                          <a:xfrm>
                            <a:off x="0" y="0"/>
                            <a:ext cx="5334000" cy="4444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Reliability diagram using ten equal-width bins; empty bins are omitted. Bin counts are saved in calibration_bins.csv. Source: original laboratory analysis.</w:t>
            </w:r>
          </w:p>
          <w:bookmarkEnd w:id="43"/>
        </w:tc>
      </w:tr>
    </w:tbl>
    <w:p>
      <w:pPr>
        <w:pStyle w:val="BodyText"/>
      </w:pPr>
      <w:r>
        <w:t xml:space="preserve">Mean predicted probability is below observed prevalence in shifted test, supporting aggregate underprediction. This mean is not the fraction classified as toxic, and its discrepancy does not imply underprediction in every probability bin. The reliability diagram compares within-bin probability means and observed fractions; sparse bins require particular caution</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X5c992681285cd18d4efc0ca70d410fd8b82b0ca">
        <w:r>
          <w:rPr>
            <w:rStyle w:val="Hyperlink"/>
          </w:rPr>
          <w:t xml:space="preserve">Scikit-learn developers, n.d.-c</w:t>
        </w:r>
      </w:hyperlink>
      <w:r>
        <w:t xml:space="preserve">)</w:t>
      </w:r>
      <w:r>
        <w:t xml:space="preserve">.</w:t>
      </w:r>
    </w:p>
    <w:bookmarkEnd w:id="44"/>
    <w:bookmarkStart w:id="45" w:name="standardizing-the-class-mixture"/>
    <w:p>
      <w:pPr>
        <w:pStyle w:val="Heading3"/>
      </w:pPr>
      <w:r>
        <w:t xml:space="preserve">8.1.4 Standardizing the class mixture</w:t>
      </w:r>
    </w:p>
    <w:p>
      <w:pPr>
        <w:pStyle w:val="FirstParagraph"/>
      </w:pPr>
      <w:r>
        <w:t xml:space="preserve">Using ID toxic prevalence (</w:t>
      </w:r>
      <w:r>
        <w:t xml:space="preserve">_{ID}), define the diagnostic standardized accuracy as</w:t>
      </w:r>
    </w:p>
    <w:p>
      <w:pPr>
        <w:pStyle w:val="BodyText"/>
      </w:pPr>
      <w:r>
        <w:t xml:space="preserve">[</w:t>
      </w:r>
      <w:r>
        <w:t xml:space="preserve"> </w:t>
      </w:r>
      <w:r>
        <w:rPr>
          <w:i/>
          <w:iCs/>
        </w:rPr>
        <w:t xml:space="preserve">{shifted,std}</w:t>
      </w:r>
      <w:r>
        <w:rPr>
          <w:i/>
          <w:iCs/>
        </w:rPr>
        <w:t xml:space="preserve"> </w:t>
      </w:r>
      <w:r>
        <w:rPr>
          <w:i/>
          <w:iCs/>
        </w:rPr>
        <w:t xml:space="preserve">=</w:t>
      </w:r>
      <w:r>
        <w:rPr>
          <w:i/>
          <w:iCs/>
        </w:rPr>
        <w:t xml:space="preserve"> </w:t>
      </w:r>
      <w:r>
        <w:t xml:space="preserve">{ID}</w:t>
      </w:r>
      <w:r>
        <w:rPr>
          <w:i/>
          <w:iCs/>
        </w:rPr>
        <w:t xml:space="preserve">{shifted}</w:t>
      </w:r>
      <w:r>
        <w:rPr>
          <w:i/>
          <w:iCs/>
        </w:rPr>
        <w:t xml:space="preserve"> </w:t>
      </w:r>
      <w:r>
        <w:rPr>
          <w:i/>
          <w:iCs/>
        </w:rPr>
        <w:t xml:space="preserve">+ (1-</w:t>
      </w:r>
      <w:r>
        <w:t xml:space="preserve">{ID})</w:t>
      </w:r>
      <w:r>
        <w:t xml:space="preserve">_{shifted}.</w:t>
      </w:r>
      <w:r>
        <w:t xml:space="preserve"> </w:t>
      </w:r>
      <w:r>
        <w:t xml:space="preserve">]</w:t>
      </w:r>
    </w:p>
    <w:p>
      <w:pPr>
        <w:pStyle w:val="BodyText"/>
      </w:pPr>
      <w:r>
        <w:t xml:space="preserve">This calculation retains shifted class-conditional error rates while replacing only the class mixture. It is neither an adapted model nor a causal decomposition</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X282d5dae050375e68050a946b174c16a0d2ca2d">
        <w:r>
          <w:rPr>
            <w:rStyle w:val="Hyperlink"/>
          </w:rPr>
          <w:t xml:space="preserve">Scikit-learn developers, n.d.-b</w:t>
        </w:r>
      </w:hyperlink>
      <w:r>
        <w:t xml:space="preserv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quantity</w:t>
            </w:r>
          </w:p>
        </w:tc>
        <w:tc>
          <w:tcPr/>
          <w:p>
            <w:pPr>
              <w:pStyle w:val="Compact"/>
              <w:jc w:val="right"/>
            </w:pPr>
            <w:r>
              <w:t xml:space="preserve">value</w:t>
            </w:r>
          </w:p>
        </w:tc>
      </w:tr>
      <w:tr>
        <w:tc>
          <w:tcPr/>
          <w:p>
            <w:pPr>
              <w:pStyle w:val="Compact"/>
              <w:jc w:val="left"/>
            </w:pPr>
            <w:r>
              <w:t xml:space="preserve">ID accuracy</w:t>
            </w:r>
          </w:p>
        </w:tc>
        <w:tc>
          <w:tcPr/>
          <w:p>
            <w:pPr>
              <w:pStyle w:val="Compact"/>
              <w:jc w:val="right"/>
            </w:pPr>
            <w:r>
              <w:t xml:space="preserve">0.9389</w:t>
            </w:r>
          </w:p>
        </w:tc>
      </w:tr>
      <w:tr>
        <w:tc>
          <w:tcPr/>
          <w:p>
            <w:pPr>
              <w:pStyle w:val="Compact"/>
              <w:jc w:val="left"/>
            </w:pPr>
            <w:r>
              <w:t xml:space="preserve">Raw shifted accuracy</w:t>
            </w:r>
          </w:p>
        </w:tc>
        <w:tc>
          <w:tcPr/>
          <w:p>
            <w:pPr>
              <w:pStyle w:val="Compact"/>
              <w:jc w:val="right"/>
            </w:pPr>
            <w:r>
              <w:t xml:space="preserve">0.8528</w:t>
            </w:r>
          </w:p>
        </w:tc>
      </w:tr>
      <w:tr>
        <w:tc>
          <w:tcPr/>
          <w:p>
            <w:pPr>
              <w:pStyle w:val="Compact"/>
              <w:jc w:val="left"/>
            </w:pPr>
            <w:r>
              <w:t xml:space="preserve">Shifted accuracy at ID prevalence</w:t>
            </w:r>
          </w:p>
        </w:tc>
        <w:tc>
          <w:tcPr/>
          <w:p>
            <w:pPr>
              <w:pStyle w:val="Compact"/>
              <w:jc w:val="right"/>
            </w:pPr>
            <w:r>
              <w:t xml:space="preserve">0.9281</w:t>
            </w:r>
          </w:p>
        </w:tc>
      </w:tr>
      <w:tr>
        <w:tc>
          <w:tcPr/>
          <w:p>
            <w:pPr>
              <w:pStyle w:val="Compact"/>
              <w:jc w:val="left"/>
            </w:pPr>
            <w:r>
              <w:t xml:space="preserve">Raw shifted-minus-ID gap</w:t>
            </w:r>
          </w:p>
        </w:tc>
        <w:tc>
          <w:tcPr/>
          <w:p>
            <w:pPr>
              <w:pStyle w:val="Compact"/>
              <w:jc w:val="right"/>
            </w:pPr>
            <w:r>
              <w:t xml:space="preserve">-0.0861</w:t>
            </w:r>
          </w:p>
        </w:tc>
      </w:tr>
      <w:tr>
        <w:tc>
          <w:tcPr/>
          <w:p>
            <w:pPr>
              <w:pStyle w:val="Compact"/>
              <w:jc w:val="left"/>
            </w:pPr>
            <w:r>
              <w:t xml:space="preserve">Standardized shifted-minus-ID gap</w:t>
            </w:r>
          </w:p>
        </w:tc>
        <w:tc>
          <w:tcPr/>
          <w:p>
            <w:pPr>
              <w:pStyle w:val="Compact"/>
              <w:jc w:val="right"/>
            </w:pPr>
            <w:r>
              <w:t xml:space="preserve">-0.0108</w:t>
            </w:r>
          </w:p>
        </w:tc>
      </w:tr>
    </w:tbl>
    <w:p>
      <w:pPr>
        <w:pStyle w:val="BodyText"/>
      </w:pPr>
      <w:r>
        <w:t xml:space="preserve">The accuracy gap changes from -8.61 to -1.08 percentage points under this standardization. Class composition is therefore important for interpreting raw accuracy. This does not remove the observed recall and balanced-accuracy declines or establish a pure label-shift mechanism</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bookmarkEnd w:id="45"/>
    <w:bookmarkStart w:id="46" w:name="measurement-and-unresolved-explanations"/>
    <w:p>
      <w:pPr>
        <w:pStyle w:val="Heading3"/>
      </w:pPr>
      <w:r>
        <w:t xml:space="preserve">8.1.5 Measurement and unresolved explanations</w:t>
      </w:r>
    </w:p>
    <w:p>
      <w:pPr>
        <w:pStyle w:val="FirstParagraph"/>
      </w:pPr>
      <w:r>
        <w:t xml:space="preserve">The analysis uses existing annotations, applies common thresholds, and preserves the supplied splits. It does not audit crowdworker procedures, establish annotation invariance across groups, or identify whether predictor–outcome relationships changed causally. Poor representation of identity-present comments in development is imposed by the design, but its contribution cannot be separated from topic, wording, prevalence, and annotation differences in this comparison</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ref-jigsawJigsawUnintendedBias2019">
        <w:r>
          <w:rPr>
            <w:rStyle w:val="Hyperlink"/>
          </w:rPr>
          <w:t xml:space="preserve">Jigsaw, 2019</w:t>
        </w:r>
      </w:hyperlink>
      <w:r>
        <w:t xml:space="preserve">;</w:t>
      </w:r>
      <w:r>
        <w:t xml:space="preserve"> </w:t>
      </w:r>
      <w:hyperlink w:anchor="ref-kohWILDSBenchmarkIntheWild2021">
        <w:r>
          <w:rPr>
            <w:rStyle w:val="Hyperlink"/>
          </w:rPr>
          <w:t xml:space="preserve">Koh et al., 2021</w:t>
        </w:r>
      </w:hyperlink>
      <w:r>
        <w:t xml:space="preserve">)</w:t>
      </w:r>
      <w:r>
        <w:t xml:space="preserve">.</w:t>
      </w:r>
    </w:p>
    <w:bookmarkEnd w:id="46"/>
    <w:bookmarkEnd w:id="47"/>
    <w:bookmarkEnd w:id="48"/>
    <w:bookmarkStart w:id="53" w:name="make-an-evidence-based-judgment"/>
    <w:p>
      <w:pPr>
        <w:pStyle w:val="Heading1"/>
      </w:pPr>
      <w:r>
        <w:t xml:space="preserve">9. Make an Evidence-Based Judgment</w:t>
      </w:r>
    </w:p>
    <w:bookmarkStart w:id="49" w:name="X5de1e43818441d446f8b362c45b1a8038d9ebe1"/>
    <w:p>
      <w:pPr>
        <w:pStyle w:val="Heading2"/>
      </w:pPr>
      <w:r>
        <w:t xml:space="preserve">9.1 What does the experiment allow us to conclude about generalization?</w:t>
      </w:r>
    </w:p>
    <w:p>
      <w:pPr>
        <w:pStyle w:val="FirstParagraph"/>
      </w:pPr>
      <w:r>
        <w:t xml:space="preserve">This fitted pipeline does not retain its ID performance in the selected identity-present evaluation population. The primary metric’s article-cluster interval supports lower shifted balanced accuracy under the stated resampling assumptions. High ID accuracy alone was also insufficient: ID toxic recall was low before the environment changed. Generalization evidence must therefore be tied to the population and performance dimension actually evaluated</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ref-kohWILDSBenchmarkIntheWild2021">
        <w:r>
          <w:rPr>
            <w:rStyle w:val="Hyperlink"/>
          </w:rPr>
          <w:t xml:space="preserve">Koh et al., 2021</w:t>
        </w:r>
      </w:hyperlink>
      <w:r>
        <w:t xml:space="preserve">)</w:t>
      </w:r>
      <w:r>
        <w:t xml:space="preserve">.</w:t>
      </w:r>
    </w:p>
    <w:bookmarkEnd w:id="49"/>
    <w:bookmarkStart w:id="50" w:name="what-does-it-not-allow-us-to-conclude"/>
    <w:p>
      <w:pPr>
        <w:pStyle w:val="Heading2"/>
      </w:pPr>
      <w:r>
        <w:t xml:space="preserve">9.2 What does it not allow us to conclude?</w:t>
      </w:r>
    </w:p>
    <w:p>
      <w:pPr>
        <w:pStyle w:val="FirstParagraph"/>
      </w:pPr>
      <w:r>
        <w:t xml:space="preserve">The experiment does not identify identity mentions as a cause, infer authors’ demographics, establish discrimination against people, guarantee future platform/time performance, or show that other model classes would behave similarly. Subgroup heterogeneity is descriptive. The confidence intervals do not capture training variability or all possible dependence, and repeated-text exclusion restricts the evaluated population. The processed CSV’s exact equivalence to the official WILDS release and compliance with a separately prescribed course model remain unverified</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ref-kohWILDSBenchmarkIntheWild2021">
        <w:r>
          <w:rPr>
            <w:rStyle w:val="Hyperlink"/>
          </w:rPr>
          <w:t xml:space="preserve">Koh et al., 2021</w:t>
        </w:r>
      </w:hyperlink>
      <w:r>
        <w:t xml:space="preserve">)</w:t>
      </w:r>
      <w:r>
        <w:t xml:space="preserve">.</w:t>
      </w:r>
    </w:p>
    <w:bookmarkEnd w:id="50"/>
    <w:bookmarkStart w:id="51" w:name="deployment-judgment"/>
    <w:p>
      <w:pPr>
        <w:pStyle w:val="Heading2"/>
      </w:pPr>
      <w:r>
        <w:t xml:space="preserve">9.3 Deployment judgment</w:t>
      </w:r>
    </w:p>
    <w:p>
      <w:pPr>
        <w:pStyle w:val="FirstParagraph"/>
      </w:pPr>
      <w:r>
        <w:t xml:space="preserve">Judgment: do not deploy this fixed model at threshold 0.5 as a standalone toxicity-detection or autonomous moderation system. It misses most toxic comments even in ID evaluation, performs worse in shifted evaluation, and has particularly low recall in several identity-mention groups. This is an evidence-based laboratory judgment for the stated use, not a universal claim that the model has no possible value in a separately evaluated human-assisted workflow. The experiment itself does not specify an operational cost function or validate a safe deployment threshold</w:t>
      </w:r>
      <w:r>
        <w:t xml:space="preserve"> </w:t>
      </w:r>
      <w:r>
        <w:t xml:space="preserve">(</w:t>
      </w:r>
      <w:hyperlink w:anchor="X894448cfae9ad68d4764207e303415733b53cc3">
        <w:r>
          <w:rPr>
            <w:rStyle w:val="Hyperlink"/>
          </w:rPr>
          <w:t xml:space="preserve">Civil Comments Laboratory, 2026</w:t>
        </w:r>
      </w:hyperlink>
      <w:r>
        <w:t xml:space="preserve">)</w:t>
      </w:r>
      <w:r>
        <w:t xml:space="preserve">.</w:t>
      </w:r>
    </w:p>
    <w:bookmarkEnd w:id="51"/>
    <w:bookmarkStart w:id="52" w:name="Xd6dfdd603e7a7a57a37adf6779b020be8ecfa03"/>
    <w:p>
      <w:pPr>
        <w:pStyle w:val="Heading2"/>
      </w:pPr>
      <w:r>
        <w:t xml:space="preserve">9.4 What additional evidence is needed before deployment?</w:t>
      </w:r>
    </w:p>
    <w:p>
      <w:pPr>
        <w:pStyle w:val="FirstParagraph"/>
      </w:pPr>
      <w:r>
        <w:t xml:space="preserve">Before considering deployment, obtain representative external and prospective labels from the intended platform; specify acceptable missed-toxicity and false-positive costs; inspect annotation reliability and disagreement; obtain adequate subgroup and intersectional coverage; repeat training across seeds and development samples; and evaluate calibration and threshold trade-offs using development data rather than repeatedly reusing the final test set. Human-review capacity, appeals, monitoring, drift triggers, and rollback procedures also need operational evaluation. These are proposed evidence requirements, not benefits demonstrated by the current experiment</w:t>
      </w:r>
      <w:r>
        <w:t xml:space="preserve"> </w:t>
      </w:r>
      <w:r>
        <w:t xml:space="preserve">(</w:t>
      </w:r>
      <w:hyperlink w:anchor="X894448cfae9ad68d4764207e303415733b53cc3">
        <w:r>
          <w:rPr>
            <w:rStyle w:val="Hyperlink"/>
          </w:rPr>
          <w:t xml:space="preserve">Civil Comments Laboratory, 2026</w:t>
        </w:r>
      </w:hyperlink>
      <w:r>
        <w:t xml:space="preserve">;</w:t>
      </w:r>
      <w:r>
        <w:t xml:space="preserve"> </w:t>
      </w:r>
      <w:hyperlink w:anchor="ref-kohWILDSBenchmarkIntheWild2021">
        <w:r>
          <w:rPr>
            <w:rStyle w:val="Hyperlink"/>
          </w:rPr>
          <w:t xml:space="preserve">Koh et al., 2021</w:t>
        </w:r>
      </w:hyperlink>
      <w:r>
        <w:t xml:space="preserve">)</w:t>
      </w:r>
      <w:r>
        <w:t xml:space="preserve">.</w:t>
      </w:r>
    </w:p>
    <w:bookmarkEnd w:id="52"/>
    <w:bookmarkEnd w:id="53"/>
    <w:bookmarkStart w:id="65" w:name="references"/>
    <w:p>
      <w:pPr>
        <w:pStyle w:val="Heading1"/>
      </w:pPr>
      <w:r>
        <w:t xml:space="preserve">References</w:t>
      </w:r>
    </w:p>
    <w:bookmarkStart w:id="64" w:name="refs"/>
    <w:bookmarkStart w:id="54" w:name="ref-cameronBootstrapMethods2022"/>
    <w:p>
      <w:pPr>
        <w:pStyle w:val="Bibliography"/>
      </w:pPr>
      <w:r>
        <w:t xml:space="preserve">Cameron, A. C. (2022).</w:t>
      </w:r>
      <w:r>
        <w:t xml:space="preserve"> </w:t>
      </w:r>
      <w:r>
        <w:rPr>
          <w:i/>
          <w:iCs/>
        </w:rPr>
        <w:t xml:space="preserve">Bootstrap methods</w:t>
      </w:r>
      <w:r>
        <w:t xml:space="preserve">.</w:t>
      </w:r>
    </w:p>
    <w:bookmarkEnd w:id="54"/>
    <w:bookmarkStart w:id="55" w:name="X894448cfae9ad68d4764207e303415733b53cc3"/>
    <w:p>
      <w:pPr>
        <w:pStyle w:val="Bibliography"/>
      </w:pPr>
      <w:r>
        <w:t xml:space="preserve">Civil Comments Laboratory. (2026).</w:t>
      </w:r>
      <w:r>
        <w:t xml:space="preserve"> </w:t>
      </w:r>
      <w:r>
        <w:rPr>
          <w:i/>
          <w:iCs/>
        </w:rPr>
        <w:t xml:space="preserve">Civil</w:t>
      </w:r>
      <w:r>
        <w:rPr>
          <w:i/>
          <w:iCs/>
        </w:rPr>
        <w:t xml:space="preserve"> </w:t>
      </w:r>
      <w:r>
        <w:rPr>
          <w:i/>
          <w:iCs/>
        </w:rPr>
        <w:t xml:space="preserve">Comments</w:t>
      </w:r>
      <w:r>
        <w:rPr>
          <w:i/>
          <w:iCs/>
        </w:rPr>
        <w:t xml:space="preserve"> </w:t>
      </w:r>
      <w:r>
        <w:rPr>
          <w:i/>
          <w:iCs/>
        </w:rPr>
        <w:t xml:space="preserve">population-shift laboratory: Analysis code and generated results</w:t>
      </w:r>
      <w:r>
        <w:t xml:space="preserve">.</w:t>
      </w:r>
    </w:p>
    <w:bookmarkEnd w:id="55"/>
    <w:bookmarkStart w:id="56" w:name="ref-jigsawJigsawUnintendedBias2019"/>
    <w:p>
      <w:pPr>
        <w:pStyle w:val="Bibliography"/>
      </w:pPr>
      <w:r>
        <w:t xml:space="preserve">Jigsaw. (2019).</w:t>
      </w:r>
      <w:r>
        <w:t xml:space="preserve"> </w:t>
      </w:r>
      <w:r>
        <w:rPr>
          <w:i/>
          <w:iCs/>
        </w:rPr>
        <w:t xml:space="preserve">Jigsaw unintended bias in toxicity classification:</w:t>
      </w:r>
      <w:r>
        <w:rPr>
          <w:i/>
          <w:iCs/>
        </w:rPr>
        <w:t xml:space="preserve"> </w:t>
      </w:r>
      <w:r>
        <w:rPr>
          <w:i/>
          <w:iCs/>
        </w:rPr>
        <w:t xml:space="preserve">Data</w:t>
      </w:r>
      <w:r>
        <w:t xml:space="preserve">.</w:t>
      </w:r>
    </w:p>
    <w:bookmarkEnd w:id="56"/>
    <w:bookmarkStart w:id="58" w:name="ref-kohWILDSBenchmarkIntheWild2021"/>
    <w:p>
      <w:pPr>
        <w:pStyle w:val="Bibliography"/>
      </w:pPr>
      <w:r>
        <w:t xml:space="preserve">Koh, P. W., Sagawa, S., Marklund, H., Xie, S. M., Zhang, M., Balsubramani, A., Hu, W., Yasunaga, M., Phillips, R. L., Gao, I., Lee, T., David, E., Stavness, I., Guo, W., Earnshaw, B. A., Haque, I. S., Beery, S., Leskovec, J., Kundaje, A., … Liang, P. (2021).</w:t>
      </w:r>
      <w:r>
        <w:t xml:space="preserve"> </w:t>
      </w:r>
      <w:r>
        <w:rPr>
          <w:i/>
          <w:iCs/>
        </w:rPr>
        <w:t xml:space="preserve">WILDS</w:t>
      </w:r>
      <w:r>
        <w:rPr>
          <w:i/>
          <w:iCs/>
        </w:rPr>
        <w:t xml:space="preserve">:</w:t>
      </w:r>
      <w:r>
        <w:rPr>
          <w:i/>
          <w:iCs/>
        </w:rPr>
        <w:t xml:space="preserve"> </w:t>
      </w:r>
      <w:r>
        <w:rPr>
          <w:i/>
          <w:iCs/>
        </w:rPr>
        <w:t xml:space="preserve">A Benchmark</w:t>
      </w:r>
      <w:r>
        <w:rPr>
          <w:i/>
          <w:iCs/>
        </w:rPr>
        <w:t xml:space="preserve"> </w:t>
      </w:r>
      <w:r>
        <w:rPr>
          <w:i/>
          <w:iCs/>
        </w:rPr>
        <w:t xml:space="preserve">of in-the-</w:t>
      </w:r>
      <w:r>
        <w:rPr>
          <w:i/>
          <w:iCs/>
        </w:rPr>
        <w:t xml:space="preserve">Wild Distribution Shifts</w:t>
      </w:r>
      <w:r>
        <w:t xml:space="preserve"> </w:t>
      </w:r>
      <w:r>
        <w:t xml:space="preserve">(arXiv:2012.07421). arXiv.</w:t>
      </w:r>
      <w:r>
        <w:t xml:space="preserve"> </w:t>
      </w:r>
      <w:hyperlink r:id="rId57">
        <w:r>
          <w:rPr>
            <w:rStyle w:val="Hyperlink"/>
          </w:rPr>
          <w:t xml:space="preserve">https://doi.org/10.48550/arXiv.2012.07421</w:t>
        </w:r>
      </w:hyperlink>
    </w:p>
    <w:bookmarkEnd w:id="58"/>
    <w:bookmarkStart w:id="59" w:name="X82351afa5a4cc740249997252106de6ba8b9940"/>
    <w:p>
      <w:pPr>
        <w:pStyle w:val="Bibliography"/>
      </w:pPr>
      <w:r>
        <w:t xml:space="preserve">Scikit-learn developers. (n.d.-a).</w:t>
      </w:r>
      <w:r>
        <w:t xml:space="preserve"> </w:t>
      </w:r>
      <w:r>
        <w:rPr>
          <w:i/>
          <w:iCs/>
        </w:rPr>
        <w:t xml:space="preserve">LogisticRegression</w:t>
      </w:r>
      <w:r>
        <w:t xml:space="preserve">.</w:t>
      </w:r>
    </w:p>
    <w:bookmarkEnd w:id="59"/>
    <w:bookmarkStart w:id="60" w:name="X282d5dae050375e68050a946b174c16a0d2ca2d"/>
    <w:p>
      <w:pPr>
        <w:pStyle w:val="Bibliography"/>
      </w:pPr>
      <w:r>
        <w:t xml:space="preserve">Scikit-learn developers. (n.d.-b).</w:t>
      </w:r>
      <w:r>
        <w:t xml:space="preserve"> </w:t>
      </w:r>
      <w:r>
        <w:rPr>
          <w:i/>
          <w:iCs/>
        </w:rPr>
        <w:t xml:space="preserve">Metrics and scoring: Quantifying the quality of predictions</w:t>
      </w:r>
      <w:r>
        <w:t xml:space="preserve">.</w:t>
      </w:r>
    </w:p>
    <w:bookmarkEnd w:id="60"/>
    <w:bookmarkStart w:id="61" w:name="X5c992681285cd18d4efc0ca70d410fd8b82b0ca"/>
    <w:p>
      <w:pPr>
        <w:pStyle w:val="Bibliography"/>
      </w:pPr>
      <w:r>
        <w:t xml:space="preserve">Scikit-learn developers. (n.d.-c).</w:t>
      </w:r>
      <w:r>
        <w:t xml:space="preserve"> </w:t>
      </w:r>
      <w:r>
        <w:rPr>
          <w:i/>
          <w:iCs/>
        </w:rPr>
        <w:t xml:space="preserve">Probability calibration</w:t>
      </w:r>
      <w:r>
        <w:t xml:space="preserve">.</w:t>
      </w:r>
    </w:p>
    <w:bookmarkEnd w:id="61"/>
    <w:bookmarkStart w:id="62" w:name="X555f05cb0be4c02f19266204efaf405f90d0937"/>
    <w:p>
      <w:pPr>
        <w:pStyle w:val="Bibliography"/>
      </w:pPr>
      <w:r>
        <w:t xml:space="preserve">Scikit-learn developers. (n.d.-d).</w:t>
      </w:r>
      <w:r>
        <w:t xml:space="preserve"> </w:t>
      </w:r>
      <w:r>
        <w:rPr>
          <w:i/>
          <w:iCs/>
        </w:rPr>
        <w:t xml:space="preserve">TfidfVectorizer</w:t>
      </w:r>
      <w:r>
        <w:t xml:space="preserve">.</w:t>
      </w:r>
    </w:p>
    <w:bookmarkEnd w:id="62"/>
    <w:bookmarkStart w:id="63" w:name="X3cb78d5960ddbe40797b50f5e5349dbcc9a3af6"/>
    <w:p>
      <w:pPr>
        <w:pStyle w:val="Bibliography"/>
      </w:pPr>
      <w:r>
        <w:t xml:space="preserve">WILDS contributors. (n.d.).</w:t>
      </w:r>
      <w:r>
        <w:t xml:space="preserve"> </w:t>
      </w:r>
      <w:r>
        <w:rPr>
          <w:i/>
          <w:iCs/>
        </w:rPr>
        <w:t xml:space="preserve">CivilComments</w:t>
      </w:r>
      <w:r>
        <w:rPr>
          <w:i/>
          <w:iCs/>
        </w:rPr>
        <w:t xml:space="preserve"> </w:t>
      </w:r>
      <w:r>
        <w:rPr>
          <w:i/>
          <w:iCs/>
        </w:rPr>
        <w:t xml:space="preserve">dataset loader and evaluator</w:t>
      </w:r>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21" Target="media/rId21.png" /><Relationship Type="http://schemas.openxmlformats.org/officeDocument/2006/relationships/hyperlink" Id="rId57" Target="https://doi.org/10.48550/arXiv.2012.07421"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48550/arXiv.2012.074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Model, Different Evaluation Population</dc:title>
  <dc:creator>Parminder Singh</dc:creator>
  <cp:keywords/>
  <dcterms:created xsi:type="dcterms:W3CDTF">2026-10-26T03:10:44Z</dcterms:created>
  <dcterms:modified xsi:type="dcterms:W3CDTF">2026-10-26T03:10:44Z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Wilds_Replication.bib</vt:lpwstr>
  </property>
  <property fmtid="{D5CDD505-2E9C-101B-9397-08002B2CF9AE}" pid="5" name="by-author">
    <vt:lpwstr/>
  </property>
  <property fmtid="{D5CDD505-2E9C-101B-9397-08002B2CF9AE}" pid="6" name="csl">
    <vt:lpwstr>https://www.zotero.org/styles/apa</vt:lpwstr>
  </property>
  <property fmtid="{D5CDD505-2E9C-101B-9397-08002B2CF9AE}" pid="7" name="date">
    <vt:lpwstr>2026-10-25</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link-citations">
    <vt:lpwstr>True</vt:lpwstr>
  </property>
  <property fmtid="{D5CDD505-2E9C-101B-9397-08002B2CF9AE}" pid="15" name="subtitle">
    <vt:lpwstr>A WILDS-inspired laboratory using Civil Comments toxicity data</vt:lpwstr>
  </property>
  <property fmtid="{D5CDD505-2E9C-101B-9397-08002B2CF9AE}" pid="16" name="toc-title">
    <vt:lpwstr>Table of contents</vt:lpwstr>
  </property>
</Properties>
</file>