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B6CCA">
      <w:pPr>
        <w:pStyle w:val="2"/>
        <w:spacing w:after="300"/>
        <w:jc w:val="center"/>
      </w:pPr>
      <w:r>
        <w:rPr>
          <w:b/>
          <w:bCs/>
          <w:sz w:val="32"/>
          <w:szCs w:val="32"/>
        </w:rPr>
        <w:t>Scalability &amp; Future Plan</w:t>
      </w:r>
    </w:p>
    <w:tbl>
      <w:tblPr>
        <w:tblStyle w:val="9"/>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140"/>
      </w:tblGrid>
      <w:tr w14:paraId="2125A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shd w:val="clear" w:color="auto" w:fill="F2F2F2"/>
            <w:tcMar>
              <w:top w:w="80" w:type="dxa"/>
              <w:left w:w="100" w:type="dxa"/>
              <w:bottom w:w="80" w:type="dxa"/>
              <w:right w:w="100" w:type="dxa"/>
            </w:tcMar>
            <w:vAlign w:val="center"/>
          </w:tcPr>
          <w:p w14:paraId="468095AB">
            <w:pPr>
              <w:jc w:val="left"/>
            </w:pPr>
            <w:r>
              <w:rPr>
                <w:b/>
                <w:bCs/>
                <w:sz w:val="20"/>
                <w:szCs w:val="20"/>
              </w:rPr>
              <w:t>Date</w:t>
            </w:r>
          </w:p>
        </w:tc>
        <w:tc>
          <w:tcPr>
            <w:tcW w:w="7140" w:type="dxa"/>
            <w:tcMar>
              <w:top w:w="80" w:type="dxa"/>
              <w:left w:w="100" w:type="dxa"/>
              <w:bottom w:w="80" w:type="dxa"/>
              <w:right w:w="100" w:type="dxa"/>
            </w:tcMar>
            <w:vAlign w:val="center"/>
          </w:tcPr>
          <w:p w14:paraId="38F223B9">
            <w:pPr>
              <w:jc w:val="left"/>
            </w:pPr>
            <w:r>
              <w:rPr>
                <w:rFonts w:hint="default"/>
                <w:b w:val="0"/>
                <w:bCs w:val="0"/>
                <w:sz w:val="20"/>
                <w:szCs w:val="20"/>
                <w:lang w:val="en-US"/>
              </w:rPr>
              <w:t>6 July</w:t>
            </w:r>
            <w:r>
              <w:rPr>
                <w:b w:val="0"/>
                <w:bCs w:val="0"/>
                <w:sz w:val="20"/>
                <w:szCs w:val="20"/>
              </w:rPr>
              <w:t xml:space="preserve"> 2026</w:t>
            </w:r>
          </w:p>
        </w:tc>
      </w:tr>
      <w:tr w14:paraId="4031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38E03184">
            <w:pPr>
              <w:jc w:val="left"/>
            </w:pPr>
            <w:r>
              <w:rPr>
                <w:b/>
                <w:bCs/>
                <w:sz w:val="20"/>
                <w:szCs w:val="20"/>
              </w:rPr>
              <w:t>Team ID</w:t>
            </w:r>
          </w:p>
        </w:tc>
        <w:tc>
          <w:tcPr>
            <w:tcW w:w="7140" w:type="dxa"/>
            <w:tcMar>
              <w:top w:w="80" w:type="dxa"/>
              <w:left w:w="100" w:type="dxa"/>
              <w:bottom w:w="80" w:type="dxa"/>
              <w:right w:w="100" w:type="dxa"/>
            </w:tcMar>
            <w:vAlign w:val="center"/>
          </w:tcPr>
          <w:p w14:paraId="7D521ACC">
            <w:pPr>
              <w:jc w:val="left"/>
            </w:pPr>
          </w:p>
        </w:tc>
      </w:tr>
      <w:tr w14:paraId="733C1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3A605651">
            <w:pPr>
              <w:jc w:val="left"/>
            </w:pPr>
            <w:r>
              <w:rPr>
                <w:b/>
                <w:bCs/>
                <w:sz w:val="20"/>
                <w:szCs w:val="20"/>
              </w:rPr>
              <w:t>Project Name</w:t>
            </w:r>
          </w:p>
        </w:tc>
        <w:tc>
          <w:tcPr>
            <w:tcW w:w="7140" w:type="dxa"/>
            <w:tcMar>
              <w:top w:w="80" w:type="dxa"/>
              <w:left w:w="100" w:type="dxa"/>
              <w:bottom w:w="80" w:type="dxa"/>
              <w:right w:w="100" w:type="dxa"/>
            </w:tcMar>
            <w:vAlign w:val="center"/>
          </w:tcPr>
          <w:p w14:paraId="5780E6A5">
            <w:pPr>
              <w:jc w:val="left"/>
              <w:rPr>
                <w:rFonts w:hint="default"/>
                <w:lang w:val="en-US"/>
              </w:rPr>
            </w:pPr>
            <w:r>
              <w:rPr>
                <w:rFonts w:hint="default"/>
                <w:lang w:val="en-US"/>
              </w:rPr>
              <w:t>A comprehensive measure of well being</w:t>
            </w:r>
          </w:p>
        </w:tc>
      </w:tr>
      <w:tr w14:paraId="2DFDB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12861CA5">
            <w:pPr>
              <w:jc w:val="left"/>
            </w:pPr>
            <w:r>
              <w:rPr>
                <w:b/>
                <w:bCs/>
                <w:sz w:val="20"/>
                <w:szCs w:val="20"/>
              </w:rPr>
              <w:t>Maximum Marks</w:t>
            </w:r>
          </w:p>
        </w:tc>
        <w:tc>
          <w:tcPr>
            <w:tcW w:w="7140" w:type="dxa"/>
            <w:tcMar>
              <w:top w:w="80" w:type="dxa"/>
              <w:left w:w="100" w:type="dxa"/>
              <w:bottom w:w="80" w:type="dxa"/>
              <w:right w:w="100" w:type="dxa"/>
            </w:tcMar>
            <w:vAlign w:val="center"/>
          </w:tcPr>
          <w:p w14:paraId="5134D745">
            <w:pPr>
              <w:jc w:val="left"/>
            </w:pPr>
            <w:r>
              <w:rPr>
                <w:b w:val="0"/>
                <w:bCs w:val="0"/>
                <w:sz w:val="20"/>
                <w:szCs w:val="20"/>
              </w:rPr>
              <w:t>1 Mark</w:t>
            </w:r>
          </w:p>
        </w:tc>
      </w:tr>
    </w:tbl>
    <w:p w14:paraId="62E167E8"/>
    <w:p w14:paraId="33D52CB9">
      <w:pPr>
        <w:spacing w:before="300" w:after="150"/>
      </w:pPr>
      <w:r>
        <w:rPr>
          <w:b/>
          <w:bCs/>
          <w:sz w:val="24"/>
          <w:szCs w:val="24"/>
        </w:rPr>
        <w:t>Scalability &amp; Future Plan:</w:t>
      </w:r>
      <w:bookmarkStart w:id="0" w:name="_GoBack"/>
      <w:bookmarkEnd w:id="0"/>
    </w:p>
    <w:p w14:paraId="7DBCDE67">
      <w:pPr>
        <w:spacing w:after="150"/>
      </w:pPr>
      <w:r>
        <w:rPr>
          <w:i w:val="0"/>
          <w:iCs w:val="0"/>
          <w:sz w:val="20"/>
          <w:szCs w:val="20"/>
        </w:rPr>
        <w:t>This document outlines how the HDI Predictor solution can be scaled to handle larger user bases, increased data loads, or extended features in the future. It also captures the team's roadmap for enhancing and evolving the project beyond its current state.</w:t>
      </w:r>
    </w:p>
    <w:p w14:paraId="1CB35A38"/>
    <w:p w14:paraId="21956F51">
      <w:pPr>
        <w:spacing w:before="300" w:after="150"/>
      </w:pPr>
      <w:r>
        <w:rPr>
          <w:b/>
          <w:bCs/>
          <w:sz w:val="24"/>
          <w:szCs w:val="24"/>
        </w:rPr>
        <w:t>Current System Limitations:</w:t>
      </w:r>
    </w:p>
    <w:tbl>
      <w:tblPr>
        <w:tblStyle w:val="9"/>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600"/>
        <w:gridCol w:w="3200"/>
        <w:gridCol w:w="2040"/>
      </w:tblGrid>
      <w:tr w14:paraId="3270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D9E2F3"/>
            <w:tcMar>
              <w:top w:w="80" w:type="dxa"/>
              <w:left w:w="100" w:type="dxa"/>
              <w:bottom w:w="80" w:type="dxa"/>
              <w:right w:w="100" w:type="dxa"/>
            </w:tcMar>
            <w:vAlign w:val="center"/>
          </w:tcPr>
          <w:p w14:paraId="3CFC8CB7">
            <w:pPr>
              <w:jc w:val="left"/>
            </w:pPr>
            <w:r>
              <w:rPr>
                <w:b/>
                <w:bCs/>
                <w:sz w:val="20"/>
                <w:szCs w:val="20"/>
              </w:rPr>
              <w:t>S.No</w:t>
            </w:r>
          </w:p>
        </w:tc>
        <w:tc>
          <w:tcPr>
            <w:tcW w:w="3600" w:type="dxa"/>
            <w:shd w:val="clear" w:color="auto" w:fill="D9E2F3"/>
            <w:tcMar>
              <w:top w:w="80" w:type="dxa"/>
              <w:left w:w="100" w:type="dxa"/>
              <w:bottom w:w="80" w:type="dxa"/>
              <w:right w:w="100" w:type="dxa"/>
            </w:tcMar>
            <w:vAlign w:val="center"/>
          </w:tcPr>
          <w:p w14:paraId="1DE708FE">
            <w:pPr>
              <w:jc w:val="left"/>
            </w:pPr>
            <w:r>
              <w:rPr>
                <w:b/>
                <w:bCs/>
                <w:sz w:val="20"/>
                <w:szCs w:val="20"/>
              </w:rPr>
              <w:t>Limitation</w:t>
            </w:r>
          </w:p>
        </w:tc>
        <w:tc>
          <w:tcPr>
            <w:tcW w:w="3200" w:type="dxa"/>
            <w:shd w:val="clear" w:color="auto" w:fill="D9E2F3"/>
            <w:tcMar>
              <w:top w:w="80" w:type="dxa"/>
              <w:left w:w="100" w:type="dxa"/>
              <w:bottom w:w="80" w:type="dxa"/>
              <w:right w:w="100" w:type="dxa"/>
            </w:tcMar>
            <w:vAlign w:val="center"/>
          </w:tcPr>
          <w:p w14:paraId="6D774A4E">
            <w:pPr>
              <w:jc w:val="left"/>
            </w:pPr>
            <w:r>
              <w:rPr>
                <w:b/>
                <w:bCs/>
                <w:sz w:val="20"/>
                <w:szCs w:val="20"/>
              </w:rPr>
              <w:t>Impact</w:t>
            </w:r>
          </w:p>
        </w:tc>
        <w:tc>
          <w:tcPr>
            <w:tcW w:w="2040" w:type="dxa"/>
            <w:shd w:val="clear" w:color="auto" w:fill="D9E2F3"/>
            <w:tcMar>
              <w:top w:w="80" w:type="dxa"/>
              <w:left w:w="100" w:type="dxa"/>
              <w:bottom w:w="80" w:type="dxa"/>
              <w:right w:w="100" w:type="dxa"/>
            </w:tcMar>
            <w:vAlign w:val="center"/>
          </w:tcPr>
          <w:p w14:paraId="45BC53F4">
            <w:pPr>
              <w:jc w:val="left"/>
            </w:pPr>
            <w:r>
              <w:rPr>
                <w:b/>
                <w:bCs/>
                <w:sz w:val="20"/>
                <w:szCs w:val="20"/>
              </w:rPr>
              <w:t>Priority to Address
(High/Medium/Low)</w:t>
            </w:r>
          </w:p>
        </w:tc>
      </w:tr>
      <w:tr w14:paraId="12B6B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56F629B5">
            <w:pPr>
              <w:jc w:val="left"/>
            </w:pPr>
            <w:r>
              <w:rPr>
                <w:b w:val="0"/>
                <w:bCs w:val="0"/>
                <w:sz w:val="20"/>
                <w:szCs w:val="20"/>
              </w:rPr>
              <w:t>1</w:t>
            </w:r>
          </w:p>
        </w:tc>
        <w:tc>
          <w:tcPr>
            <w:tcW w:w="3600" w:type="dxa"/>
            <w:tcMar>
              <w:top w:w="80" w:type="dxa"/>
              <w:left w:w="100" w:type="dxa"/>
              <w:bottom w:w="80" w:type="dxa"/>
              <w:right w:w="100" w:type="dxa"/>
            </w:tcMar>
            <w:vAlign w:val="center"/>
          </w:tcPr>
          <w:p w14:paraId="70AF851A">
            <w:pPr>
              <w:jc w:val="left"/>
            </w:pPr>
            <w:r>
              <w:rPr>
                <w:b w:val="0"/>
                <w:bCs w:val="0"/>
                <w:sz w:val="20"/>
                <w:szCs w:val="20"/>
              </w:rPr>
              <w:t>Model trained on a single static HDI dataset (historical, not auto-updated)</w:t>
            </w:r>
          </w:p>
        </w:tc>
        <w:tc>
          <w:tcPr>
            <w:tcW w:w="3200" w:type="dxa"/>
            <w:tcMar>
              <w:top w:w="80" w:type="dxa"/>
              <w:left w:w="100" w:type="dxa"/>
              <w:bottom w:w="80" w:type="dxa"/>
              <w:right w:w="100" w:type="dxa"/>
            </w:tcMar>
            <w:vAlign w:val="center"/>
          </w:tcPr>
          <w:p w14:paraId="3F5983A0">
            <w:pPr>
              <w:jc w:val="left"/>
            </w:pPr>
            <w:r>
              <w:rPr>
                <w:b w:val="0"/>
                <w:bCs w:val="0"/>
                <w:sz w:val="20"/>
                <w:szCs w:val="20"/>
              </w:rPr>
              <w:t>Predictions may not reflect the latest country statistics</w:t>
            </w:r>
          </w:p>
        </w:tc>
        <w:tc>
          <w:tcPr>
            <w:tcW w:w="2040" w:type="dxa"/>
            <w:tcMar>
              <w:top w:w="80" w:type="dxa"/>
              <w:left w:w="100" w:type="dxa"/>
              <w:bottom w:w="80" w:type="dxa"/>
              <w:right w:w="100" w:type="dxa"/>
            </w:tcMar>
            <w:vAlign w:val="center"/>
          </w:tcPr>
          <w:p w14:paraId="7A53C684">
            <w:pPr>
              <w:jc w:val="left"/>
            </w:pPr>
            <w:r>
              <w:rPr>
                <w:b w:val="0"/>
                <w:bCs w:val="0"/>
                <w:sz w:val="20"/>
                <w:szCs w:val="20"/>
              </w:rPr>
              <w:t>High</w:t>
            </w:r>
          </w:p>
        </w:tc>
      </w:tr>
      <w:tr w14:paraId="0BB4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65576B21">
            <w:pPr>
              <w:jc w:val="left"/>
            </w:pPr>
            <w:r>
              <w:rPr>
                <w:b w:val="0"/>
                <w:bCs w:val="0"/>
                <w:sz w:val="20"/>
                <w:szCs w:val="20"/>
              </w:rPr>
              <w:t>2</w:t>
            </w:r>
          </w:p>
        </w:tc>
        <w:tc>
          <w:tcPr>
            <w:tcW w:w="3600" w:type="dxa"/>
            <w:tcMar>
              <w:top w:w="80" w:type="dxa"/>
              <w:left w:w="100" w:type="dxa"/>
              <w:bottom w:w="80" w:type="dxa"/>
              <w:right w:w="100" w:type="dxa"/>
            </w:tcMar>
            <w:vAlign w:val="center"/>
          </w:tcPr>
          <w:p w14:paraId="2ABDEA09">
            <w:pPr>
              <w:jc w:val="left"/>
            </w:pPr>
            <w:r>
              <w:rPr>
                <w:b w:val="0"/>
                <w:bCs w:val="0"/>
                <w:sz w:val="20"/>
                <w:szCs w:val="20"/>
              </w:rPr>
              <w:t>Only three core indicators (life expectancy, schooling, GNI per capita) are used</w:t>
            </w:r>
          </w:p>
        </w:tc>
        <w:tc>
          <w:tcPr>
            <w:tcW w:w="3200" w:type="dxa"/>
            <w:tcMar>
              <w:top w:w="80" w:type="dxa"/>
              <w:left w:w="100" w:type="dxa"/>
              <w:bottom w:w="80" w:type="dxa"/>
              <w:right w:w="100" w:type="dxa"/>
            </w:tcMar>
            <w:vAlign w:val="center"/>
          </w:tcPr>
          <w:p w14:paraId="0B73AEC8">
            <w:pPr>
              <w:jc w:val="left"/>
            </w:pPr>
            <w:r>
              <w:rPr>
                <w:b w:val="0"/>
                <w:bCs w:val="0"/>
                <w:sz w:val="20"/>
                <w:szCs w:val="20"/>
              </w:rPr>
              <w:t>Limits accuracy compared to the full multi-indicator HDI methodology</w:t>
            </w:r>
          </w:p>
        </w:tc>
        <w:tc>
          <w:tcPr>
            <w:tcW w:w="2040" w:type="dxa"/>
            <w:tcMar>
              <w:top w:w="80" w:type="dxa"/>
              <w:left w:w="100" w:type="dxa"/>
              <w:bottom w:w="80" w:type="dxa"/>
              <w:right w:w="100" w:type="dxa"/>
            </w:tcMar>
            <w:vAlign w:val="center"/>
          </w:tcPr>
          <w:p w14:paraId="61ADE7F7">
            <w:pPr>
              <w:jc w:val="left"/>
            </w:pPr>
            <w:r>
              <w:rPr>
                <w:b w:val="0"/>
                <w:bCs w:val="0"/>
                <w:sz w:val="20"/>
                <w:szCs w:val="20"/>
              </w:rPr>
              <w:t>Medium</w:t>
            </w:r>
          </w:p>
        </w:tc>
      </w:tr>
      <w:tr w14:paraId="5D19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21205228">
            <w:pPr>
              <w:jc w:val="left"/>
            </w:pPr>
            <w:r>
              <w:rPr>
                <w:b w:val="0"/>
                <w:bCs w:val="0"/>
                <w:sz w:val="20"/>
                <w:szCs w:val="20"/>
              </w:rPr>
              <w:t>3</w:t>
            </w:r>
          </w:p>
        </w:tc>
        <w:tc>
          <w:tcPr>
            <w:tcW w:w="3600" w:type="dxa"/>
            <w:tcMar>
              <w:top w:w="80" w:type="dxa"/>
              <w:left w:w="100" w:type="dxa"/>
              <w:bottom w:w="80" w:type="dxa"/>
              <w:right w:w="100" w:type="dxa"/>
            </w:tcMar>
            <w:vAlign w:val="center"/>
          </w:tcPr>
          <w:p w14:paraId="069F7D5D">
            <w:pPr>
              <w:jc w:val="left"/>
            </w:pPr>
            <w:r>
              <w:rPr>
                <w:b w:val="0"/>
                <w:bCs w:val="0"/>
                <w:sz w:val="20"/>
                <w:szCs w:val="20"/>
              </w:rPr>
              <w:t>Flask app runs as a single local/hosted instance without load balancing</w:t>
            </w:r>
          </w:p>
        </w:tc>
        <w:tc>
          <w:tcPr>
            <w:tcW w:w="3200" w:type="dxa"/>
            <w:tcMar>
              <w:top w:w="80" w:type="dxa"/>
              <w:left w:w="100" w:type="dxa"/>
              <w:bottom w:w="80" w:type="dxa"/>
              <w:right w:w="100" w:type="dxa"/>
            </w:tcMar>
            <w:vAlign w:val="center"/>
          </w:tcPr>
          <w:p w14:paraId="70F75F4B">
            <w:pPr>
              <w:jc w:val="left"/>
            </w:pPr>
            <w:r>
              <w:rPr>
                <w:b w:val="0"/>
                <w:bCs w:val="0"/>
                <w:sz w:val="20"/>
                <w:szCs w:val="20"/>
              </w:rPr>
              <w:t>May slow down or fail under high concurrent user traffic</w:t>
            </w:r>
          </w:p>
        </w:tc>
        <w:tc>
          <w:tcPr>
            <w:tcW w:w="2040" w:type="dxa"/>
            <w:tcMar>
              <w:top w:w="80" w:type="dxa"/>
              <w:left w:w="100" w:type="dxa"/>
              <w:bottom w:w="80" w:type="dxa"/>
              <w:right w:w="100" w:type="dxa"/>
            </w:tcMar>
            <w:vAlign w:val="center"/>
          </w:tcPr>
          <w:p w14:paraId="2FC06738">
            <w:pPr>
              <w:jc w:val="left"/>
            </w:pPr>
            <w:r>
              <w:rPr>
                <w:b w:val="0"/>
                <w:bCs w:val="0"/>
                <w:sz w:val="20"/>
                <w:szCs w:val="20"/>
              </w:rPr>
              <w:t>Medium</w:t>
            </w:r>
          </w:p>
        </w:tc>
      </w:tr>
    </w:tbl>
    <w:p w14:paraId="1F6CE97E"/>
    <w:p w14:paraId="2FE030CE">
      <w:pPr>
        <w:spacing w:before="300" w:after="150"/>
      </w:pPr>
      <w:r>
        <w:rPr>
          <w:b/>
          <w:bCs/>
          <w:sz w:val="24"/>
          <w:szCs w:val="24"/>
        </w:rPr>
        <w:t>Scalability Plan:</w:t>
      </w:r>
    </w:p>
    <w:tbl>
      <w:tblPr>
        <w:tblStyle w:val="9"/>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900"/>
        <w:gridCol w:w="3300"/>
        <w:gridCol w:w="3640"/>
      </w:tblGrid>
      <w:tr w14:paraId="6B8CF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D9E2F3"/>
            <w:tcMar>
              <w:top w:w="80" w:type="dxa"/>
              <w:left w:w="100" w:type="dxa"/>
              <w:bottom w:w="80" w:type="dxa"/>
              <w:right w:w="100" w:type="dxa"/>
            </w:tcMar>
            <w:vAlign w:val="center"/>
          </w:tcPr>
          <w:p w14:paraId="51B693EE">
            <w:pPr>
              <w:jc w:val="left"/>
            </w:pPr>
            <w:r>
              <w:rPr>
                <w:b/>
                <w:bCs/>
                <w:sz w:val="20"/>
                <w:szCs w:val="20"/>
              </w:rPr>
              <w:t>S.No</w:t>
            </w:r>
          </w:p>
        </w:tc>
        <w:tc>
          <w:tcPr>
            <w:tcW w:w="1900" w:type="dxa"/>
            <w:shd w:val="clear" w:color="auto" w:fill="D9E2F3"/>
            <w:tcMar>
              <w:top w:w="80" w:type="dxa"/>
              <w:left w:w="100" w:type="dxa"/>
              <w:bottom w:w="80" w:type="dxa"/>
              <w:right w:w="100" w:type="dxa"/>
            </w:tcMar>
            <w:vAlign w:val="center"/>
          </w:tcPr>
          <w:p w14:paraId="531E896C">
            <w:pPr>
              <w:jc w:val="left"/>
            </w:pPr>
            <w:r>
              <w:rPr>
                <w:b/>
                <w:bCs/>
                <w:sz w:val="20"/>
                <w:szCs w:val="20"/>
              </w:rPr>
              <w:t>Scalability Aspect</w:t>
            </w:r>
          </w:p>
        </w:tc>
        <w:tc>
          <w:tcPr>
            <w:tcW w:w="3300" w:type="dxa"/>
            <w:shd w:val="clear" w:color="auto" w:fill="D9E2F3"/>
            <w:tcMar>
              <w:top w:w="80" w:type="dxa"/>
              <w:left w:w="100" w:type="dxa"/>
              <w:bottom w:w="80" w:type="dxa"/>
              <w:right w:w="100" w:type="dxa"/>
            </w:tcMar>
            <w:vAlign w:val="center"/>
          </w:tcPr>
          <w:p w14:paraId="6834724D">
            <w:pPr>
              <w:jc w:val="left"/>
            </w:pPr>
            <w:r>
              <w:rPr>
                <w:b/>
                <w:bCs/>
                <w:sz w:val="20"/>
                <w:szCs w:val="20"/>
              </w:rPr>
              <w:t>Current State</w:t>
            </w:r>
          </w:p>
        </w:tc>
        <w:tc>
          <w:tcPr>
            <w:tcW w:w="3640" w:type="dxa"/>
            <w:shd w:val="clear" w:color="auto" w:fill="D9E2F3"/>
            <w:tcMar>
              <w:top w:w="80" w:type="dxa"/>
              <w:left w:w="100" w:type="dxa"/>
              <w:bottom w:w="80" w:type="dxa"/>
              <w:right w:w="100" w:type="dxa"/>
            </w:tcMar>
            <w:vAlign w:val="center"/>
          </w:tcPr>
          <w:p w14:paraId="0D2C261B">
            <w:pPr>
              <w:jc w:val="left"/>
            </w:pPr>
            <w:r>
              <w:rPr>
                <w:b/>
                <w:bCs/>
                <w:sz w:val="20"/>
                <w:szCs w:val="20"/>
              </w:rPr>
              <w:t>Proposed Upgrade / Solution</w:t>
            </w:r>
          </w:p>
        </w:tc>
      </w:tr>
      <w:tr w14:paraId="7D56C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650BEE62">
            <w:pPr>
              <w:jc w:val="left"/>
            </w:pPr>
            <w:r>
              <w:rPr>
                <w:b w:val="0"/>
                <w:bCs w:val="0"/>
                <w:sz w:val="20"/>
                <w:szCs w:val="20"/>
              </w:rPr>
              <w:t>1</w:t>
            </w:r>
          </w:p>
        </w:tc>
        <w:tc>
          <w:tcPr>
            <w:tcW w:w="1900" w:type="dxa"/>
            <w:tcMar>
              <w:top w:w="80" w:type="dxa"/>
              <w:left w:w="100" w:type="dxa"/>
              <w:bottom w:w="80" w:type="dxa"/>
              <w:right w:w="100" w:type="dxa"/>
            </w:tcMar>
            <w:vAlign w:val="center"/>
          </w:tcPr>
          <w:p w14:paraId="6DA26F38">
            <w:pPr>
              <w:jc w:val="left"/>
            </w:pPr>
            <w:r>
              <w:rPr>
                <w:b w:val="0"/>
                <w:bCs w:val="0"/>
                <w:sz w:val="20"/>
                <w:szCs w:val="20"/>
              </w:rPr>
              <w:t>User Load</w:t>
            </w:r>
          </w:p>
        </w:tc>
        <w:tc>
          <w:tcPr>
            <w:tcW w:w="3300" w:type="dxa"/>
            <w:tcMar>
              <w:top w:w="80" w:type="dxa"/>
              <w:left w:w="100" w:type="dxa"/>
              <w:bottom w:w="80" w:type="dxa"/>
              <w:right w:w="100" w:type="dxa"/>
            </w:tcMar>
            <w:vAlign w:val="center"/>
          </w:tcPr>
          <w:p w14:paraId="28ACEF16">
            <w:pPr>
              <w:jc w:val="left"/>
            </w:pPr>
            <w:r>
              <w:rPr>
                <w:b w:val="0"/>
                <w:bCs w:val="0"/>
                <w:sz w:val="20"/>
                <w:szCs w:val="20"/>
              </w:rPr>
              <w:t>Single Flask instance handling requests sequentially</w:t>
            </w:r>
          </w:p>
        </w:tc>
        <w:tc>
          <w:tcPr>
            <w:tcW w:w="3640" w:type="dxa"/>
            <w:tcMar>
              <w:top w:w="80" w:type="dxa"/>
              <w:left w:w="100" w:type="dxa"/>
              <w:bottom w:w="80" w:type="dxa"/>
              <w:right w:w="100" w:type="dxa"/>
            </w:tcMar>
            <w:vAlign w:val="center"/>
          </w:tcPr>
          <w:p w14:paraId="797C0AB9">
            <w:pPr>
              <w:jc w:val="left"/>
            </w:pPr>
            <w:r>
              <w:rPr>
                <w:b w:val="0"/>
                <w:bCs w:val="0"/>
                <w:sz w:val="20"/>
                <w:szCs w:val="20"/>
              </w:rPr>
              <w:t>Deploy using Gunicorn/uWSGI with multiple workers behind Nginx, and containerize with Docker for horizontal scaling on cloud platforms (AWS/Azure/Render)</w:t>
            </w:r>
          </w:p>
        </w:tc>
      </w:tr>
      <w:tr w14:paraId="60674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4F46C315">
            <w:pPr>
              <w:jc w:val="left"/>
            </w:pPr>
            <w:r>
              <w:rPr>
                <w:b w:val="0"/>
                <w:bCs w:val="0"/>
                <w:sz w:val="20"/>
                <w:szCs w:val="20"/>
              </w:rPr>
              <w:t>2</w:t>
            </w:r>
          </w:p>
        </w:tc>
        <w:tc>
          <w:tcPr>
            <w:tcW w:w="1900" w:type="dxa"/>
            <w:tcMar>
              <w:top w:w="80" w:type="dxa"/>
              <w:left w:w="100" w:type="dxa"/>
              <w:bottom w:w="80" w:type="dxa"/>
              <w:right w:w="100" w:type="dxa"/>
            </w:tcMar>
            <w:vAlign w:val="center"/>
          </w:tcPr>
          <w:p w14:paraId="457855C0">
            <w:pPr>
              <w:jc w:val="left"/>
            </w:pPr>
            <w:r>
              <w:rPr>
                <w:b w:val="0"/>
                <w:bCs w:val="0"/>
                <w:sz w:val="20"/>
                <w:szCs w:val="20"/>
              </w:rPr>
              <w:t>Data Storage</w:t>
            </w:r>
          </w:p>
        </w:tc>
        <w:tc>
          <w:tcPr>
            <w:tcW w:w="3300" w:type="dxa"/>
            <w:tcMar>
              <w:top w:w="80" w:type="dxa"/>
              <w:left w:w="100" w:type="dxa"/>
              <w:bottom w:w="80" w:type="dxa"/>
              <w:right w:w="100" w:type="dxa"/>
            </w:tcMar>
            <w:vAlign w:val="center"/>
          </w:tcPr>
          <w:p w14:paraId="783BDED9">
            <w:pPr>
              <w:jc w:val="left"/>
            </w:pPr>
            <w:r>
              <w:rPr>
                <w:b w:val="0"/>
                <w:bCs w:val="0"/>
                <w:sz w:val="20"/>
                <w:szCs w:val="20"/>
              </w:rPr>
              <w:t>Dataset loaded from a local CSV/Excel file at runtime</w:t>
            </w:r>
          </w:p>
        </w:tc>
        <w:tc>
          <w:tcPr>
            <w:tcW w:w="3640" w:type="dxa"/>
            <w:tcMar>
              <w:top w:w="80" w:type="dxa"/>
              <w:left w:w="100" w:type="dxa"/>
              <w:bottom w:w="80" w:type="dxa"/>
              <w:right w:w="100" w:type="dxa"/>
            </w:tcMar>
            <w:vAlign w:val="center"/>
          </w:tcPr>
          <w:p w14:paraId="332AB322">
            <w:pPr>
              <w:jc w:val="left"/>
            </w:pPr>
            <w:r>
              <w:rPr>
                <w:b w:val="0"/>
                <w:bCs w:val="0"/>
                <w:sz w:val="20"/>
                <w:szCs w:val="20"/>
              </w:rPr>
              <w:t>Migrate to a managed database (PostgreSQL/MySQL) or cloud data warehouse to support larger, continuously updated HDI datasets</w:t>
            </w:r>
          </w:p>
        </w:tc>
      </w:tr>
      <w:tr w14:paraId="7763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1F8D0ABE">
            <w:pPr>
              <w:jc w:val="left"/>
            </w:pPr>
            <w:r>
              <w:rPr>
                <w:b w:val="0"/>
                <w:bCs w:val="0"/>
                <w:sz w:val="20"/>
                <w:szCs w:val="20"/>
              </w:rPr>
              <w:t>3</w:t>
            </w:r>
          </w:p>
        </w:tc>
        <w:tc>
          <w:tcPr>
            <w:tcW w:w="1900" w:type="dxa"/>
            <w:tcMar>
              <w:top w:w="80" w:type="dxa"/>
              <w:left w:w="100" w:type="dxa"/>
              <w:bottom w:w="80" w:type="dxa"/>
              <w:right w:w="100" w:type="dxa"/>
            </w:tcMar>
            <w:vAlign w:val="center"/>
          </w:tcPr>
          <w:p w14:paraId="7603F705">
            <w:pPr>
              <w:jc w:val="left"/>
            </w:pPr>
            <w:r>
              <w:rPr>
                <w:b w:val="0"/>
                <w:bCs w:val="0"/>
                <w:sz w:val="20"/>
                <w:szCs w:val="20"/>
              </w:rPr>
              <w:t>Performance</w:t>
            </w:r>
          </w:p>
        </w:tc>
        <w:tc>
          <w:tcPr>
            <w:tcW w:w="3300" w:type="dxa"/>
            <w:tcMar>
              <w:top w:w="80" w:type="dxa"/>
              <w:left w:w="100" w:type="dxa"/>
              <w:bottom w:w="80" w:type="dxa"/>
              <w:right w:w="100" w:type="dxa"/>
            </w:tcMar>
            <w:vAlign w:val="center"/>
          </w:tcPr>
          <w:p w14:paraId="1A2A361F">
            <w:pPr>
              <w:jc w:val="left"/>
            </w:pPr>
            <w:r>
              <w:rPr>
                <w:b w:val="0"/>
                <w:bCs w:val="0"/>
                <w:sz w:val="20"/>
                <w:szCs w:val="20"/>
              </w:rPr>
              <w:t>Model loaded via pickle and inference done synchronously per request</w:t>
            </w:r>
          </w:p>
        </w:tc>
        <w:tc>
          <w:tcPr>
            <w:tcW w:w="3640" w:type="dxa"/>
            <w:tcMar>
              <w:top w:w="80" w:type="dxa"/>
              <w:left w:w="100" w:type="dxa"/>
              <w:bottom w:w="80" w:type="dxa"/>
              <w:right w:w="100" w:type="dxa"/>
            </w:tcMar>
            <w:vAlign w:val="center"/>
          </w:tcPr>
          <w:p w14:paraId="6102E37F">
            <w:pPr>
              <w:jc w:val="left"/>
            </w:pPr>
            <w:r>
              <w:rPr>
                <w:b w:val="0"/>
                <w:bCs w:val="0"/>
                <w:sz w:val="20"/>
                <w:szCs w:val="20"/>
              </w:rPr>
              <w:t>Introduce model caching, batch inference, and asynchronous request handling; explore lighter models or ONNX conversion for faster inference</w:t>
            </w:r>
          </w:p>
        </w:tc>
      </w:tr>
      <w:tr w14:paraId="0321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36510F78">
            <w:pPr>
              <w:jc w:val="left"/>
            </w:pPr>
            <w:r>
              <w:rPr>
                <w:b w:val="0"/>
                <w:bCs w:val="0"/>
                <w:sz w:val="20"/>
                <w:szCs w:val="20"/>
              </w:rPr>
              <w:t>4</w:t>
            </w:r>
          </w:p>
        </w:tc>
        <w:tc>
          <w:tcPr>
            <w:tcW w:w="1900" w:type="dxa"/>
            <w:tcMar>
              <w:top w:w="80" w:type="dxa"/>
              <w:left w:w="100" w:type="dxa"/>
              <w:bottom w:w="80" w:type="dxa"/>
              <w:right w:w="100" w:type="dxa"/>
            </w:tcMar>
            <w:vAlign w:val="center"/>
          </w:tcPr>
          <w:p w14:paraId="49019E85">
            <w:pPr>
              <w:jc w:val="left"/>
            </w:pPr>
            <w:r>
              <w:rPr>
                <w:b w:val="0"/>
                <w:bCs w:val="0"/>
                <w:sz w:val="20"/>
                <w:szCs w:val="20"/>
              </w:rPr>
              <w:t>Security</w:t>
            </w:r>
          </w:p>
        </w:tc>
        <w:tc>
          <w:tcPr>
            <w:tcW w:w="3300" w:type="dxa"/>
            <w:tcMar>
              <w:top w:w="80" w:type="dxa"/>
              <w:left w:w="100" w:type="dxa"/>
              <w:bottom w:w="80" w:type="dxa"/>
              <w:right w:w="100" w:type="dxa"/>
            </w:tcMar>
            <w:vAlign w:val="center"/>
          </w:tcPr>
          <w:p w14:paraId="6579F7AB">
            <w:pPr>
              <w:jc w:val="left"/>
            </w:pPr>
            <w:r>
              <w:rPr>
                <w:b w:val="0"/>
                <w:bCs w:val="0"/>
                <w:sz w:val="20"/>
                <w:szCs w:val="20"/>
              </w:rPr>
              <w:t>Basic Flask app with no authentication layer</w:t>
            </w:r>
          </w:p>
        </w:tc>
        <w:tc>
          <w:tcPr>
            <w:tcW w:w="3640" w:type="dxa"/>
            <w:tcMar>
              <w:top w:w="80" w:type="dxa"/>
              <w:left w:w="100" w:type="dxa"/>
              <w:bottom w:w="80" w:type="dxa"/>
              <w:right w:w="100" w:type="dxa"/>
            </w:tcMar>
            <w:vAlign w:val="center"/>
          </w:tcPr>
          <w:p w14:paraId="2BA1D3C3">
            <w:pPr>
              <w:jc w:val="left"/>
            </w:pPr>
            <w:r>
              <w:rPr>
                <w:b w:val="0"/>
                <w:bCs w:val="0"/>
                <w:sz w:val="20"/>
                <w:szCs w:val="20"/>
              </w:rPr>
              <w:t>Add HTTPS/SSL, input validation and sanitization, rate limiting, and optional API-key based authentication for external integrations</w:t>
            </w:r>
          </w:p>
        </w:tc>
      </w:tr>
    </w:tbl>
    <w:p w14:paraId="5EB59CED"/>
    <w:p w14:paraId="75B9048E">
      <w:pPr>
        <w:spacing w:before="300" w:after="150"/>
      </w:pPr>
      <w:r>
        <w:rPr>
          <w:b/>
          <w:bCs/>
          <w:sz w:val="24"/>
          <w:szCs w:val="24"/>
        </w:rPr>
        <w:t>Future Roadmap:</w:t>
      </w:r>
    </w:p>
    <w:tbl>
      <w:tblPr>
        <w:tblStyle w:val="9"/>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900"/>
        <w:gridCol w:w="2000"/>
        <w:gridCol w:w="2740"/>
      </w:tblGrid>
      <w:tr w14:paraId="5F85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D9E2F3"/>
            <w:tcMar>
              <w:top w:w="80" w:type="dxa"/>
              <w:left w:w="100" w:type="dxa"/>
              <w:bottom w:w="80" w:type="dxa"/>
              <w:right w:w="100" w:type="dxa"/>
            </w:tcMar>
            <w:vAlign w:val="center"/>
          </w:tcPr>
          <w:p w14:paraId="6B77959B">
            <w:pPr>
              <w:jc w:val="left"/>
            </w:pPr>
            <w:r>
              <w:rPr>
                <w:b/>
                <w:bCs/>
                <w:sz w:val="20"/>
                <w:szCs w:val="20"/>
              </w:rPr>
              <w:t>Phase</w:t>
            </w:r>
          </w:p>
        </w:tc>
        <w:tc>
          <w:tcPr>
            <w:tcW w:w="3900" w:type="dxa"/>
            <w:shd w:val="clear" w:color="auto" w:fill="D9E2F3"/>
            <w:tcMar>
              <w:top w:w="80" w:type="dxa"/>
              <w:left w:w="100" w:type="dxa"/>
              <w:bottom w:w="80" w:type="dxa"/>
              <w:right w:w="100" w:type="dxa"/>
            </w:tcMar>
            <w:vAlign w:val="center"/>
          </w:tcPr>
          <w:p w14:paraId="275F1929">
            <w:pPr>
              <w:jc w:val="left"/>
            </w:pPr>
            <w:r>
              <w:rPr>
                <w:b/>
                <w:bCs/>
                <w:sz w:val="20"/>
                <w:szCs w:val="20"/>
              </w:rPr>
              <w:t>Planned Feature / Enhancement</w:t>
            </w:r>
          </w:p>
        </w:tc>
        <w:tc>
          <w:tcPr>
            <w:tcW w:w="2000" w:type="dxa"/>
            <w:shd w:val="clear" w:color="auto" w:fill="D9E2F3"/>
            <w:tcMar>
              <w:top w:w="80" w:type="dxa"/>
              <w:left w:w="100" w:type="dxa"/>
              <w:bottom w:w="80" w:type="dxa"/>
              <w:right w:w="100" w:type="dxa"/>
            </w:tcMar>
            <w:vAlign w:val="center"/>
          </w:tcPr>
          <w:p w14:paraId="18EAC010">
            <w:pPr>
              <w:jc w:val="left"/>
            </w:pPr>
            <w:r>
              <w:rPr>
                <w:b/>
                <w:bCs/>
                <w:sz w:val="20"/>
                <w:szCs w:val="20"/>
              </w:rPr>
              <w:t>Target Timeline</w:t>
            </w:r>
          </w:p>
        </w:tc>
        <w:tc>
          <w:tcPr>
            <w:tcW w:w="2740" w:type="dxa"/>
            <w:shd w:val="clear" w:color="auto" w:fill="D9E2F3"/>
            <w:tcMar>
              <w:top w:w="80" w:type="dxa"/>
              <w:left w:w="100" w:type="dxa"/>
              <w:bottom w:w="80" w:type="dxa"/>
              <w:right w:w="100" w:type="dxa"/>
            </w:tcMar>
            <w:vAlign w:val="center"/>
          </w:tcPr>
          <w:p w14:paraId="76A6915E">
            <w:pPr>
              <w:jc w:val="left"/>
            </w:pPr>
            <w:r>
              <w:rPr>
                <w:b/>
                <w:bCs/>
                <w:sz w:val="20"/>
                <w:szCs w:val="20"/>
              </w:rPr>
              <w:t>Expected Impact</w:t>
            </w:r>
          </w:p>
        </w:tc>
      </w:tr>
      <w:tr w14:paraId="5D5E5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75DDC20D">
            <w:pPr>
              <w:jc w:val="left"/>
            </w:pPr>
            <w:r>
              <w:rPr>
                <w:b w:val="0"/>
                <w:bCs w:val="0"/>
                <w:sz w:val="20"/>
                <w:szCs w:val="20"/>
              </w:rPr>
              <w:t>Phase 2</w:t>
            </w:r>
          </w:p>
        </w:tc>
        <w:tc>
          <w:tcPr>
            <w:tcW w:w="3900" w:type="dxa"/>
            <w:tcMar>
              <w:top w:w="80" w:type="dxa"/>
              <w:left w:w="100" w:type="dxa"/>
              <w:bottom w:w="80" w:type="dxa"/>
              <w:right w:w="100" w:type="dxa"/>
            </w:tcMar>
            <w:vAlign w:val="center"/>
          </w:tcPr>
          <w:p w14:paraId="48285A50">
            <w:pPr>
              <w:jc w:val="left"/>
            </w:pPr>
            <w:r>
              <w:rPr>
                <w:b w:val="0"/>
                <w:bCs w:val="0"/>
                <w:sz w:val="20"/>
                <w:szCs w:val="20"/>
              </w:rPr>
              <w:t>Integrate live World Bank / UNDP APIs to auto-refresh country indicators</w:t>
            </w:r>
          </w:p>
        </w:tc>
        <w:tc>
          <w:tcPr>
            <w:tcW w:w="2000" w:type="dxa"/>
            <w:tcMar>
              <w:top w:w="80" w:type="dxa"/>
              <w:left w:w="100" w:type="dxa"/>
              <w:bottom w:w="80" w:type="dxa"/>
              <w:right w:w="100" w:type="dxa"/>
            </w:tcMar>
            <w:vAlign w:val="center"/>
          </w:tcPr>
          <w:p w14:paraId="0B09FB36">
            <w:pPr>
              <w:jc w:val="left"/>
            </w:pPr>
            <w:r>
              <w:rPr>
                <w:b w:val="0"/>
                <w:bCs w:val="0"/>
                <w:sz w:val="20"/>
                <w:szCs w:val="20"/>
              </w:rPr>
              <w:t>3 months post-launch</w:t>
            </w:r>
          </w:p>
        </w:tc>
        <w:tc>
          <w:tcPr>
            <w:tcW w:w="2740" w:type="dxa"/>
            <w:tcMar>
              <w:top w:w="80" w:type="dxa"/>
              <w:left w:w="100" w:type="dxa"/>
              <w:bottom w:w="80" w:type="dxa"/>
              <w:right w:w="100" w:type="dxa"/>
            </w:tcMar>
            <w:vAlign w:val="center"/>
          </w:tcPr>
          <w:p w14:paraId="59B907F9">
            <w:pPr>
              <w:jc w:val="left"/>
            </w:pPr>
            <w:r>
              <w:rPr>
                <w:b w:val="0"/>
                <w:bCs w:val="0"/>
                <w:sz w:val="20"/>
                <w:szCs w:val="20"/>
              </w:rPr>
              <w:t>Keeps predictions current and reduces manual dataset updates</w:t>
            </w:r>
          </w:p>
        </w:tc>
      </w:tr>
      <w:tr w14:paraId="79FE4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5A34C818">
            <w:pPr>
              <w:jc w:val="left"/>
            </w:pPr>
            <w:r>
              <w:rPr>
                <w:b w:val="0"/>
                <w:bCs w:val="0"/>
                <w:sz w:val="20"/>
                <w:szCs w:val="20"/>
              </w:rPr>
              <w:t>Phase 3</w:t>
            </w:r>
          </w:p>
        </w:tc>
        <w:tc>
          <w:tcPr>
            <w:tcW w:w="3900" w:type="dxa"/>
            <w:tcMar>
              <w:top w:w="80" w:type="dxa"/>
              <w:left w:w="100" w:type="dxa"/>
              <w:bottom w:w="80" w:type="dxa"/>
              <w:right w:w="100" w:type="dxa"/>
            </w:tcMar>
            <w:vAlign w:val="center"/>
          </w:tcPr>
          <w:p w14:paraId="30F63718">
            <w:pPr>
              <w:jc w:val="left"/>
            </w:pPr>
            <w:r>
              <w:rPr>
                <w:b w:val="0"/>
                <w:bCs w:val="0"/>
                <w:sz w:val="20"/>
                <w:szCs w:val="20"/>
              </w:rPr>
              <w:t>Add a comparative dashboard to visualize HDI trends across multiple countries and years</w:t>
            </w:r>
          </w:p>
        </w:tc>
        <w:tc>
          <w:tcPr>
            <w:tcW w:w="2000" w:type="dxa"/>
            <w:tcMar>
              <w:top w:w="80" w:type="dxa"/>
              <w:left w:w="100" w:type="dxa"/>
              <w:bottom w:w="80" w:type="dxa"/>
              <w:right w:w="100" w:type="dxa"/>
            </w:tcMar>
            <w:vAlign w:val="center"/>
          </w:tcPr>
          <w:p w14:paraId="211FB54F">
            <w:pPr>
              <w:jc w:val="left"/>
            </w:pPr>
            <w:r>
              <w:rPr>
                <w:b w:val="0"/>
                <w:bCs w:val="0"/>
                <w:sz w:val="20"/>
                <w:szCs w:val="20"/>
              </w:rPr>
              <w:t>6 months post-launch</w:t>
            </w:r>
          </w:p>
        </w:tc>
        <w:tc>
          <w:tcPr>
            <w:tcW w:w="2740" w:type="dxa"/>
            <w:tcMar>
              <w:top w:w="80" w:type="dxa"/>
              <w:left w:w="100" w:type="dxa"/>
              <w:bottom w:w="80" w:type="dxa"/>
              <w:right w:w="100" w:type="dxa"/>
            </w:tcMar>
            <w:vAlign w:val="center"/>
          </w:tcPr>
          <w:p w14:paraId="2637DC5E">
            <w:pPr>
              <w:jc w:val="left"/>
            </w:pPr>
            <w:r>
              <w:rPr>
                <w:b w:val="0"/>
                <w:bCs w:val="0"/>
                <w:sz w:val="20"/>
                <w:szCs w:val="20"/>
              </w:rPr>
              <w:t>Enables richer analysis for researchers and policymakers</w:t>
            </w:r>
          </w:p>
        </w:tc>
      </w:tr>
      <w:tr w14:paraId="0FC78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0FA41C82">
            <w:pPr>
              <w:jc w:val="left"/>
            </w:pPr>
            <w:r>
              <w:rPr>
                <w:b w:val="0"/>
                <w:bCs w:val="0"/>
                <w:sz w:val="20"/>
                <w:szCs w:val="20"/>
              </w:rPr>
              <w:t>Phase 4</w:t>
            </w:r>
          </w:p>
        </w:tc>
        <w:tc>
          <w:tcPr>
            <w:tcW w:w="3900" w:type="dxa"/>
            <w:tcMar>
              <w:top w:w="80" w:type="dxa"/>
              <w:left w:w="100" w:type="dxa"/>
              <w:bottom w:w="80" w:type="dxa"/>
              <w:right w:w="100" w:type="dxa"/>
            </w:tcMar>
            <w:vAlign w:val="center"/>
          </w:tcPr>
          <w:p w14:paraId="069AC414">
            <w:pPr>
              <w:jc w:val="left"/>
            </w:pPr>
            <w:r>
              <w:rPr>
                <w:b w:val="0"/>
                <w:bCs w:val="0"/>
                <w:sz w:val="20"/>
                <w:szCs w:val="20"/>
              </w:rPr>
              <w:t>Expand model to include additional sub-indices (Gender Development Index, Inequality-adjusted HDI)</w:t>
            </w:r>
          </w:p>
        </w:tc>
        <w:tc>
          <w:tcPr>
            <w:tcW w:w="2000" w:type="dxa"/>
            <w:tcMar>
              <w:top w:w="80" w:type="dxa"/>
              <w:left w:w="100" w:type="dxa"/>
              <w:bottom w:w="80" w:type="dxa"/>
              <w:right w:w="100" w:type="dxa"/>
            </w:tcMar>
            <w:vAlign w:val="center"/>
          </w:tcPr>
          <w:p w14:paraId="59328C21">
            <w:pPr>
              <w:jc w:val="left"/>
            </w:pPr>
            <w:r>
              <w:rPr>
                <w:b w:val="0"/>
                <w:bCs w:val="0"/>
                <w:sz w:val="20"/>
                <w:szCs w:val="20"/>
              </w:rPr>
              <w:t>9-12 months post-launch</w:t>
            </w:r>
          </w:p>
        </w:tc>
        <w:tc>
          <w:tcPr>
            <w:tcW w:w="2740" w:type="dxa"/>
            <w:tcMar>
              <w:top w:w="80" w:type="dxa"/>
              <w:left w:w="100" w:type="dxa"/>
              <w:bottom w:w="80" w:type="dxa"/>
              <w:right w:w="100" w:type="dxa"/>
            </w:tcMar>
            <w:vAlign w:val="center"/>
          </w:tcPr>
          <w:p w14:paraId="03DD9FE1">
            <w:pPr>
              <w:jc w:val="left"/>
            </w:pPr>
            <w:r>
              <w:rPr>
                <w:b w:val="0"/>
                <w:bCs w:val="0"/>
                <w:sz w:val="20"/>
                <w:szCs w:val="20"/>
              </w:rPr>
              <w:t>Provides a more holistic development assessment tool</w:t>
            </w:r>
          </w:p>
        </w:tc>
      </w:tr>
    </w:tbl>
    <w:p w14:paraId="3E937B32"/>
    <w:sectPr>
      <w:pgSz w:w="12240" w:h="15840"/>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51A5E64"/>
    <w:rsid w:val="5BE007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305</Words>
  <Characters>1821</Characters>
  <TotalTime>0</TotalTime>
  <ScaleCrop>false</ScaleCrop>
  <LinksUpToDate>false</LinksUpToDate>
  <CharactersWithSpaces>2069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2026-07-06T09:46:00Z</dcterms:created>
  <dc:creator>Un-named</dc:creator>
  <cp:lastModifiedBy>parneeth</cp:lastModifiedBy>
  <dcterms:modified xsi:type="dcterms:W3CDTF">2026-07-14T08:45:55Z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eyJoZGlkIjoiYTg0NjhiMTYzMGYwOTM2NGM3ZTc0MjYyZjFjOTcyZDkiLCJ1c2VySWQiOiI1Njc2NTM0NjUzMDkifQ==</vt:lpwstr>
  </property>
  <property fmtid="{D5CDD505-2E9C-101B-9397-08002B2CF9AE}" pid="3" name="KSOProductBuildVer">
    <vt:lpwstr>1033-12.1.0.26880</vt:lpwstr>
  </property>
  <property fmtid="{D5CDD505-2E9C-101B-9397-08002B2CF9AE}" pid="4" name="ICV">
    <vt:lpwstr>01A53D3974D14098967448F1841AE891_12</vt:lpwstr>
  </property>
</Properties>
</file>