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98A5" w14:textId="77777777" w:rsidR="00D115A9" w:rsidRDefault="00000000">
      <w:pPr>
        <w:bidi/>
        <w:spacing w:after="80" w:line="300" w:lineRule="auto"/>
        <w:jc w:val="center"/>
      </w:pPr>
      <w:r>
        <w:rPr>
          <w:rFonts w:ascii="B Nazanin" w:hAnsi="B Nazanin" w:cs="B Nazanin"/>
          <w:b/>
          <w:bCs/>
          <w:color w:val="0F4761"/>
          <w:sz w:val="34"/>
          <w:szCs w:val="36"/>
          <w:rtl/>
          <w:lang w:bidi="fa-IR"/>
        </w:rPr>
        <w:t xml:space="preserve">نقشه راه بخش ۳: کنترل دسترسی و چالش‌های امنیتی در </w:t>
      </w:r>
      <w:r>
        <w:rPr>
          <w:rFonts w:ascii="Times New Roman" w:hAnsi="Times New Roman" w:cs="B Nazanin"/>
          <w:b/>
          <w:bCs/>
          <w:color w:val="0F4761"/>
          <w:sz w:val="34"/>
          <w:szCs w:val="36"/>
          <w:lang w:bidi="fa-IR"/>
        </w:rPr>
        <w:t>IIoT</w:t>
      </w:r>
    </w:p>
    <w:p w14:paraId="014AD813" w14:textId="77777777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t>الف. هدف و پرسش محوری بخش ۳</w:t>
      </w:r>
    </w:p>
    <w:p w14:paraId="2F500D5F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szCs w:val="26"/>
          <w:rtl/>
          <w:lang w:bidi="fa-IR"/>
        </w:rPr>
        <w:t xml:space="preserve">بخش ۲ معماری هفت‌لایه‌ی </w:t>
      </w:r>
      <w:r>
        <w:rPr>
          <w:rFonts w:ascii="Times New Roman" w:hAnsi="Times New Roman" w:cs="B Nazanin"/>
          <w:szCs w:val="26"/>
          <w:lang w:bidi="fa-IR"/>
        </w:rPr>
        <w:t>IIoT</w:t>
      </w:r>
      <w:r>
        <w:rPr>
          <w:rFonts w:ascii="B Nazanin" w:hAnsi="B Nazanin" w:cs="B Nazanin"/>
          <w:szCs w:val="26"/>
          <w:rtl/>
          <w:lang w:bidi="fa-IR"/>
        </w:rPr>
        <w:t xml:space="preserve"> را با پنج مرز اعتماد (</w:t>
      </w:r>
      <w:r>
        <w:rPr>
          <w:rFonts w:ascii="Times New Roman" w:hAnsi="Times New Roman" w:cs="B Nazanin"/>
          <w:szCs w:val="26"/>
          <w:lang w:bidi="fa-IR"/>
        </w:rPr>
        <w:t>TB1</w:t>
      </w:r>
      <w:r>
        <w:rPr>
          <w:rFonts w:ascii="B Nazanin" w:hAnsi="B Nazanin" w:cs="B Nazanin"/>
          <w:szCs w:val="26"/>
          <w:rtl/>
          <w:lang w:bidi="fa-IR"/>
        </w:rPr>
        <w:t xml:space="preserve"> تا </w:t>
      </w:r>
      <w:r>
        <w:rPr>
          <w:rFonts w:ascii="Times New Roman" w:hAnsi="Times New Roman" w:cs="B Nazanin"/>
          <w:szCs w:val="26"/>
          <w:lang w:bidi="fa-IR"/>
        </w:rPr>
        <w:t>TB5</w:t>
      </w:r>
      <w:r>
        <w:rPr>
          <w:rFonts w:ascii="B Nazanin" w:hAnsi="B Nazanin" w:cs="B Nazanin"/>
          <w:szCs w:val="26"/>
          <w:rtl/>
          <w:lang w:bidi="fa-IR"/>
        </w:rPr>
        <w:t>) معرفی کرد و در پایان وعده داد که بخش بعد، کنترل دسترسی و بردارهای حمله را در دو سطح دنبال کند: امنیت نودها و امنیت لینک‌های میان نودها. بخش ۳ باید همین وعده را عملی کند.</w:t>
      </w:r>
    </w:p>
    <w:p w14:paraId="2D1DBF65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پرسش محوری: </w:t>
      </w:r>
      <w:r>
        <w:rPr>
          <w:rFonts w:ascii="B Nazanin" w:hAnsi="B Nazanin" w:cs="B Nazanin"/>
          <w:szCs w:val="26"/>
          <w:rtl/>
          <w:lang w:bidi="fa-IR"/>
        </w:rPr>
        <w:t>در معماری بخش ۲، کنترل دسترسی در کدام نودها و روی کدام لینک‌ها اعمال می‌شود، چه حملاتی آن را دور می‌زنند یا بی‌اثر می‌کنند، و الزامات بلادرنگ چه محدودیتی بر آن می‌گذارد؟</w:t>
      </w:r>
    </w:p>
    <w:p w14:paraId="6944486A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خروجی مورد انتظار: </w:t>
      </w:r>
      <w:r>
        <w:rPr>
          <w:rFonts w:ascii="B Nazanin" w:hAnsi="B Nazanin" w:cs="B Nazanin"/>
          <w:szCs w:val="26"/>
          <w:rtl/>
          <w:lang w:bidi="fa-IR"/>
        </w:rPr>
        <w:t xml:space="preserve">(۱) مفاهیم و مدل‌های پایه‌ی کنترل دسترسی؛ (۲) تحلیل کنترل دسترسی در </w:t>
      </w:r>
      <w:r>
        <w:rPr>
          <w:rFonts w:ascii="Times New Roman" w:hAnsi="Times New Roman" w:cs="B Nazanin"/>
          <w:szCs w:val="26"/>
          <w:lang w:bidi="fa-IR"/>
        </w:rPr>
        <w:t>MQTT</w:t>
      </w:r>
      <w:r>
        <w:rPr>
          <w:rFonts w:ascii="B Nazanin" w:hAnsi="B Nazanin" w:cs="B Nazanin"/>
          <w:szCs w:val="26"/>
          <w:rtl/>
          <w:lang w:bidi="fa-IR"/>
        </w:rPr>
        <w:t xml:space="preserve">؛ (۳) طبقه‌بندی بردارهای حمله روی نودها و روی لینک‌ها به تفکیک </w:t>
      </w:r>
      <w:r>
        <w:rPr>
          <w:rFonts w:ascii="Times New Roman" w:hAnsi="Times New Roman" w:cs="B Nazanin"/>
          <w:szCs w:val="26"/>
          <w:lang w:bidi="fa-IR"/>
        </w:rPr>
        <w:t>TB1</w:t>
      </w:r>
      <w:r>
        <w:rPr>
          <w:rFonts w:ascii="B Nazanin" w:hAnsi="B Nazanin" w:cs="B Nazanin"/>
          <w:szCs w:val="26"/>
          <w:rtl/>
          <w:lang w:bidi="fa-IR"/>
        </w:rPr>
        <w:t xml:space="preserve"> تا </w:t>
      </w:r>
      <w:r>
        <w:rPr>
          <w:rFonts w:ascii="Times New Roman" w:hAnsi="Times New Roman" w:cs="B Nazanin"/>
          <w:szCs w:val="26"/>
          <w:lang w:bidi="fa-IR"/>
        </w:rPr>
        <w:t>TB5</w:t>
      </w:r>
      <w:r>
        <w:rPr>
          <w:rFonts w:ascii="B Nazanin" w:hAnsi="B Nazanin" w:cs="B Nazanin"/>
          <w:szCs w:val="26"/>
          <w:rtl/>
          <w:lang w:bidi="fa-IR"/>
        </w:rPr>
        <w:t>؛ (۴) فهرست چالش‌هایی که بخش ۴ باید به آن‌ها پاسخ دهد.</w:t>
      </w:r>
    </w:p>
    <w:p w14:paraId="7B9AEDF9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تأکید استاد: </w:t>
      </w:r>
      <w:r>
        <w:rPr>
          <w:rFonts w:ascii="B Nazanin" w:hAnsi="B Nazanin" w:cs="B Nazanin"/>
          <w:szCs w:val="26"/>
          <w:rtl/>
          <w:lang w:bidi="fa-IR"/>
        </w:rPr>
        <w:t>لینک حسگر/عملگر–</w:t>
      </w:r>
      <w:r>
        <w:rPr>
          <w:rFonts w:ascii="Times New Roman" w:hAnsi="Times New Roman" w:cs="B Nazanin"/>
          <w:szCs w:val="26"/>
          <w:lang w:bidi="fa-IR"/>
        </w:rPr>
        <w:t>Gateway</w:t>
      </w:r>
      <w:r>
        <w:rPr>
          <w:rFonts w:ascii="B Nazanin" w:hAnsi="B Nazanin" w:cs="B Nazanin"/>
          <w:szCs w:val="26"/>
          <w:rtl/>
          <w:lang w:bidi="fa-IR"/>
        </w:rPr>
        <w:t xml:space="preserve"> (</w:t>
      </w:r>
      <w:r>
        <w:rPr>
          <w:rFonts w:ascii="Times New Roman" w:hAnsi="Times New Roman" w:cs="B Nazanin"/>
          <w:szCs w:val="26"/>
          <w:lang w:bidi="fa-IR"/>
        </w:rPr>
        <w:t>TB1</w:t>
      </w:r>
      <w:r>
        <w:rPr>
          <w:rFonts w:ascii="B Nazanin" w:hAnsi="B Nazanin" w:cs="B Nazanin"/>
          <w:szCs w:val="26"/>
          <w:rtl/>
          <w:lang w:bidi="fa-IR"/>
        </w:rPr>
        <w:t xml:space="preserve">) باید مستقل و مفصل تحلیل شود؛ تحلیل امنیت نباید به </w:t>
      </w:r>
      <w:r>
        <w:rPr>
          <w:rFonts w:ascii="Times New Roman" w:hAnsi="Times New Roman" w:cs="B Nazanin"/>
          <w:szCs w:val="26"/>
          <w:lang w:bidi="fa-IR"/>
        </w:rPr>
        <w:t>Broker</w:t>
      </w:r>
      <w:r>
        <w:rPr>
          <w:rFonts w:ascii="B Nazanin" w:hAnsi="B Nazanin" w:cs="B Nazanin"/>
          <w:szCs w:val="26"/>
          <w:rtl/>
          <w:lang w:bidi="fa-IR"/>
        </w:rPr>
        <w:t xml:space="preserve"> محدود بماند.</w:t>
      </w:r>
    </w:p>
    <w:p w14:paraId="01A85B5A" w14:textId="77777777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t>ب. مرزبندی با بخش‌های ۲ و ۴</w:t>
      </w:r>
    </w:p>
    <w:p w14:paraId="32C542C5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szCs w:val="26"/>
          <w:rtl/>
          <w:lang w:bidi="fa-IR"/>
        </w:rPr>
        <w:t>برای جلوگیری از تکرار و هم‌پوشانی، هر موضوع فقط در یکی از بخش‌ها به‌تفصیل می‌آید و در بخش‌های دیگر به آن ارجاع داده می‌شود.</w:t>
      </w:r>
    </w:p>
    <w:p w14:paraId="549F4673" w14:textId="77777777" w:rsidR="00D115A9" w:rsidRDefault="00000000">
      <w:pPr>
        <w:keepNext/>
        <w:bidi/>
        <w:spacing w:before="160" w:after="60" w:line="300" w:lineRule="auto"/>
        <w:jc w:val="center"/>
      </w:pPr>
      <w:r>
        <w:rPr>
          <w:rFonts w:ascii="B Nazanin" w:hAnsi="B Nazanin" w:cs="B Nazanin"/>
          <w:b/>
          <w:bCs/>
          <w:sz w:val="21"/>
          <w:szCs w:val="22"/>
          <w:rtl/>
          <w:lang w:bidi="fa-IR"/>
        </w:rPr>
        <w:t>جدول راهنمای ۱: تقسیم موضوعات میان بخش‌های ۲، ۳ و ۴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300"/>
        <w:gridCol w:w="2350"/>
        <w:gridCol w:w="2350"/>
        <w:gridCol w:w="2350"/>
      </w:tblGrid>
      <w:tr w:rsidR="00D115A9" w14:paraId="15414634" w14:textId="77777777">
        <w:trPr>
          <w:tblHeader/>
        </w:trPr>
        <w:tc>
          <w:tcPr>
            <w:tcW w:w="2300" w:type="dxa"/>
            <w:shd w:val="clear" w:color="auto" w:fill="E7ECF2"/>
          </w:tcPr>
          <w:p w14:paraId="7D5E88AC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موضوع</w:t>
            </w:r>
          </w:p>
        </w:tc>
        <w:tc>
          <w:tcPr>
            <w:tcW w:w="2350" w:type="dxa"/>
            <w:shd w:val="clear" w:color="auto" w:fill="E7ECF2"/>
          </w:tcPr>
          <w:p w14:paraId="2EAE1D61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بخش ۲ (انجام‌شده)</w:t>
            </w:r>
          </w:p>
        </w:tc>
        <w:tc>
          <w:tcPr>
            <w:tcW w:w="2350" w:type="dxa"/>
            <w:shd w:val="clear" w:color="auto" w:fill="E7ECF2"/>
          </w:tcPr>
          <w:p w14:paraId="68A9E57B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بخش ۳ (این بخش)</w:t>
            </w:r>
          </w:p>
        </w:tc>
        <w:tc>
          <w:tcPr>
            <w:tcW w:w="2350" w:type="dxa"/>
            <w:shd w:val="clear" w:color="auto" w:fill="E7ECF2"/>
          </w:tcPr>
          <w:p w14:paraId="58D59851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بخش ۴</w:t>
            </w:r>
          </w:p>
        </w:tc>
      </w:tr>
      <w:tr w:rsidR="00D115A9" w14:paraId="505745D0" w14:textId="77777777">
        <w:tc>
          <w:tcPr>
            <w:tcW w:w="2300" w:type="dxa"/>
          </w:tcPr>
          <w:p w14:paraId="042EE627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معماری لایه‌ای و مرزهای اعتماد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TB1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تا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TB5</w:t>
            </w:r>
          </w:p>
        </w:tc>
        <w:tc>
          <w:tcPr>
            <w:tcW w:w="2350" w:type="dxa"/>
          </w:tcPr>
          <w:p w14:paraId="16400E8F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تعریف کامل (شکل ۲ و ۳)</w:t>
            </w:r>
          </w:p>
        </w:tc>
        <w:tc>
          <w:tcPr>
            <w:tcW w:w="2350" w:type="dxa"/>
          </w:tcPr>
          <w:p w14:paraId="327B33C1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فقط ارجاع و استفاده</w:t>
            </w:r>
          </w:p>
        </w:tc>
        <w:tc>
          <w:tcPr>
            <w:tcW w:w="2350" w:type="dxa"/>
          </w:tcPr>
          <w:p w14:paraId="3B7D489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—</w:t>
            </w:r>
          </w:p>
        </w:tc>
      </w:tr>
      <w:tr w:rsidR="00D115A9" w14:paraId="51A64E9E" w14:textId="77777777">
        <w:tc>
          <w:tcPr>
            <w:tcW w:w="2300" w:type="dxa"/>
          </w:tcPr>
          <w:p w14:paraId="3F1E1ECB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ویژگی‌های امنیتی پروتکل‌های لینک میدانی</w:t>
            </w:r>
          </w:p>
        </w:tc>
        <w:tc>
          <w:tcPr>
            <w:tcW w:w="2350" w:type="dxa"/>
          </w:tcPr>
          <w:p w14:paraId="0190309C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توصیف (جدول ۴)</w:t>
            </w:r>
          </w:p>
        </w:tc>
        <w:tc>
          <w:tcPr>
            <w:tcW w:w="2350" w:type="dxa"/>
          </w:tcPr>
          <w:p w14:paraId="13A58281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تحلیل حمله و پیامد برای کنترل دسترسی</w:t>
            </w:r>
          </w:p>
        </w:tc>
        <w:tc>
          <w:tcPr>
            <w:tcW w:w="2350" w:type="dxa"/>
          </w:tcPr>
          <w:p w14:paraId="4F8C3A52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—</w:t>
            </w:r>
          </w:p>
        </w:tc>
      </w:tr>
      <w:tr w:rsidR="00D115A9" w14:paraId="1ADDB5CD" w14:textId="77777777">
        <w:tc>
          <w:tcPr>
            <w:tcW w:w="2300" w:type="dxa"/>
          </w:tcPr>
          <w:p w14:paraId="7422D811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احراز هویت،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TLS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و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ACL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در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MQTT</w:t>
            </w:r>
          </w:p>
        </w:tc>
        <w:tc>
          <w:tcPr>
            <w:tcW w:w="2350" w:type="dxa"/>
          </w:tcPr>
          <w:p w14:paraId="77C7E7C1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معرفی کوتاه</w:t>
            </w:r>
          </w:p>
        </w:tc>
        <w:tc>
          <w:tcPr>
            <w:tcW w:w="2350" w:type="dxa"/>
          </w:tcPr>
          <w:p w14:paraId="4B12C063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تحلیل کامل و حملات</w:t>
            </w:r>
          </w:p>
        </w:tc>
        <w:tc>
          <w:tcPr>
            <w:tcW w:w="2350" w:type="dxa"/>
          </w:tcPr>
          <w:p w14:paraId="296B77BF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—</w:t>
            </w:r>
          </w:p>
        </w:tc>
      </w:tr>
      <w:tr w:rsidR="00D115A9" w14:paraId="36C5E3BC" w14:textId="77777777">
        <w:tc>
          <w:tcPr>
            <w:tcW w:w="2300" w:type="dxa"/>
          </w:tcPr>
          <w:p w14:paraId="46944407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مدل‌های کنترل دسترسی (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ACL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RBAC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ABAC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CapBAC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و …)</w:t>
            </w:r>
          </w:p>
        </w:tc>
        <w:tc>
          <w:tcPr>
            <w:tcW w:w="2350" w:type="dxa"/>
          </w:tcPr>
          <w:p w14:paraId="4102901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2350" w:type="dxa"/>
          </w:tcPr>
          <w:p w14:paraId="1A5FA4F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معرفی و محدودیت‌ها در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IIoT</w:t>
            </w:r>
          </w:p>
        </w:tc>
        <w:tc>
          <w:tcPr>
            <w:tcW w:w="2350" w:type="dxa"/>
          </w:tcPr>
          <w:p w14:paraId="624972CC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فقط ارجاع</w:t>
            </w:r>
          </w:p>
        </w:tc>
      </w:tr>
      <w:tr w:rsidR="00D115A9" w14:paraId="034B91C2" w14:textId="77777777">
        <w:tc>
          <w:tcPr>
            <w:tcW w:w="2300" w:type="dxa"/>
          </w:tcPr>
          <w:p w14:paraId="60BE8527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lastRenderedPageBreak/>
              <w:t>Trust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پویا،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Zero Trust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CP-ABE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، بلاکچین</w:t>
            </w:r>
          </w:p>
        </w:tc>
        <w:tc>
          <w:tcPr>
            <w:tcW w:w="2350" w:type="dxa"/>
          </w:tcPr>
          <w:p w14:paraId="08070B8D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—</w:t>
            </w:r>
          </w:p>
        </w:tc>
        <w:tc>
          <w:tcPr>
            <w:tcW w:w="2350" w:type="dxa"/>
          </w:tcPr>
          <w:p w14:paraId="1152E6A9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فقط به‌عنوان «نیاز» در جمع‌بندی</w:t>
            </w:r>
          </w:p>
        </w:tc>
        <w:tc>
          <w:tcPr>
            <w:tcW w:w="2350" w:type="dxa"/>
          </w:tcPr>
          <w:p w14:paraId="34678AF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تحلیل کامل</w:t>
            </w:r>
          </w:p>
        </w:tc>
      </w:tr>
      <w:tr w:rsidR="00D115A9" w14:paraId="38B4C8E2" w14:textId="77777777">
        <w:tc>
          <w:tcPr>
            <w:tcW w:w="2300" w:type="dxa"/>
          </w:tcPr>
          <w:p w14:paraId="05237966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امنیت اپلیکیشن موبایل و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API</w:t>
            </w:r>
          </w:p>
        </w:tc>
        <w:tc>
          <w:tcPr>
            <w:tcW w:w="2350" w:type="dxa"/>
          </w:tcPr>
          <w:p w14:paraId="3CF50131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بخش ۱-۳ (پوشش داده شده)</w:t>
            </w:r>
          </w:p>
        </w:tc>
        <w:tc>
          <w:tcPr>
            <w:tcW w:w="2350" w:type="dxa"/>
          </w:tcPr>
          <w:p w14:paraId="1E3B9C0C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ارجاع کوتاه ذیل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TB5</w:t>
            </w:r>
          </w:p>
        </w:tc>
        <w:tc>
          <w:tcPr>
            <w:tcW w:w="2350" w:type="dxa"/>
          </w:tcPr>
          <w:p w14:paraId="6FDE2816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—</w:t>
            </w:r>
          </w:p>
        </w:tc>
      </w:tr>
      <w:tr w:rsidR="00D115A9" w14:paraId="6043A86C" w14:textId="77777777">
        <w:tc>
          <w:tcPr>
            <w:tcW w:w="2300" w:type="dxa"/>
          </w:tcPr>
          <w:p w14:paraId="0A8B475E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هزینه‌ی زمانی سازوکارهای امنیتی</w:t>
            </w:r>
          </w:p>
        </w:tc>
        <w:tc>
          <w:tcPr>
            <w:tcW w:w="2350" w:type="dxa"/>
          </w:tcPr>
          <w:p w14:paraId="1C3D9CA5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سربار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TLS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و دنباله‌ی تأخیر</w:t>
            </w:r>
          </w:p>
        </w:tc>
        <w:tc>
          <w:tcPr>
            <w:tcW w:w="2350" w:type="dxa"/>
          </w:tcPr>
          <w:p w14:paraId="02AF21F7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سربار احراز هویت و ارزیابی سیاست</w:t>
            </w:r>
          </w:p>
        </w:tc>
        <w:tc>
          <w:tcPr>
            <w:tcW w:w="2350" w:type="dxa"/>
          </w:tcPr>
          <w:p w14:paraId="13B6A0C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ارزیابی راهکارها</w:t>
            </w:r>
          </w:p>
        </w:tc>
      </w:tr>
    </w:tbl>
    <w:p w14:paraId="1EA120D0" w14:textId="77777777" w:rsidR="00D115A9" w:rsidRDefault="00D115A9">
      <w:pPr>
        <w:bidi/>
        <w:spacing w:after="60" w:line="300" w:lineRule="auto"/>
        <w:jc w:val="both"/>
      </w:pPr>
    </w:p>
    <w:p w14:paraId="26747C6B" w14:textId="77777777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t>ج. مبانی مشترک که از بخش ۲ باید استفاده شود</w:t>
      </w:r>
    </w:p>
    <w:p w14:paraId="5DD5D8D4" w14:textId="3CB26A74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مرزهای اعتماد: </w:t>
      </w:r>
      <w:r w:rsidRPr="00F31A7F">
        <w:rPr>
          <w:rFonts w:ascii="Times New Roman" w:hAnsi="Times New Roman" w:cs="B Nazanin"/>
          <w:szCs w:val="26"/>
          <w:lang w:bidi="fa-IR"/>
        </w:rPr>
        <w:t>TB1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میدان 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B Nazanin" w:hAnsi="B Nazanin" w:cs="B Nazanin" w:hint="cs"/>
          <w:szCs w:val="26"/>
          <w:rtl/>
          <w:lang w:bidi="fa-IR"/>
        </w:rPr>
        <w:t>کنترل</w:t>
      </w:r>
      <w:r w:rsidRPr="00F31A7F">
        <w:rPr>
          <w:rFonts w:ascii="B Nazanin" w:hAnsi="B Nazanin" w:cs="B Nazanin"/>
          <w:szCs w:val="26"/>
          <w:rtl/>
          <w:lang w:bidi="fa-IR"/>
        </w:rPr>
        <w:t>/</w:t>
      </w:r>
      <w:r w:rsidRPr="00F31A7F">
        <w:rPr>
          <w:rFonts w:ascii="Times New Roman" w:hAnsi="Times New Roman" w:cs="B Nazanin"/>
          <w:szCs w:val="26"/>
          <w:lang w:bidi="fa-IR"/>
        </w:rPr>
        <w:t>Edge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(هر دو مسیر حسگر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Times New Roman" w:hAnsi="Times New Roman" w:cs="B Nazanin"/>
          <w:szCs w:val="26"/>
          <w:lang w:bidi="fa-IR"/>
        </w:rPr>
        <w:t>PLC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حسگر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)؛ </w:t>
      </w:r>
      <w:r w:rsidRPr="00F31A7F">
        <w:rPr>
          <w:rFonts w:ascii="Times New Roman" w:hAnsi="Times New Roman" w:cs="B Nazanin"/>
          <w:szCs w:val="26"/>
          <w:lang w:bidi="fa-IR"/>
        </w:rPr>
        <w:t>TB2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کنترل 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Times New Roman" w:hAnsi="Times New Roman" w:cs="B Nazanin"/>
          <w:szCs w:val="26"/>
          <w:lang w:bidi="fa-IR"/>
        </w:rPr>
        <w:t>Edge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(فقط وقتی کنترل‌کننده در مسیر است)؛ </w:t>
      </w:r>
      <w:r w:rsidRPr="00F31A7F">
        <w:rPr>
          <w:rFonts w:ascii="Times New Roman" w:hAnsi="Times New Roman" w:cs="B Nazanin"/>
          <w:szCs w:val="26"/>
          <w:lang w:bidi="fa-IR"/>
        </w:rPr>
        <w:t>TB3 Client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های </w:t>
      </w:r>
      <w:r w:rsidRPr="00F31A7F">
        <w:rPr>
          <w:rFonts w:ascii="Times New Roman" w:hAnsi="Times New Roman" w:cs="B Nazanin"/>
          <w:szCs w:val="26"/>
          <w:lang w:bidi="fa-IR"/>
        </w:rPr>
        <w:t>MQTT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؛ </w:t>
      </w:r>
      <w:r w:rsidRPr="00F31A7F">
        <w:rPr>
          <w:rFonts w:ascii="Times New Roman" w:hAnsi="Times New Roman" w:cs="B Nazanin"/>
          <w:szCs w:val="26"/>
          <w:lang w:bidi="fa-IR"/>
        </w:rPr>
        <w:t>TB4 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B Nazanin" w:hAnsi="B Nazanin" w:cs="B Nazanin" w:hint="cs"/>
          <w:szCs w:val="26"/>
          <w:rtl/>
          <w:lang w:bidi="fa-IR"/>
        </w:rPr>
        <w:t>سرویس‌ها؛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Times New Roman" w:hAnsi="Times New Roman" w:cs="B Nazanin"/>
          <w:szCs w:val="26"/>
          <w:lang w:bidi="fa-IR"/>
        </w:rPr>
        <w:t>TB5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سرویس‌ها </w:t>
      </w:r>
      <w:r w:rsidRPr="00F31A7F">
        <w:rPr>
          <w:rFonts w:ascii="Arial" w:hAnsi="Arial" w:cs="Arial" w:hint="cs"/>
          <w:szCs w:val="26"/>
          <w:rtl/>
          <w:lang w:bidi="fa-IR"/>
        </w:rPr>
        <w:t>–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</w:t>
      </w:r>
      <w:r w:rsidRPr="00F31A7F">
        <w:rPr>
          <w:rFonts w:ascii="B Nazanin" w:hAnsi="B Nazanin" w:cs="B Nazanin" w:hint="cs"/>
          <w:szCs w:val="26"/>
          <w:rtl/>
          <w:lang w:bidi="fa-IR"/>
        </w:rPr>
        <w:t>سازمان</w:t>
      </w:r>
      <w:r w:rsidRPr="00F31A7F">
        <w:rPr>
          <w:rFonts w:ascii="B Nazanin" w:hAnsi="B Nazanin" w:cs="B Nazanin"/>
          <w:szCs w:val="26"/>
          <w:rtl/>
          <w:lang w:bidi="fa-IR"/>
        </w:rPr>
        <w:t>/</w:t>
      </w:r>
      <w:r w:rsidRPr="00F31A7F">
        <w:rPr>
          <w:rFonts w:ascii="B Nazanin" w:hAnsi="B Nazanin" w:cs="B Nazanin" w:hint="cs"/>
          <w:szCs w:val="26"/>
          <w:rtl/>
          <w:lang w:bidi="fa-IR"/>
        </w:rPr>
        <w:t>اینترنت</w:t>
      </w:r>
      <w:r w:rsidRPr="00F31A7F">
        <w:rPr>
          <w:rFonts w:ascii="B Nazanin" w:hAnsi="B Nazanin" w:cs="B Nazanin"/>
          <w:szCs w:val="26"/>
          <w:rtl/>
          <w:lang w:bidi="fa-IR"/>
        </w:rPr>
        <w:t>.</w:t>
      </w:r>
    </w:p>
    <w:p w14:paraId="6FEC338D" w14:textId="66025F38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سه مسیر اصلی که بخش ۲ نام برده است: </w:t>
      </w:r>
      <w:r w:rsidRPr="00F31A7F">
        <w:rPr>
          <w:rFonts w:ascii="Times New Roman" w:hAnsi="Times New Roman" w:cs="B Nazanin"/>
          <w:szCs w:val="26"/>
          <w:lang w:bidi="fa-IR"/>
        </w:rPr>
        <w:t>Field Device–Gateway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Gateway–Broker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</w:t>
      </w:r>
      <w:r w:rsidRPr="00F31A7F">
        <w:rPr>
          <w:rFonts w:ascii="Times New Roman" w:hAnsi="Times New Roman" w:cs="B Nazanin"/>
          <w:szCs w:val="26"/>
          <w:lang w:bidi="fa-IR"/>
        </w:rPr>
        <w:t>Broker–Service/Application.</w:t>
      </w:r>
    </w:p>
    <w:p w14:paraId="53828FB3" w14:textId="2B2EE11B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شکل ۲ (معماری لایه‌ای و مرزهای اعتماد)، شکل ۳ (جریان داده و فرمان با شماره‌ی </w:t>
      </w:r>
      <w:r w:rsidRPr="00F31A7F">
        <w:rPr>
          <w:rFonts w:ascii="Times New Roman" w:hAnsi="Times New Roman" w:cs="B Nazanin"/>
          <w:szCs w:val="26"/>
          <w:lang w:bidi="fa-IR"/>
        </w:rPr>
        <w:t>TB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در هر گام) و جدول ۴ (ویژگی‌های امنیتی پروتکل‌های لینک میدانی) به‌جای تکرار، ارجاع داده شوند.</w:t>
      </w:r>
    </w:p>
    <w:p w14:paraId="52CF9A05" w14:textId="39384F1D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دو نکته‌ی تحلیلی بخش ۲ که بخش ۳ باید بسط دهد: </w:t>
      </w:r>
      <w:r w:rsidRPr="00F31A7F">
        <w:rPr>
          <w:rFonts w:ascii="Times New Roman" w:hAnsi="Times New Roman" w:cs="B Nazanin"/>
          <w:szCs w:val="26"/>
          <w:lang w:bidi="fa-IR"/>
        </w:rPr>
        <w:t>TLS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روی مسیر </w:t>
      </w:r>
      <w:r w:rsidRPr="00F31A7F">
        <w:rPr>
          <w:rFonts w:ascii="Times New Roman" w:hAnsi="Times New Roman" w:cs="B Nazanin"/>
          <w:szCs w:val="26"/>
          <w:lang w:bidi="fa-IR"/>
        </w:rPr>
        <w:t>MQTT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امنیت لینک پایین‌دست را تضمین نمی‌کند؛ و وقتی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پروتکل را ترجمه می‌کند، حفاظت سرتاسری از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آغاز می‌شود نه از حسگر.</w:t>
      </w:r>
    </w:p>
    <w:p w14:paraId="0154A369" w14:textId="77777777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t>د. ساختار پیشنهادی زیربخش‌ها</w:t>
      </w:r>
    </w:p>
    <w:p w14:paraId="270DB4B5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szCs w:val="26"/>
          <w:rtl/>
          <w:lang w:bidi="fa-IR"/>
        </w:rPr>
        <w:t>حجم‌ها تقریبی است و فقط برای حفظ توازن میان زیربخش‌ها آمده است. برای هر زیربخش هدف، نکات کلیدی، جدول یا شکل پیشنهادی و منابع پیشنهادی آمده است.</w:t>
      </w:r>
    </w:p>
    <w:p w14:paraId="53DA5B1F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>۳-۱. مقدمه و پیوند با بخش ۲ (حدود نیم صفحه)</w:t>
      </w:r>
    </w:p>
    <w:p w14:paraId="7AE691A8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>یادآوری کوتاه معماری و مرزهای اعتماد، و بیان پرسش محوری بخش.</w:t>
      </w:r>
    </w:p>
    <w:p w14:paraId="7A6ED702" w14:textId="19BF0276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ارجاع به شکل ۲ و ۳ و تعریف </w:t>
      </w:r>
      <w:r w:rsidRPr="00F31A7F">
        <w:rPr>
          <w:rFonts w:ascii="Times New Roman" w:hAnsi="Times New Roman" w:cs="B Nazanin"/>
          <w:szCs w:val="26"/>
          <w:lang w:bidi="fa-IR"/>
        </w:rPr>
        <w:t>TB1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تا </w:t>
      </w:r>
      <w:r w:rsidRPr="00F31A7F">
        <w:rPr>
          <w:rFonts w:ascii="Times New Roman" w:hAnsi="Times New Roman" w:cs="B Nazanin"/>
          <w:szCs w:val="26"/>
          <w:lang w:bidi="fa-IR"/>
        </w:rPr>
        <w:t>TB5</w:t>
      </w:r>
      <w:r w:rsidRPr="00F31A7F">
        <w:rPr>
          <w:rFonts w:ascii="B Nazanin" w:hAnsi="B Nazanin" w:cs="B Nazanin"/>
          <w:szCs w:val="26"/>
          <w:rtl/>
          <w:lang w:bidi="fa-IR"/>
        </w:rPr>
        <w:t>، بدون تکرار توضیح معماری.</w:t>
      </w:r>
    </w:p>
    <w:p w14:paraId="093B6709" w14:textId="770CABD0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بیان دو سطح تحلیل (نودها و لینک‌ها) که بخش ۲ وعده داده است.</w:t>
      </w:r>
    </w:p>
    <w:p w14:paraId="46EC68C2" w14:textId="4E4AC129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بیان اینکه کنترل دسترسی در </w:t>
      </w:r>
      <w:r w:rsidRPr="00F31A7F">
        <w:rPr>
          <w:rFonts w:ascii="Times New Roman" w:hAnsi="Times New Roman" w:cs="B Nazanin"/>
          <w:szCs w:val="26"/>
          <w:lang w:bidi="fa-IR"/>
        </w:rPr>
        <w:t>IIoT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باید هم‌زمان با الزامات بلادرنگ سنجیده شود.</w:t>
      </w:r>
    </w:p>
    <w:p w14:paraId="767BC5EC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lastRenderedPageBreak/>
        <w:t xml:space="preserve">منابع: </w:t>
      </w:r>
      <w:r>
        <w:rPr>
          <w:rFonts w:ascii="B Nazanin" w:hAnsi="B Nazanin" w:cs="B Nazanin"/>
          <w:szCs w:val="26"/>
          <w:rtl/>
          <w:lang w:bidi="fa-IR"/>
        </w:rPr>
        <w:t>پیوند درونی با بخش ۲؛ منبع جدید لازم ندارد.</w:t>
      </w:r>
    </w:p>
    <w:p w14:paraId="0564DAB6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 xml:space="preserve">۳-۲. مفاهیم پایه‌ی کنترل دسترسی در </w:t>
      </w:r>
      <w:r>
        <w:rPr>
          <w:rFonts w:ascii="Times New Roman" w:hAnsi="Times New Roman" w:cs="B Nazanin"/>
          <w:sz w:val="26"/>
          <w:szCs w:val="28"/>
          <w:lang w:bidi="fa-IR"/>
        </w:rPr>
        <w:t>IIoT</w:t>
      </w:r>
      <w:r>
        <w:rPr>
          <w:rFonts w:ascii="B Nazanin" w:hAnsi="B Nazanin" w:cs="B Nazanin"/>
          <w:sz w:val="26"/>
          <w:szCs w:val="28"/>
          <w:rtl/>
          <w:lang w:bidi="fa-IR"/>
        </w:rPr>
        <w:t xml:space="preserve"> (حدود ۲ صفحه)</w:t>
      </w:r>
    </w:p>
    <w:p w14:paraId="092721DB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>فراهم کردن واژگان مشترک برای بقیه‌ی بخش.</w:t>
      </w:r>
    </w:p>
    <w:p w14:paraId="3D4A88B4" w14:textId="461EED2C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تفکیک شناسایی، احراز هویت، مجوزدهی و حسابرسی؛ و تفاوت موجودیت‌های انسانی با موجودیت‌های غیرانسانی (دستگاه،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>، سرویس).</w:t>
      </w:r>
    </w:p>
    <w:p w14:paraId="6F6B396E" w14:textId="238C4516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مدل‌های اصلی: </w:t>
      </w:r>
      <w:r w:rsidRPr="00F31A7F">
        <w:rPr>
          <w:rFonts w:ascii="Times New Roman" w:hAnsi="Times New Roman" w:cs="B Nazanin"/>
          <w:szCs w:val="26"/>
          <w:lang w:bidi="fa-IR"/>
        </w:rPr>
        <w:t>DAC/ACL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RBAC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ABAC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OrBAC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UCON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CapBAC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ReBAC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کنترل دسترسی مبتنی بر بلاکچین؛ فقط معرفی و محدودیت در </w:t>
      </w:r>
      <w:r w:rsidRPr="00F31A7F">
        <w:rPr>
          <w:rFonts w:ascii="Times New Roman" w:hAnsi="Times New Roman" w:cs="B Nazanin"/>
          <w:szCs w:val="26"/>
          <w:lang w:bidi="fa-IR"/>
        </w:rPr>
        <w:t>IIoT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(مثلاً انفجار نقش در </w:t>
      </w:r>
      <w:r w:rsidRPr="00F31A7F">
        <w:rPr>
          <w:rFonts w:ascii="Times New Roman" w:hAnsi="Times New Roman" w:cs="B Nazanin"/>
          <w:szCs w:val="26"/>
          <w:lang w:bidi="fa-IR"/>
        </w:rPr>
        <w:t>RBAC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پیچیدگی </w:t>
      </w:r>
      <w:r w:rsidRPr="00F31A7F">
        <w:rPr>
          <w:rFonts w:ascii="Times New Roman" w:hAnsi="Times New Roman" w:cs="B Nazanin"/>
          <w:szCs w:val="26"/>
          <w:lang w:bidi="fa-IR"/>
        </w:rPr>
        <w:t>ABAC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نادیده گرفتن زمینه در </w:t>
      </w:r>
      <w:r w:rsidRPr="00F31A7F">
        <w:rPr>
          <w:rFonts w:ascii="Times New Roman" w:hAnsi="Times New Roman" w:cs="B Nazanin"/>
          <w:szCs w:val="26"/>
          <w:lang w:bidi="fa-IR"/>
        </w:rPr>
        <w:t>CapBAC</w:t>
      </w:r>
      <w:r w:rsidRPr="00F31A7F">
        <w:rPr>
          <w:rFonts w:ascii="B Nazanin" w:hAnsi="B Nazanin" w:cs="B Nazanin"/>
          <w:szCs w:val="26"/>
          <w:rtl/>
          <w:lang w:bidi="fa-IR"/>
        </w:rPr>
        <w:t>).</w:t>
      </w:r>
    </w:p>
    <w:p w14:paraId="7F871B35" w14:textId="29303D27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اجزای معماری اعمال سیاست (</w:t>
      </w:r>
      <w:r w:rsidRPr="00F31A7F">
        <w:rPr>
          <w:rFonts w:ascii="Times New Roman" w:hAnsi="Times New Roman" w:cs="B Nazanin"/>
          <w:szCs w:val="26"/>
          <w:lang w:bidi="fa-IR"/>
        </w:rPr>
        <w:t>PEP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PDP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PIP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PAP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) و اینکه در معماری بخش ۲ هر کدام کجا قرار می‌گیرد: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یا سرویس/</w:t>
      </w:r>
      <w:r w:rsidRPr="00F31A7F">
        <w:rPr>
          <w:rFonts w:ascii="Times New Roman" w:hAnsi="Times New Roman" w:cs="B Nazanin"/>
          <w:szCs w:val="26"/>
          <w:lang w:bidi="fa-IR"/>
        </w:rPr>
        <w:t>API.</w:t>
      </w:r>
    </w:p>
    <w:p w14:paraId="7D2BAFF8" w14:textId="46099C8F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مفهوم ناحیه و مجرا (</w:t>
      </w:r>
      <w:r w:rsidRPr="00F31A7F">
        <w:rPr>
          <w:rFonts w:ascii="Times New Roman" w:hAnsi="Times New Roman" w:cs="B Nazanin"/>
          <w:szCs w:val="26"/>
          <w:lang w:bidi="fa-IR"/>
        </w:rPr>
        <w:t>Zones and Conduits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) در </w:t>
      </w:r>
      <w:r w:rsidRPr="00F31A7F">
        <w:rPr>
          <w:rFonts w:ascii="Times New Roman" w:hAnsi="Times New Roman" w:cs="B Nazanin"/>
          <w:szCs w:val="26"/>
          <w:lang w:bidi="fa-IR"/>
        </w:rPr>
        <w:t>IEC 62443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تطبیق آن با مرزهای اعتماد </w:t>
      </w:r>
      <w:r w:rsidRPr="00F31A7F">
        <w:rPr>
          <w:rFonts w:ascii="Times New Roman" w:hAnsi="Times New Roman" w:cs="B Nazanin"/>
          <w:szCs w:val="26"/>
          <w:lang w:bidi="fa-IR"/>
        </w:rPr>
        <w:t>TB1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تا </w:t>
      </w:r>
      <w:r w:rsidRPr="00F31A7F">
        <w:rPr>
          <w:rFonts w:ascii="Times New Roman" w:hAnsi="Times New Roman" w:cs="B Nazanin"/>
          <w:szCs w:val="26"/>
          <w:lang w:bidi="fa-IR"/>
        </w:rPr>
        <w:t>TB5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(نیازمند به تصمیم‌گیری نهایی).</w:t>
      </w:r>
    </w:p>
    <w:p w14:paraId="100AB6B5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جدول پیشنهادی: </w:t>
      </w:r>
      <w:r>
        <w:rPr>
          <w:rFonts w:ascii="B Nazanin" w:hAnsi="B Nazanin" w:cs="B Nazanin"/>
          <w:szCs w:val="26"/>
          <w:rtl/>
          <w:lang w:bidi="fa-IR"/>
        </w:rPr>
        <w:t xml:space="preserve">«مدل | مبنای تصمیم | مزیت | محدودیت در </w:t>
      </w:r>
      <w:r>
        <w:rPr>
          <w:rFonts w:ascii="Times New Roman" w:hAnsi="Times New Roman" w:cs="B Nazanin"/>
          <w:szCs w:val="26"/>
          <w:lang w:bidi="fa-IR"/>
        </w:rPr>
        <w:t>IIoT</w:t>
      </w:r>
      <w:r>
        <w:rPr>
          <w:rFonts w:ascii="B Nazanin" w:hAnsi="B Nazanin" w:cs="B Nazanin"/>
          <w:szCs w:val="26"/>
          <w:rtl/>
          <w:lang w:bidi="fa-IR"/>
        </w:rPr>
        <w:t>».</w:t>
      </w:r>
    </w:p>
    <w:p w14:paraId="060FE9BE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منابع پیشنهادی: </w:t>
      </w:r>
      <w:r>
        <w:rPr>
          <w:rFonts w:ascii="Times New Roman" w:hAnsi="Times New Roman" w:cs="B Nazanin"/>
          <w:szCs w:val="26"/>
          <w:lang w:bidi="fa-IR"/>
        </w:rPr>
        <w:t>Ragothaman et al.</w:t>
      </w:r>
      <w:r>
        <w:rPr>
          <w:rFonts w:ascii="B Nazanin" w:hAnsi="B Nazanin" w:cs="B Nazanin"/>
          <w:szCs w:val="26"/>
          <w:rtl/>
          <w:lang w:bidi="fa-IR"/>
        </w:rPr>
        <w:t xml:space="preserve"> (2023)؛ </w:t>
      </w:r>
      <w:r>
        <w:rPr>
          <w:rFonts w:ascii="Times New Roman" w:hAnsi="Times New Roman" w:cs="B Nazanin"/>
          <w:szCs w:val="26"/>
          <w:lang w:bidi="fa-IR"/>
        </w:rPr>
        <w:t>Hu et al.</w:t>
      </w:r>
      <w:r>
        <w:rPr>
          <w:rFonts w:ascii="B Nazanin" w:hAnsi="B Nazanin" w:cs="B Nazanin"/>
          <w:szCs w:val="26"/>
          <w:rtl/>
          <w:lang w:bidi="fa-IR"/>
        </w:rPr>
        <w:t xml:space="preserve"> (2014) – </w:t>
      </w:r>
      <w:r>
        <w:rPr>
          <w:rFonts w:ascii="Times New Roman" w:hAnsi="Times New Roman" w:cs="B Nazanin"/>
          <w:szCs w:val="26"/>
          <w:lang w:bidi="fa-IR"/>
        </w:rPr>
        <w:t>NIST SP 800-162</w:t>
      </w:r>
      <w:r>
        <w:rPr>
          <w:rFonts w:ascii="B Nazanin" w:hAnsi="B Nazanin" w:cs="B Nazanin"/>
          <w:szCs w:val="26"/>
          <w:rtl/>
          <w:lang w:bidi="fa-IR"/>
        </w:rPr>
        <w:t xml:space="preserve">؛ </w:t>
      </w:r>
      <w:r>
        <w:rPr>
          <w:rFonts w:ascii="Times New Roman" w:hAnsi="Times New Roman" w:cs="B Nazanin"/>
          <w:szCs w:val="26"/>
          <w:lang w:bidi="fa-IR"/>
        </w:rPr>
        <w:t>IEC 62443-3-2</w:t>
      </w:r>
      <w:r>
        <w:rPr>
          <w:rFonts w:ascii="B Nazanin" w:hAnsi="B Nazanin" w:cs="B Nazanin"/>
          <w:szCs w:val="26"/>
          <w:rtl/>
          <w:lang w:bidi="fa-IR"/>
        </w:rPr>
        <w:t xml:space="preserve"> (2020)؛ </w:t>
      </w:r>
      <w:r>
        <w:rPr>
          <w:rFonts w:ascii="Times New Roman" w:hAnsi="Times New Roman" w:cs="B Nazanin"/>
          <w:szCs w:val="26"/>
          <w:lang w:bidi="fa-IR"/>
        </w:rPr>
        <w:t>Stouffer et al.</w:t>
      </w:r>
      <w:r>
        <w:rPr>
          <w:rFonts w:ascii="B Nazanin" w:hAnsi="B Nazanin" w:cs="B Nazanin"/>
          <w:szCs w:val="26"/>
          <w:rtl/>
          <w:lang w:bidi="fa-IR"/>
        </w:rPr>
        <w:t xml:space="preserve"> (2023) – </w:t>
      </w:r>
      <w:r>
        <w:rPr>
          <w:rFonts w:ascii="Times New Roman" w:hAnsi="Times New Roman" w:cs="B Nazanin"/>
          <w:szCs w:val="26"/>
          <w:lang w:bidi="fa-IR"/>
        </w:rPr>
        <w:t>NIST SP 800-82r3.</w:t>
      </w:r>
    </w:p>
    <w:p w14:paraId="2B86C30A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 xml:space="preserve">۳-۳. کنترل دسترسی در </w:t>
      </w:r>
      <w:r>
        <w:rPr>
          <w:rFonts w:ascii="Times New Roman" w:hAnsi="Times New Roman" w:cs="B Nazanin"/>
          <w:sz w:val="26"/>
          <w:szCs w:val="28"/>
          <w:lang w:bidi="fa-IR"/>
        </w:rPr>
        <w:t>MQTT</w:t>
      </w:r>
      <w:r>
        <w:rPr>
          <w:rFonts w:ascii="B Nazanin" w:hAnsi="B Nazanin" w:cs="B Nazanin"/>
          <w:sz w:val="26"/>
          <w:szCs w:val="28"/>
          <w:rtl/>
          <w:lang w:bidi="fa-IR"/>
        </w:rPr>
        <w:t xml:space="preserve"> (حدود ۲ صفحه)</w:t>
      </w:r>
    </w:p>
    <w:p w14:paraId="6BF52621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 xml:space="preserve">تحلیل دقیق احراز هویت و مجوزدهی در مسیرهای </w:t>
      </w:r>
      <w:r>
        <w:rPr>
          <w:rFonts w:ascii="Times New Roman" w:hAnsi="Times New Roman" w:cs="B Nazanin"/>
          <w:szCs w:val="26"/>
          <w:lang w:bidi="fa-IR"/>
        </w:rPr>
        <w:t>TB3</w:t>
      </w:r>
      <w:r>
        <w:rPr>
          <w:rFonts w:ascii="B Nazanin" w:hAnsi="B Nazanin" w:cs="B Nazanin"/>
          <w:szCs w:val="26"/>
          <w:rtl/>
          <w:lang w:bidi="fa-IR"/>
        </w:rPr>
        <w:t xml:space="preserve"> و </w:t>
      </w:r>
      <w:r>
        <w:rPr>
          <w:rFonts w:ascii="Times New Roman" w:hAnsi="Times New Roman" w:cs="B Nazanin"/>
          <w:szCs w:val="26"/>
          <w:lang w:bidi="fa-IR"/>
        </w:rPr>
        <w:t>TB4.</w:t>
      </w:r>
    </w:p>
    <w:p w14:paraId="36C4B57A" w14:textId="1A925D2D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احراز هویت: نام کاربری و گذرواژه در </w:t>
      </w:r>
      <w:r w:rsidRPr="00F31A7F">
        <w:rPr>
          <w:rFonts w:ascii="Times New Roman" w:hAnsi="Times New Roman" w:cs="B Nazanin"/>
          <w:szCs w:val="26"/>
          <w:lang w:bidi="fa-IR"/>
        </w:rPr>
        <w:t>CONNECT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گواهی </w:t>
      </w:r>
      <w:r w:rsidRPr="00F31A7F">
        <w:rPr>
          <w:rFonts w:ascii="Times New Roman" w:hAnsi="Times New Roman" w:cs="B Nazanin"/>
          <w:szCs w:val="26"/>
          <w:lang w:bidi="fa-IR"/>
        </w:rPr>
        <w:t>Client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در </w:t>
      </w:r>
      <w:r w:rsidRPr="00F31A7F">
        <w:rPr>
          <w:rFonts w:ascii="Times New Roman" w:hAnsi="Times New Roman" w:cs="B Nazanin"/>
          <w:szCs w:val="26"/>
          <w:lang w:bidi="fa-IR"/>
        </w:rPr>
        <w:t>TLS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متقابل، احراز هویت پیشرفته با بسته‌ی </w:t>
      </w:r>
      <w:r w:rsidRPr="00F31A7F">
        <w:rPr>
          <w:rFonts w:ascii="Times New Roman" w:hAnsi="Times New Roman" w:cs="B Nazanin"/>
          <w:szCs w:val="26"/>
          <w:lang w:bidi="fa-IR"/>
        </w:rPr>
        <w:t>AUTH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در </w:t>
      </w:r>
      <w:r w:rsidRPr="00F31A7F">
        <w:rPr>
          <w:rFonts w:ascii="Times New Roman" w:hAnsi="Times New Roman" w:cs="B Nazanin"/>
          <w:szCs w:val="26"/>
          <w:lang w:bidi="fa-IR"/>
        </w:rPr>
        <w:t>MQTT 5.0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و توکن‌های مبتنی بر </w:t>
      </w:r>
      <w:r w:rsidRPr="00F31A7F">
        <w:rPr>
          <w:rFonts w:ascii="Times New Roman" w:hAnsi="Times New Roman" w:cs="B Nazanin"/>
          <w:szCs w:val="26"/>
          <w:lang w:bidi="fa-IR"/>
        </w:rPr>
        <w:t>OAuth 2.0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(مانند پروفایل </w:t>
      </w:r>
      <w:r w:rsidRPr="00F31A7F">
        <w:rPr>
          <w:rFonts w:ascii="Times New Roman" w:hAnsi="Times New Roman" w:cs="B Nazanin"/>
          <w:szCs w:val="26"/>
          <w:lang w:bidi="fa-IR"/>
        </w:rPr>
        <w:t>ACE</w:t>
      </w:r>
      <w:r w:rsidRPr="00F31A7F">
        <w:rPr>
          <w:rFonts w:ascii="B Nazanin" w:hAnsi="B Nazanin" w:cs="B Nazanin"/>
          <w:szCs w:val="26"/>
          <w:rtl/>
          <w:lang w:bidi="fa-IR"/>
        </w:rPr>
        <w:t>).</w:t>
      </w:r>
    </w:p>
    <w:p w14:paraId="3372DBF8" w14:textId="3955C3DE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مجوزدهی: </w:t>
      </w:r>
      <w:r w:rsidRPr="00F31A7F">
        <w:rPr>
          <w:rFonts w:ascii="Times New Roman" w:hAnsi="Times New Roman" w:cs="B Nazanin"/>
          <w:szCs w:val="26"/>
          <w:lang w:bidi="fa-IR"/>
        </w:rPr>
        <w:t>ACL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در سطح </w:t>
      </w:r>
      <w:r w:rsidRPr="00F31A7F">
        <w:rPr>
          <w:rFonts w:ascii="Times New Roman" w:hAnsi="Times New Roman" w:cs="B Nazanin"/>
          <w:szCs w:val="26"/>
          <w:lang w:bidi="fa-IR"/>
        </w:rPr>
        <w:t>Topic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با تفکیک </w:t>
      </w:r>
      <w:r w:rsidRPr="00F31A7F">
        <w:rPr>
          <w:rFonts w:ascii="Times New Roman" w:hAnsi="Times New Roman" w:cs="B Nazanin"/>
          <w:szCs w:val="26"/>
          <w:lang w:bidi="fa-IR"/>
        </w:rPr>
        <w:t>Publish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</w:t>
      </w:r>
      <w:r w:rsidRPr="00F31A7F">
        <w:rPr>
          <w:rFonts w:ascii="Times New Roman" w:hAnsi="Times New Roman" w:cs="B Nazanin"/>
          <w:szCs w:val="26"/>
          <w:lang w:bidi="fa-IR"/>
        </w:rPr>
        <w:t>Subscribe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؛ خطر کاراکترهای عام + و #؛ پیشنهاد </w:t>
      </w:r>
      <w:r w:rsidRPr="00F31A7F">
        <w:rPr>
          <w:rFonts w:ascii="Times New Roman" w:hAnsi="Times New Roman" w:cs="B Nazanin"/>
          <w:szCs w:val="26"/>
          <w:lang w:bidi="fa-IR"/>
        </w:rPr>
        <w:t>Sparkplug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برای محدود کردن هر گره به </w:t>
      </w:r>
      <w:r w:rsidRPr="00F31A7F">
        <w:rPr>
          <w:rFonts w:ascii="Times New Roman" w:hAnsi="Times New Roman" w:cs="B Nazanin"/>
          <w:szCs w:val="26"/>
          <w:lang w:bidi="fa-IR"/>
        </w:rPr>
        <w:t>Topic</w:t>
      </w:r>
      <w:r w:rsidRPr="00F31A7F">
        <w:rPr>
          <w:rFonts w:ascii="B Nazanin" w:hAnsi="B Nazanin" w:cs="B Nazanin"/>
          <w:szCs w:val="26"/>
          <w:rtl/>
          <w:lang w:bidi="fa-IR"/>
        </w:rPr>
        <w:t>های خودش (در بخش ۲ آمده، فقط ارجاع).</w:t>
      </w:r>
    </w:p>
    <w:p w14:paraId="586D79FB" w14:textId="56004C7C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شناسه‌ی </w:t>
      </w:r>
      <w:r w:rsidRPr="00F31A7F">
        <w:rPr>
          <w:rFonts w:ascii="Times New Roman" w:hAnsi="Times New Roman" w:cs="B Nazanin"/>
          <w:szCs w:val="26"/>
          <w:lang w:bidi="fa-IR"/>
        </w:rPr>
        <w:t>Client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رفتار تصاحب نشست هنگام اتصال دوباره با شناسه‌ی تکراری.</w:t>
      </w:r>
    </w:p>
    <w:p w14:paraId="7AED778F" w14:textId="32BEEBB3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lastRenderedPageBreak/>
        <w:t xml:space="preserve">محدودیت‌ها: نبود قالب استاندارد برای </w:t>
      </w:r>
      <w:r w:rsidRPr="00F31A7F">
        <w:rPr>
          <w:rFonts w:ascii="Times New Roman" w:hAnsi="Times New Roman" w:cs="B Nazanin"/>
          <w:szCs w:val="26"/>
          <w:lang w:bidi="fa-IR"/>
        </w:rPr>
        <w:t>ACL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وابستگی به پیکربندی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؛ و اینکه </w:t>
      </w:r>
      <w:r w:rsidRPr="00F31A7F">
        <w:rPr>
          <w:rFonts w:ascii="Times New Roman" w:hAnsi="Times New Roman" w:cs="B Nazanin"/>
          <w:szCs w:val="26"/>
          <w:lang w:bidi="fa-IR"/>
        </w:rPr>
        <w:t>ACL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فقط در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اعمال می‌شود و پشت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>، هویت حسگر دیده نمی‌شود.</w:t>
      </w:r>
    </w:p>
    <w:p w14:paraId="2FD47EC0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منابع پیشنهادی: </w:t>
      </w:r>
      <w:r>
        <w:rPr>
          <w:rFonts w:ascii="Times New Roman" w:hAnsi="Times New Roman" w:cs="B Nazanin"/>
          <w:szCs w:val="26"/>
          <w:lang w:bidi="fa-IR"/>
        </w:rPr>
        <w:t>OASIS</w:t>
      </w:r>
      <w:r>
        <w:rPr>
          <w:rFonts w:ascii="B Nazanin" w:hAnsi="B Nazanin" w:cs="B Nazanin"/>
          <w:szCs w:val="26"/>
          <w:rtl/>
          <w:lang w:bidi="fa-IR"/>
        </w:rPr>
        <w:t xml:space="preserve"> (2019)؛ </w:t>
      </w:r>
      <w:r>
        <w:rPr>
          <w:rFonts w:ascii="Times New Roman" w:hAnsi="Times New Roman" w:cs="B Nazanin"/>
          <w:szCs w:val="26"/>
          <w:lang w:bidi="fa-IR"/>
        </w:rPr>
        <w:t>Michaelides et al.</w:t>
      </w:r>
      <w:r>
        <w:rPr>
          <w:rFonts w:ascii="B Nazanin" w:hAnsi="B Nazanin" w:cs="B Nazanin"/>
          <w:szCs w:val="26"/>
          <w:rtl/>
          <w:lang w:bidi="fa-IR"/>
        </w:rPr>
        <w:t xml:space="preserve"> (2022)؛ </w:t>
      </w:r>
      <w:r>
        <w:rPr>
          <w:rFonts w:ascii="Times New Roman" w:hAnsi="Times New Roman" w:cs="B Nazanin"/>
          <w:szCs w:val="26"/>
          <w:lang w:bidi="fa-IR"/>
        </w:rPr>
        <w:t>Lakshminarayana et al.</w:t>
      </w:r>
      <w:r>
        <w:rPr>
          <w:rFonts w:ascii="B Nazanin" w:hAnsi="B Nazanin" w:cs="B Nazanin"/>
          <w:szCs w:val="26"/>
          <w:rtl/>
          <w:lang w:bidi="fa-IR"/>
        </w:rPr>
        <w:t xml:space="preserve"> (2024)؛ </w:t>
      </w:r>
      <w:r>
        <w:rPr>
          <w:rFonts w:ascii="Times New Roman" w:hAnsi="Times New Roman" w:cs="B Nazanin"/>
          <w:szCs w:val="26"/>
          <w:lang w:bidi="fa-IR"/>
        </w:rPr>
        <w:t>Laghari et al.</w:t>
      </w:r>
      <w:r>
        <w:rPr>
          <w:rFonts w:ascii="B Nazanin" w:hAnsi="B Nazanin" w:cs="B Nazanin"/>
          <w:szCs w:val="26"/>
          <w:rtl/>
          <w:lang w:bidi="fa-IR"/>
        </w:rPr>
        <w:t xml:space="preserve"> (2024)؛ </w:t>
      </w:r>
      <w:r>
        <w:rPr>
          <w:rFonts w:ascii="Times New Roman" w:hAnsi="Times New Roman" w:cs="B Nazanin"/>
          <w:szCs w:val="26"/>
          <w:lang w:bidi="fa-IR"/>
        </w:rPr>
        <w:t>Eclipse Foundation</w:t>
      </w:r>
      <w:r>
        <w:rPr>
          <w:rFonts w:ascii="B Nazanin" w:hAnsi="B Nazanin" w:cs="B Nazanin"/>
          <w:szCs w:val="26"/>
          <w:rtl/>
          <w:lang w:bidi="fa-IR"/>
        </w:rPr>
        <w:t xml:space="preserve"> (2022).</w:t>
      </w:r>
    </w:p>
    <w:p w14:paraId="060F46F3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>۳-۴. مدل تهدید و روش تحلیل (حدود ۱ صفحه)</w:t>
      </w:r>
    </w:p>
    <w:p w14:paraId="13218F6D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>یک چارچوب واحد برای تحلیل همه‌ی نودها و لینک‌ها در زیربخش‌های ۳-۵ و ۳-۶.</w:t>
      </w:r>
    </w:p>
    <w:p w14:paraId="09881674" w14:textId="2C51A703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دارایی‌ها: داده‌ی حسگر، فرمان کنترلی، اعتبارنامه‌ها و کلیدها، سیاست‌های دسترسی و در دسترس بودن سرویس.</w:t>
      </w:r>
    </w:p>
    <w:p w14:paraId="44D2090D" w14:textId="014CAD6D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انواع مهاجم: مهاجم روی لینک (شنود، تزریق، بازپخش)؛ تجهیز یا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به‌خطرافتاده؛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درستکار اما کنجکاو (برای محرمانگی) یا مخرب (برای در دسترس بودن)؛ کاربر داخلی با مجوز بیش از حد.</w:t>
      </w:r>
    </w:p>
    <w:p w14:paraId="48B2184E" w14:textId="0434E545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ویژگی‌هایی که برای هر نود و لینک بررسی می‌شود: احراز هویت طرفین، مجوز، تمامیت، محرمانگی، تازگی (مقاومت در برابر بازپخش)، اصالت مبدأ و در دسترس بودن.</w:t>
      </w:r>
    </w:p>
    <w:p w14:paraId="735B4758" w14:textId="39D0326B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روش: یک روش ساختاریافته مانند </w:t>
      </w:r>
      <w:r w:rsidRPr="00F31A7F">
        <w:rPr>
          <w:rFonts w:ascii="Times New Roman" w:hAnsi="Times New Roman" w:cs="B Nazanin"/>
          <w:szCs w:val="26"/>
          <w:lang w:bidi="fa-IR"/>
        </w:rPr>
        <w:t>STRIDE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روی هر نود و هر </w:t>
      </w:r>
      <w:r w:rsidRPr="00F31A7F">
        <w:rPr>
          <w:rFonts w:ascii="Times New Roman" w:hAnsi="Times New Roman" w:cs="B Nazanin"/>
          <w:szCs w:val="26"/>
          <w:lang w:bidi="fa-IR"/>
        </w:rPr>
        <w:t>TB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(نیازمند به تصمیم‌گیری نهایی).</w:t>
      </w:r>
    </w:p>
    <w:p w14:paraId="0FCCE119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منابع پیشنهادی: </w:t>
      </w:r>
      <w:r>
        <w:rPr>
          <w:rFonts w:ascii="Times New Roman" w:hAnsi="Times New Roman" w:cs="B Nazanin"/>
          <w:szCs w:val="26"/>
          <w:lang w:bidi="fa-IR"/>
        </w:rPr>
        <w:t>Stouffer et al.</w:t>
      </w:r>
      <w:r>
        <w:rPr>
          <w:rFonts w:ascii="B Nazanin" w:hAnsi="B Nazanin" w:cs="B Nazanin"/>
          <w:szCs w:val="26"/>
          <w:rtl/>
          <w:lang w:bidi="fa-IR"/>
        </w:rPr>
        <w:t xml:space="preserve"> (2023)؛ </w:t>
      </w:r>
      <w:r>
        <w:rPr>
          <w:rFonts w:ascii="Times New Roman" w:hAnsi="Times New Roman" w:cs="B Nazanin"/>
          <w:szCs w:val="26"/>
          <w:lang w:bidi="fa-IR"/>
        </w:rPr>
        <w:t>Shostack</w:t>
      </w:r>
      <w:r>
        <w:rPr>
          <w:rFonts w:ascii="B Nazanin" w:hAnsi="B Nazanin" w:cs="B Nazanin"/>
          <w:szCs w:val="26"/>
          <w:rtl/>
          <w:lang w:bidi="fa-IR"/>
        </w:rPr>
        <w:t xml:space="preserve"> (2014) فقط در صورت انتخاب </w:t>
      </w:r>
      <w:r>
        <w:rPr>
          <w:rFonts w:ascii="Times New Roman" w:hAnsi="Times New Roman" w:cs="B Nazanin"/>
          <w:szCs w:val="26"/>
          <w:lang w:bidi="fa-IR"/>
        </w:rPr>
        <w:t>STRIDE.</w:t>
      </w:r>
    </w:p>
    <w:p w14:paraId="41E445BD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>۳-۵. بردارهای حمله روی نودها (حدود ۲ صفحه)</w:t>
      </w:r>
    </w:p>
    <w:p w14:paraId="6D542C57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>تحلیل حمله به خود اجزا، مستقل از لینک.</w:t>
      </w:r>
    </w:p>
    <w:p w14:paraId="5135E6C9" w14:textId="7E8A7826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حسگر و عملگر: جعل هویت، دستکاری، و تخلیه‌ی باتری در تجهیزات کم‌توان (مانند موج بیدارسازی در </w:t>
      </w:r>
      <w:r w:rsidRPr="00F31A7F">
        <w:rPr>
          <w:rFonts w:ascii="Times New Roman" w:hAnsi="Times New Roman" w:cs="B Nazanin"/>
          <w:szCs w:val="26"/>
          <w:lang w:bidi="fa-IR"/>
        </w:rPr>
        <w:t>MQTT-SN</w:t>
      </w:r>
      <w:r w:rsidRPr="00F31A7F">
        <w:rPr>
          <w:rFonts w:ascii="B Nazanin" w:hAnsi="B Nazanin" w:cs="B Nazanin"/>
          <w:szCs w:val="26"/>
          <w:rtl/>
          <w:lang w:bidi="fa-IR"/>
        </w:rPr>
        <w:t>).</w:t>
      </w:r>
    </w:p>
    <w:p w14:paraId="1BE39D7D" w14:textId="4EA46BCB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Times New Roman" w:hAnsi="Times New Roman" w:cs="B Nazanin"/>
          <w:szCs w:val="26"/>
          <w:lang w:bidi="fa-IR"/>
        </w:rPr>
        <w:t>PLC/RTU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: تغییر ثبات‌ها و فرمان‌های نوشتن غیرمجاز، مثلاً در </w:t>
      </w:r>
      <w:r w:rsidRPr="00F31A7F">
        <w:rPr>
          <w:rFonts w:ascii="Times New Roman" w:hAnsi="Times New Roman" w:cs="B Nazanin"/>
          <w:szCs w:val="26"/>
          <w:lang w:bidi="fa-IR"/>
        </w:rPr>
        <w:t>Modbus.</w:t>
      </w:r>
    </w:p>
    <w:p w14:paraId="061D908B" w14:textId="65B5B0BD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: نقطه‌ی ترجمه‌ی پروتکل؛ </w:t>
      </w:r>
      <w:r w:rsidRPr="00F31A7F">
        <w:rPr>
          <w:rFonts w:ascii="Times New Roman" w:hAnsi="Times New Roman" w:cs="B Nazanin"/>
          <w:szCs w:val="26"/>
          <w:lang w:bidi="fa-IR"/>
        </w:rPr>
        <w:t>Gateway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به‌خطرافتاده می‌تواند با اعتبارنامه‌ی معتبر داده جعل کند یا فرمان را پیش از ترجمه تغییر دهد (بسط پاراگراف بخش ۲؛ (نیازمند به تصمیم‌گیری نهایی)).</w:t>
      </w:r>
    </w:p>
    <w:p w14:paraId="373EC697" w14:textId="2D1FB73C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: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های بدون احراز هویت که در پویش اینترنتی بیش از چهارده هزار مورد از آن‌ها یافت شد؛ حمله‌ی منع خدمت با سیل </w:t>
      </w:r>
      <w:r w:rsidRPr="00F31A7F">
        <w:rPr>
          <w:rFonts w:ascii="Times New Roman" w:hAnsi="Times New Roman" w:cs="B Nazanin"/>
          <w:szCs w:val="26"/>
          <w:lang w:bidi="fa-IR"/>
        </w:rPr>
        <w:t>PUBLISH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؛ و دسترسی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به متن پیام‌ها.</w:t>
      </w:r>
    </w:p>
    <w:p w14:paraId="7E555B21" w14:textId="289920A9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lastRenderedPageBreak/>
        <w:t xml:space="preserve">سرویس‌ها، </w:t>
      </w:r>
      <w:r w:rsidRPr="00F31A7F">
        <w:rPr>
          <w:rFonts w:ascii="Times New Roman" w:hAnsi="Times New Roman" w:cs="B Nazanin"/>
          <w:szCs w:val="26"/>
          <w:lang w:bidi="fa-IR"/>
        </w:rPr>
        <w:t>API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 اپلیکیشن موبایل: فقط ارجاع به بخش ۱-۳ (</w:t>
      </w:r>
      <w:r w:rsidRPr="00F31A7F">
        <w:rPr>
          <w:rFonts w:ascii="Times New Roman" w:hAnsi="Times New Roman" w:cs="B Nazanin"/>
          <w:szCs w:val="26"/>
          <w:lang w:bidi="fa-IR"/>
        </w:rPr>
        <w:t>BOLA/IDOR</w:t>
      </w:r>
      <w:r w:rsidRPr="00F31A7F">
        <w:rPr>
          <w:rFonts w:ascii="B Nazanin" w:hAnsi="B Nazanin" w:cs="B Nazanin"/>
          <w:szCs w:val="26"/>
          <w:rtl/>
          <w:lang w:bidi="fa-IR"/>
        </w:rPr>
        <w:t>، سرقت توکن) و بیان پیامد آن برای مسیر فرمان.</w:t>
      </w:r>
    </w:p>
    <w:p w14:paraId="2B95FDBF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منابع پیشنهادی: </w:t>
      </w:r>
      <w:r>
        <w:rPr>
          <w:rFonts w:ascii="Times New Roman" w:hAnsi="Times New Roman" w:cs="B Nazanin"/>
          <w:szCs w:val="26"/>
          <w:lang w:bidi="fa-IR"/>
        </w:rPr>
        <w:t>Martins</w:t>
      </w:r>
      <w:r>
        <w:rPr>
          <w:rFonts w:ascii="B Nazanin" w:hAnsi="B Nazanin" w:cs="B Nazanin"/>
          <w:szCs w:val="26"/>
          <w:rtl/>
          <w:lang w:bidi="fa-IR"/>
        </w:rPr>
        <w:t xml:space="preserve"> &amp; </w:t>
      </w:r>
      <w:r>
        <w:rPr>
          <w:rFonts w:ascii="Times New Roman" w:hAnsi="Times New Roman" w:cs="B Nazanin"/>
          <w:szCs w:val="26"/>
          <w:lang w:bidi="fa-IR"/>
        </w:rPr>
        <w:t>Oliveira</w:t>
      </w:r>
      <w:r>
        <w:rPr>
          <w:rFonts w:ascii="B Nazanin" w:hAnsi="B Nazanin" w:cs="B Nazanin"/>
          <w:szCs w:val="26"/>
          <w:rtl/>
          <w:lang w:bidi="fa-IR"/>
        </w:rPr>
        <w:t xml:space="preserve"> (2022)؛ </w:t>
      </w:r>
      <w:r>
        <w:rPr>
          <w:rFonts w:ascii="Times New Roman" w:hAnsi="Times New Roman" w:cs="B Nazanin"/>
          <w:szCs w:val="26"/>
          <w:lang w:bidi="fa-IR"/>
        </w:rPr>
        <w:t>Rold</w:t>
      </w:r>
      <w:r>
        <w:rPr>
          <w:rFonts w:ascii="B Nazanin" w:hAnsi="B Nazanin" w:cs="B Nazanin"/>
          <w:szCs w:val="26"/>
          <w:rtl/>
          <w:lang w:bidi="fa-IR"/>
        </w:rPr>
        <w:t>á</w:t>
      </w:r>
      <w:r>
        <w:rPr>
          <w:rFonts w:ascii="Times New Roman" w:hAnsi="Times New Roman" w:cs="B Nazanin"/>
          <w:szCs w:val="26"/>
          <w:lang w:bidi="fa-IR"/>
        </w:rPr>
        <w:t>n-G</w:t>
      </w:r>
      <w:r>
        <w:rPr>
          <w:rFonts w:ascii="B Nazanin" w:hAnsi="B Nazanin" w:cs="B Nazanin"/>
          <w:szCs w:val="26"/>
          <w:rtl/>
          <w:lang w:bidi="fa-IR"/>
        </w:rPr>
        <w:t>ó</w:t>
      </w:r>
      <w:r>
        <w:rPr>
          <w:rFonts w:ascii="Times New Roman" w:hAnsi="Times New Roman" w:cs="B Nazanin"/>
          <w:szCs w:val="26"/>
          <w:lang w:bidi="fa-IR"/>
        </w:rPr>
        <w:t>mez et al.</w:t>
      </w:r>
      <w:r>
        <w:rPr>
          <w:rFonts w:ascii="B Nazanin" w:hAnsi="B Nazanin" w:cs="B Nazanin"/>
          <w:szCs w:val="26"/>
          <w:rtl/>
          <w:lang w:bidi="fa-IR"/>
        </w:rPr>
        <w:t xml:space="preserve"> (2022)؛ </w:t>
      </w:r>
      <w:r>
        <w:rPr>
          <w:rFonts w:ascii="Times New Roman" w:hAnsi="Times New Roman" w:cs="B Nazanin"/>
          <w:szCs w:val="26"/>
          <w:lang w:bidi="fa-IR"/>
        </w:rPr>
        <w:t>Innamorati et al.</w:t>
      </w:r>
      <w:r>
        <w:rPr>
          <w:rFonts w:ascii="B Nazanin" w:hAnsi="B Nazanin" w:cs="B Nazanin"/>
          <w:szCs w:val="26"/>
          <w:rtl/>
          <w:lang w:bidi="fa-IR"/>
        </w:rPr>
        <w:t xml:space="preserve"> (2026)؛ </w:t>
      </w:r>
      <w:r>
        <w:rPr>
          <w:rFonts w:ascii="Times New Roman" w:hAnsi="Times New Roman" w:cs="B Nazanin"/>
          <w:szCs w:val="26"/>
          <w:lang w:bidi="fa-IR"/>
        </w:rPr>
        <w:t>Pham Le et al.</w:t>
      </w:r>
      <w:r>
        <w:rPr>
          <w:rFonts w:ascii="B Nazanin" w:hAnsi="B Nazanin" w:cs="B Nazanin"/>
          <w:szCs w:val="26"/>
          <w:rtl/>
          <w:lang w:bidi="fa-IR"/>
        </w:rPr>
        <w:t xml:space="preserve"> (2026)؛ </w:t>
      </w:r>
      <w:r>
        <w:rPr>
          <w:rFonts w:ascii="Times New Roman" w:hAnsi="Times New Roman" w:cs="B Nazanin"/>
          <w:szCs w:val="26"/>
          <w:lang w:bidi="fa-IR"/>
        </w:rPr>
        <w:t>Hintaw et al.</w:t>
      </w:r>
      <w:r>
        <w:rPr>
          <w:rFonts w:ascii="B Nazanin" w:hAnsi="B Nazanin" w:cs="B Nazanin"/>
          <w:szCs w:val="26"/>
          <w:rtl/>
          <w:lang w:bidi="fa-IR"/>
        </w:rPr>
        <w:t xml:space="preserve"> (2023).</w:t>
      </w:r>
    </w:p>
    <w:p w14:paraId="34344C7F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>۳-۶. بردارهای حمله روی لینک‌ها بر پایه‌ی مرزهای اعتماد (حدود ۳ صفحه؛ هسته‌ی بخش)</w:t>
      </w:r>
    </w:p>
    <w:p w14:paraId="5567823F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 xml:space="preserve">تحلیل حمله روی هر لینک به تفکیک </w:t>
      </w:r>
      <w:r>
        <w:rPr>
          <w:rFonts w:ascii="Times New Roman" w:hAnsi="Times New Roman" w:cs="B Nazanin"/>
          <w:szCs w:val="26"/>
          <w:lang w:bidi="fa-IR"/>
        </w:rPr>
        <w:t>TB</w:t>
      </w:r>
      <w:r>
        <w:rPr>
          <w:rFonts w:ascii="B Nazanin" w:hAnsi="B Nazanin" w:cs="B Nazanin"/>
          <w:szCs w:val="26"/>
          <w:rtl/>
          <w:lang w:bidi="fa-IR"/>
        </w:rPr>
        <w:t>، با بیشترین تمرکز روی لینک حسگر–</w:t>
      </w:r>
      <w:r>
        <w:rPr>
          <w:rFonts w:ascii="Times New Roman" w:hAnsi="Times New Roman" w:cs="B Nazanin"/>
          <w:szCs w:val="26"/>
          <w:lang w:bidi="fa-IR"/>
        </w:rPr>
        <w:t>Gateway.</w:t>
      </w:r>
      <w:r>
        <w:rPr>
          <w:rFonts w:ascii="B Nazanin" w:hAnsi="B Nazanin" w:cs="B Nazanin"/>
          <w:szCs w:val="26"/>
          <w:rtl/>
          <w:lang w:bidi="fa-IR"/>
        </w:rPr>
        <w:t xml:space="preserve"> این زیربخش پاسخ مستقیم به فیدبک استاد است.</w:t>
      </w:r>
    </w:p>
    <w:p w14:paraId="7EFC8A1E" w14:textId="707A3ED9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Times New Roman" w:hAnsi="Times New Roman" w:cs="B Nazanin"/>
          <w:szCs w:val="26"/>
          <w:lang w:bidi="fa-IR"/>
        </w:rPr>
        <w:t>TB1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مفصل‌ترین قسمت باشد: </w:t>
      </w:r>
      <w:r w:rsidRPr="00F31A7F">
        <w:rPr>
          <w:rFonts w:ascii="Times New Roman" w:hAnsi="Times New Roman" w:cs="B Nazanin"/>
          <w:szCs w:val="26"/>
          <w:lang w:bidi="fa-IR"/>
        </w:rPr>
        <w:t>Modbus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(مرد میانی، تزریق فرمان، بازپخش)؛ </w:t>
      </w:r>
      <w:r w:rsidRPr="00F31A7F">
        <w:rPr>
          <w:rFonts w:ascii="Times New Roman" w:hAnsi="Times New Roman" w:cs="B Nazanin"/>
          <w:szCs w:val="26"/>
          <w:lang w:bidi="fa-IR"/>
        </w:rPr>
        <w:t>WirelessHART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(فریب و دستکاری به دلیل نبود احراز هویت نقطه‌به‌نقطه)؛ </w:t>
      </w:r>
      <w:r w:rsidRPr="00F31A7F">
        <w:rPr>
          <w:rFonts w:ascii="Times New Roman" w:hAnsi="Times New Roman" w:cs="B Nazanin"/>
          <w:szCs w:val="26"/>
          <w:lang w:bidi="fa-IR"/>
        </w:rPr>
        <w:t>MQTT-SN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(هفت حمله‌ی آزموده‌شده).</w:t>
      </w:r>
    </w:p>
    <w:p w14:paraId="394B9BEE" w14:textId="44A22998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برای هر لینک مشخص شود کنترل دسترسی کجا اعمال می‌شود؛ اگر نقطه‌ی اعمالی وجود ندارد، به‌عنوان شکاف ذکر شود.</w:t>
      </w:r>
    </w:p>
    <w:p w14:paraId="24A9DD31" w14:textId="19B918DF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از تکرار جدول ۴ بخش ۲ پرهیز شود: این زیربخش پیامد حمله برای کنترل دسترسی را تحلیل می‌کند، نه ویژگی خود پروتکل را.</w:t>
      </w:r>
    </w:p>
    <w:p w14:paraId="23977193" w14:textId="77777777" w:rsidR="00D115A9" w:rsidRDefault="00000000">
      <w:pPr>
        <w:keepNext/>
        <w:bidi/>
        <w:spacing w:before="160" w:after="60" w:line="300" w:lineRule="auto"/>
        <w:jc w:val="center"/>
      </w:pPr>
      <w:r>
        <w:rPr>
          <w:rFonts w:ascii="B Nazanin" w:hAnsi="B Nazanin" w:cs="B Nazanin"/>
          <w:b/>
          <w:bCs/>
          <w:sz w:val="21"/>
          <w:szCs w:val="22"/>
          <w:rtl/>
          <w:lang w:bidi="fa-IR"/>
        </w:rPr>
        <w:t>جدول راهنمای ۲: اسکلت پیشنهادی جدول مرکزی زیربخش ۳-۶ (پیش‌نویس؛ هر خانه پیش از استفاده باید با منبع تأیید شود)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700"/>
        <w:gridCol w:w="1500"/>
        <w:gridCol w:w="1700"/>
        <w:gridCol w:w="2200"/>
        <w:gridCol w:w="1500"/>
        <w:gridCol w:w="1750"/>
      </w:tblGrid>
      <w:tr w:rsidR="00D115A9" w14:paraId="1FCD1D2A" w14:textId="77777777">
        <w:trPr>
          <w:tblHeader/>
        </w:trPr>
        <w:tc>
          <w:tcPr>
            <w:tcW w:w="700" w:type="dxa"/>
            <w:shd w:val="clear" w:color="auto" w:fill="E7ECF2"/>
          </w:tcPr>
          <w:p w14:paraId="03ECE6E7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</w:t>
            </w:r>
          </w:p>
        </w:tc>
        <w:tc>
          <w:tcPr>
            <w:tcW w:w="1500" w:type="dxa"/>
            <w:shd w:val="clear" w:color="auto" w:fill="E7ECF2"/>
          </w:tcPr>
          <w:p w14:paraId="3262DEDF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لینک</w:t>
            </w:r>
          </w:p>
        </w:tc>
        <w:tc>
          <w:tcPr>
            <w:tcW w:w="1700" w:type="dxa"/>
            <w:shd w:val="clear" w:color="auto" w:fill="E7ECF2"/>
          </w:tcPr>
          <w:p w14:paraId="160CD845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پروتکل‌های نمونه</w:t>
            </w:r>
          </w:p>
        </w:tc>
        <w:tc>
          <w:tcPr>
            <w:tcW w:w="2200" w:type="dxa"/>
            <w:shd w:val="clear" w:color="auto" w:fill="E7ECF2"/>
          </w:tcPr>
          <w:p w14:paraId="05D19EF2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حملات نمونه</w:t>
            </w:r>
          </w:p>
        </w:tc>
        <w:tc>
          <w:tcPr>
            <w:tcW w:w="1500" w:type="dxa"/>
            <w:shd w:val="clear" w:color="auto" w:fill="E7ECF2"/>
          </w:tcPr>
          <w:p w14:paraId="55CB4F27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ویژگی نقض‌شده</w:t>
            </w:r>
          </w:p>
        </w:tc>
        <w:tc>
          <w:tcPr>
            <w:tcW w:w="1750" w:type="dxa"/>
            <w:shd w:val="clear" w:color="auto" w:fill="E7ECF2"/>
          </w:tcPr>
          <w:p w14:paraId="73A86F92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نقطه‌ی اعمال کنترل دسترسی</w:t>
            </w:r>
          </w:p>
        </w:tc>
      </w:tr>
      <w:tr w:rsidR="00D115A9" w14:paraId="021D4C56" w14:textId="77777777">
        <w:tc>
          <w:tcPr>
            <w:tcW w:w="700" w:type="dxa"/>
          </w:tcPr>
          <w:p w14:paraId="1AE4A81B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TB1</w:t>
            </w:r>
          </w:p>
        </w:tc>
        <w:tc>
          <w:tcPr>
            <w:tcW w:w="1500" w:type="dxa"/>
          </w:tcPr>
          <w:p w14:paraId="5111D119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حسگر/عملگر –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PLC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یا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Gateway</w:t>
            </w:r>
          </w:p>
        </w:tc>
        <w:tc>
          <w:tcPr>
            <w:tcW w:w="1700" w:type="dxa"/>
          </w:tcPr>
          <w:p w14:paraId="338F9C40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Modbus RTU/TCP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WirelessHART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MQTT-SN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CoAP</w:t>
            </w:r>
          </w:p>
        </w:tc>
        <w:tc>
          <w:tcPr>
            <w:tcW w:w="2200" w:type="dxa"/>
          </w:tcPr>
          <w:p w14:paraId="276A19D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مرد میانی، تزریق فرمان، بازپخش، جعل اتصال</w:t>
            </w:r>
          </w:p>
        </w:tc>
        <w:tc>
          <w:tcPr>
            <w:tcW w:w="1500" w:type="dxa"/>
          </w:tcPr>
          <w:p w14:paraId="2C6F3297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احراز هویت، تمامیت، تازگی</w:t>
            </w:r>
          </w:p>
        </w:tc>
        <w:tc>
          <w:tcPr>
            <w:tcW w:w="1750" w:type="dxa"/>
          </w:tcPr>
          <w:p w14:paraId="40F495A2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PLC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یا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Gateway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؛ در بسیاری از پروتکل‌ها وجود ندارد</w:t>
            </w:r>
          </w:p>
        </w:tc>
      </w:tr>
      <w:tr w:rsidR="00D115A9" w14:paraId="566DED3E" w14:textId="77777777">
        <w:tc>
          <w:tcPr>
            <w:tcW w:w="700" w:type="dxa"/>
          </w:tcPr>
          <w:p w14:paraId="3906229C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TB2</w:t>
            </w:r>
          </w:p>
        </w:tc>
        <w:tc>
          <w:tcPr>
            <w:tcW w:w="1500" w:type="dxa"/>
          </w:tcPr>
          <w:p w14:paraId="3B6A8A53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PLC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–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Gateway</w:t>
            </w:r>
          </w:p>
        </w:tc>
        <w:tc>
          <w:tcPr>
            <w:tcW w:w="1700" w:type="dxa"/>
          </w:tcPr>
          <w:p w14:paraId="01495FD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OPC UA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Modbus TCP</w:t>
            </w:r>
          </w:p>
        </w:tc>
        <w:tc>
          <w:tcPr>
            <w:tcW w:w="2200" w:type="dxa"/>
          </w:tcPr>
          <w:p w14:paraId="76EF15E5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استفاده از حالت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None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؛ ربایش نشست در حالت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Sign</w:t>
            </w:r>
          </w:p>
        </w:tc>
        <w:tc>
          <w:tcPr>
            <w:tcW w:w="1500" w:type="dxa"/>
          </w:tcPr>
          <w:p w14:paraId="4D27DB04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احراز هویت، محرمانگی</w:t>
            </w:r>
          </w:p>
        </w:tc>
        <w:tc>
          <w:tcPr>
            <w:tcW w:w="1750" w:type="dxa"/>
          </w:tcPr>
          <w:p w14:paraId="0D0A1255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Gateway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(در نقش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Client OPC UA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)</w:t>
            </w:r>
          </w:p>
        </w:tc>
      </w:tr>
      <w:tr w:rsidR="00D115A9" w14:paraId="5200967A" w14:textId="77777777">
        <w:tc>
          <w:tcPr>
            <w:tcW w:w="700" w:type="dxa"/>
          </w:tcPr>
          <w:p w14:paraId="52333D5D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TB3</w:t>
            </w:r>
          </w:p>
        </w:tc>
        <w:tc>
          <w:tcPr>
            <w:tcW w:w="1500" w:type="dxa"/>
          </w:tcPr>
          <w:p w14:paraId="12C5EA76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Client MQTT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–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Broker</w:t>
            </w:r>
          </w:p>
        </w:tc>
        <w:tc>
          <w:tcPr>
            <w:tcW w:w="1700" w:type="dxa"/>
          </w:tcPr>
          <w:p w14:paraId="4DC063E5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MQTT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روی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TCP/TLS</w:t>
            </w:r>
          </w:p>
        </w:tc>
        <w:tc>
          <w:tcPr>
            <w:tcW w:w="2200" w:type="dxa"/>
          </w:tcPr>
          <w:p w14:paraId="68C5166A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سرقت اعتبارنامه بدون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TLS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تصاحب نشست با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ClientID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انتشار غیرمجاز فرمان، اشتراک عام، سیل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PUBLISH</w:t>
            </w:r>
          </w:p>
        </w:tc>
        <w:tc>
          <w:tcPr>
            <w:tcW w:w="1500" w:type="dxa"/>
          </w:tcPr>
          <w:p w14:paraId="6BF9D29F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احراز هویت، مجوز، در دسترس بودن</w:t>
            </w:r>
          </w:p>
        </w:tc>
        <w:tc>
          <w:tcPr>
            <w:tcW w:w="1750" w:type="dxa"/>
          </w:tcPr>
          <w:p w14:paraId="6A12101A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Broker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(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ACL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)</w:t>
            </w:r>
          </w:p>
        </w:tc>
      </w:tr>
      <w:tr w:rsidR="00D115A9" w14:paraId="42352562" w14:textId="77777777">
        <w:tc>
          <w:tcPr>
            <w:tcW w:w="700" w:type="dxa"/>
          </w:tcPr>
          <w:p w14:paraId="7B99A8C6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TB4</w:t>
            </w:r>
          </w:p>
        </w:tc>
        <w:tc>
          <w:tcPr>
            <w:tcW w:w="1500" w:type="dxa"/>
          </w:tcPr>
          <w:p w14:paraId="50ECA7B1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Broker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– سرویس‌ها</w:t>
            </w:r>
          </w:p>
        </w:tc>
        <w:tc>
          <w:tcPr>
            <w:tcW w:w="1700" w:type="dxa"/>
          </w:tcPr>
          <w:p w14:paraId="21EA2392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MQTT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Bridging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میان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Broker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ها</w:t>
            </w:r>
          </w:p>
        </w:tc>
        <w:tc>
          <w:tcPr>
            <w:tcW w:w="2200" w:type="dxa"/>
          </w:tcPr>
          <w:p w14:paraId="2E634B97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مشترک با مجوز بیش از حد، افشای محتوا در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Broker</w:t>
            </w:r>
          </w:p>
        </w:tc>
        <w:tc>
          <w:tcPr>
            <w:tcW w:w="1500" w:type="dxa"/>
          </w:tcPr>
          <w:p w14:paraId="3257B87F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مجوز، محرمانگی</w:t>
            </w:r>
          </w:p>
        </w:tc>
        <w:tc>
          <w:tcPr>
            <w:tcW w:w="1750" w:type="dxa"/>
          </w:tcPr>
          <w:p w14:paraId="6A4DB567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Broker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و سرویس</w:t>
            </w:r>
          </w:p>
        </w:tc>
      </w:tr>
      <w:tr w:rsidR="00D115A9" w14:paraId="7D9EE8FB" w14:textId="77777777">
        <w:tc>
          <w:tcPr>
            <w:tcW w:w="700" w:type="dxa"/>
          </w:tcPr>
          <w:p w14:paraId="0BE7E8D6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lastRenderedPageBreak/>
              <w:t>TB5</w:t>
            </w:r>
          </w:p>
        </w:tc>
        <w:tc>
          <w:tcPr>
            <w:tcW w:w="1500" w:type="dxa"/>
          </w:tcPr>
          <w:p w14:paraId="5ADC111D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سرویس‌ها – سازمان/اینترنت</w:t>
            </w:r>
          </w:p>
        </w:tc>
        <w:tc>
          <w:tcPr>
            <w:tcW w:w="1700" w:type="dxa"/>
          </w:tcPr>
          <w:p w14:paraId="4789684A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HTTPS/API</w:t>
            </w:r>
          </w:p>
        </w:tc>
        <w:tc>
          <w:tcPr>
            <w:tcW w:w="2200" w:type="dxa"/>
          </w:tcPr>
          <w:p w14:paraId="7D72C827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سرقت توکن،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BOLA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، سوءاستفاده از دسترسی راه دور</w:t>
            </w:r>
          </w:p>
        </w:tc>
        <w:tc>
          <w:tcPr>
            <w:tcW w:w="1500" w:type="dxa"/>
          </w:tcPr>
          <w:p w14:paraId="3775883D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احراز هویت، مجوز</w:t>
            </w:r>
          </w:p>
        </w:tc>
        <w:tc>
          <w:tcPr>
            <w:tcW w:w="1750" w:type="dxa"/>
          </w:tcPr>
          <w:p w14:paraId="32F8609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API Gateway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یا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Backend</w:t>
            </w:r>
          </w:p>
        </w:tc>
      </w:tr>
    </w:tbl>
    <w:p w14:paraId="545CDABF" w14:textId="77777777" w:rsidR="00D115A9" w:rsidRDefault="00D115A9">
      <w:pPr>
        <w:bidi/>
        <w:spacing w:after="60" w:line="300" w:lineRule="auto"/>
        <w:jc w:val="both"/>
      </w:pPr>
    </w:p>
    <w:p w14:paraId="0940AB14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منابع پیشنهادی: </w:t>
      </w:r>
      <w:r>
        <w:rPr>
          <w:rFonts w:ascii="Times New Roman" w:hAnsi="Times New Roman" w:cs="B Nazanin"/>
          <w:szCs w:val="26"/>
          <w:lang w:bidi="fa-IR"/>
        </w:rPr>
        <w:t>Martins</w:t>
      </w:r>
      <w:r>
        <w:rPr>
          <w:rFonts w:ascii="B Nazanin" w:hAnsi="B Nazanin" w:cs="B Nazanin"/>
          <w:szCs w:val="26"/>
          <w:rtl/>
          <w:lang w:bidi="fa-IR"/>
        </w:rPr>
        <w:t xml:space="preserve"> &amp; </w:t>
      </w:r>
      <w:r>
        <w:rPr>
          <w:rFonts w:ascii="Times New Roman" w:hAnsi="Times New Roman" w:cs="B Nazanin"/>
          <w:szCs w:val="26"/>
          <w:lang w:bidi="fa-IR"/>
        </w:rPr>
        <w:t>Oliveira</w:t>
      </w:r>
      <w:r>
        <w:rPr>
          <w:rFonts w:ascii="B Nazanin" w:hAnsi="B Nazanin" w:cs="B Nazanin"/>
          <w:szCs w:val="26"/>
          <w:rtl/>
          <w:lang w:bidi="fa-IR"/>
        </w:rPr>
        <w:t xml:space="preserve"> (2022)؛ </w:t>
      </w:r>
      <w:r>
        <w:rPr>
          <w:rFonts w:ascii="Times New Roman" w:hAnsi="Times New Roman" w:cs="B Nazanin"/>
          <w:szCs w:val="26"/>
          <w:lang w:bidi="fa-IR"/>
        </w:rPr>
        <w:t>Luo et al.</w:t>
      </w:r>
      <w:r>
        <w:rPr>
          <w:rFonts w:ascii="B Nazanin" w:hAnsi="B Nazanin" w:cs="B Nazanin"/>
          <w:szCs w:val="26"/>
          <w:rtl/>
          <w:lang w:bidi="fa-IR"/>
        </w:rPr>
        <w:t xml:space="preserve"> (2021)؛ </w:t>
      </w:r>
      <w:r>
        <w:rPr>
          <w:rFonts w:ascii="Times New Roman" w:hAnsi="Times New Roman" w:cs="B Nazanin"/>
          <w:szCs w:val="26"/>
          <w:lang w:bidi="fa-IR"/>
        </w:rPr>
        <w:t>Rold</w:t>
      </w:r>
      <w:r>
        <w:rPr>
          <w:rFonts w:ascii="B Nazanin" w:hAnsi="B Nazanin" w:cs="B Nazanin"/>
          <w:szCs w:val="26"/>
          <w:rtl/>
          <w:lang w:bidi="fa-IR"/>
        </w:rPr>
        <w:t>á</w:t>
      </w:r>
      <w:r>
        <w:rPr>
          <w:rFonts w:ascii="Times New Roman" w:hAnsi="Times New Roman" w:cs="B Nazanin"/>
          <w:szCs w:val="26"/>
          <w:lang w:bidi="fa-IR"/>
        </w:rPr>
        <w:t>n-G</w:t>
      </w:r>
      <w:r>
        <w:rPr>
          <w:rFonts w:ascii="B Nazanin" w:hAnsi="B Nazanin" w:cs="B Nazanin"/>
          <w:szCs w:val="26"/>
          <w:rtl/>
          <w:lang w:bidi="fa-IR"/>
        </w:rPr>
        <w:t>ó</w:t>
      </w:r>
      <w:r>
        <w:rPr>
          <w:rFonts w:ascii="Times New Roman" w:hAnsi="Times New Roman" w:cs="B Nazanin"/>
          <w:szCs w:val="26"/>
          <w:lang w:bidi="fa-IR"/>
        </w:rPr>
        <w:t>mez et al.</w:t>
      </w:r>
      <w:r>
        <w:rPr>
          <w:rFonts w:ascii="B Nazanin" w:hAnsi="B Nazanin" w:cs="B Nazanin"/>
          <w:szCs w:val="26"/>
          <w:rtl/>
          <w:lang w:bidi="fa-IR"/>
        </w:rPr>
        <w:t xml:space="preserve"> (2022)؛ </w:t>
      </w:r>
      <w:r>
        <w:rPr>
          <w:rFonts w:ascii="Times New Roman" w:hAnsi="Times New Roman" w:cs="B Nazanin"/>
          <w:szCs w:val="26"/>
          <w:lang w:bidi="fa-IR"/>
        </w:rPr>
        <w:t>Lin et al.</w:t>
      </w:r>
      <w:r>
        <w:rPr>
          <w:rFonts w:ascii="B Nazanin" w:hAnsi="B Nazanin" w:cs="B Nazanin"/>
          <w:szCs w:val="26"/>
          <w:rtl/>
          <w:lang w:bidi="fa-IR"/>
        </w:rPr>
        <w:t xml:space="preserve"> (2025)؛ </w:t>
      </w:r>
      <w:r>
        <w:rPr>
          <w:rFonts w:ascii="Times New Roman" w:hAnsi="Times New Roman" w:cs="B Nazanin"/>
          <w:szCs w:val="26"/>
          <w:lang w:bidi="fa-IR"/>
        </w:rPr>
        <w:t>Clark</w:t>
      </w:r>
      <w:r>
        <w:rPr>
          <w:rFonts w:ascii="B Nazanin" w:hAnsi="B Nazanin" w:cs="B Nazanin"/>
          <w:szCs w:val="26"/>
          <w:rtl/>
          <w:lang w:bidi="fa-IR"/>
        </w:rPr>
        <w:t xml:space="preserve"> &amp; </w:t>
      </w:r>
      <w:r>
        <w:rPr>
          <w:rFonts w:ascii="Times New Roman" w:hAnsi="Times New Roman" w:cs="B Nazanin"/>
          <w:szCs w:val="26"/>
          <w:lang w:bidi="fa-IR"/>
        </w:rPr>
        <w:t>Chothia</w:t>
      </w:r>
      <w:r>
        <w:rPr>
          <w:rFonts w:ascii="B Nazanin" w:hAnsi="B Nazanin" w:cs="B Nazanin"/>
          <w:szCs w:val="26"/>
          <w:rtl/>
          <w:lang w:bidi="fa-IR"/>
        </w:rPr>
        <w:t xml:space="preserve"> (2026)؛ </w:t>
      </w:r>
      <w:r>
        <w:rPr>
          <w:rFonts w:ascii="Times New Roman" w:hAnsi="Times New Roman" w:cs="B Nazanin"/>
          <w:szCs w:val="26"/>
          <w:lang w:bidi="fa-IR"/>
        </w:rPr>
        <w:t>BSI</w:t>
      </w:r>
      <w:r>
        <w:rPr>
          <w:rFonts w:ascii="B Nazanin" w:hAnsi="B Nazanin" w:cs="B Nazanin"/>
          <w:szCs w:val="26"/>
          <w:rtl/>
          <w:lang w:bidi="fa-IR"/>
        </w:rPr>
        <w:t xml:space="preserve"> (2022)؛ </w:t>
      </w:r>
      <w:r>
        <w:rPr>
          <w:rFonts w:ascii="Times New Roman" w:hAnsi="Times New Roman" w:cs="B Nazanin"/>
          <w:szCs w:val="26"/>
          <w:lang w:bidi="fa-IR"/>
        </w:rPr>
        <w:t>Hintaw et al.</w:t>
      </w:r>
      <w:r>
        <w:rPr>
          <w:rFonts w:ascii="B Nazanin" w:hAnsi="B Nazanin" w:cs="B Nazanin"/>
          <w:szCs w:val="26"/>
          <w:rtl/>
          <w:lang w:bidi="fa-IR"/>
        </w:rPr>
        <w:t xml:space="preserve"> (2023)؛ </w:t>
      </w:r>
      <w:r>
        <w:rPr>
          <w:rFonts w:ascii="Times New Roman" w:hAnsi="Times New Roman" w:cs="B Nazanin"/>
          <w:szCs w:val="26"/>
          <w:lang w:bidi="fa-IR"/>
        </w:rPr>
        <w:t>Laghari et al.</w:t>
      </w:r>
      <w:r>
        <w:rPr>
          <w:rFonts w:ascii="B Nazanin" w:hAnsi="B Nazanin" w:cs="B Nazanin"/>
          <w:szCs w:val="26"/>
          <w:rtl/>
          <w:lang w:bidi="fa-IR"/>
        </w:rPr>
        <w:t xml:space="preserve"> (2024)؛ </w:t>
      </w:r>
      <w:r>
        <w:rPr>
          <w:rFonts w:ascii="Times New Roman" w:hAnsi="Times New Roman" w:cs="B Nazanin"/>
          <w:szCs w:val="26"/>
          <w:lang w:bidi="fa-IR"/>
        </w:rPr>
        <w:t>Lakshminarayana et al.</w:t>
      </w:r>
      <w:r>
        <w:rPr>
          <w:rFonts w:ascii="B Nazanin" w:hAnsi="B Nazanin" w:cs="B Nazanin"/>
          <w:szCs w:val="26"/>
          <w:rtl/>
          <w:lang w:bidi="fa-IR"/>
        </w:rPr>
        <w:t xml:space="preserve"> (2024)؛ </w:t>
      </w:r>
      <w:r>
        <w:rPr>
          <w:rFonts w:ascii="Times New Roman" w:hAnsi="Times New Roman" w:cs="B Nazanin"/>
          <w:szCs w:val="26"/>
          <w:lang w:bidi="fa-IR"/>
        </w:rPr>
        <w:t>Pham Le et al.</w:t>
      </w:r>
      <w:r>
        <w:rPr>
          <w:rFonts w:ascii="B Nazanin" w:hAnsi="B Nazanin" w:cs="B Nazanin"/>
          <w:szCs w:val="26"/>
          <w:rtl/>
          <w:lang w:bidi="fa-IR"/>
        </w:rPr>
        <w:t xml:space="preserve"> (2026).</w:t>
      </w:r>
    </w:p>
    <w:p w14:paraId="10EFE201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t>۳-۷. چالش‌های کنترل دسترسی در ارتباطات بلادرنگ (حدود ۲ صفحه)</w:t>
      </w:r>
    </w:p>
    <w:p w14:paraId="5DBDFBA1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b/>
          <w:bCs/>
          <w:szCs w:val="26"/>
          <w:rtl/>
          <w:lang w:bidi="fa-IR"/>
        </w:rPr>
        <w:t xml:space="preserve">هدف: </w:t>
      </w:r>
      <w:r>
        <w:rPr>
          <w:rFonts w:ascii="B Nazanin" w:hAnsi="B Nazanin" w:cs="B Nazanin"/>
          <w:szCs w:val="26"/>
          <w:rtl/>
          <w:lang w:bidi="fa-IR"/>
        </w:rPr>
        <w:t>جمع‌کردن نتایج ۳-۳ تا ۳-۶ در قالب چالش‌هایی که به‌ویژه در ارتباطات بلادرنگ حاد می‌شوند.</w:t>
      </w:r>
    </w:p>
    <w:p w14:paraId="5C6B4353" w14:textId="77777777" w:rsidR="00D115A9" w:rsidRDefault="00000000">
      <w:pPr>
        <w:keepNext/>
        <w:bidi/>
        <w:spacing w:before="160" w:after="60" w:line="300" w:lineRule="auto"/>
        <w:jc w:val="center"/>
      </w:pPr>
      <w:r>
        <w:rPr>
          <w:rFonts w:ascii="B Nazanin" w:hAnsi="B Nazanin" w:cs="B Nazanin"/>
          <w:b/>
          <w:bCs/>
          <w:sz w:val="21"/>
          <w:szCs w:val="22"/>
          <w:rtl/>
          <w:lang w:bidi="fa-IR"/>
        </w:rPr>
        <w:t>جدول راهنمای ۳: چالش‌های پیشنهادی برای زیربخش ۳-۷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600"/>
        <w:gridCol w:w="1300"/>
        <w:gridCol w:w="3200"/>
        <w:gridCol w:w="2250"/>
      </w:tblGrid>
      <w:tr w:rsidR="00D115A9" w14:paraId="2CA2782D" w14:textId="77777777">
        <w:trPr>
          <w:tblHeader/>
        </w:trPr>
        <w:tc>
          <w:tcPr>
            <w:tcW w:w="2600" w:type="dxa"/>
            <w:shd w:val="clear" w:color="auto" w:fill="E7ECF2"/>
          </w:tcPr>
          <w:p w14:paraId="1A02C050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چالش</w:t>
            </w:r>
          </w:p>
        </w:tc>
        <w:tc>
          <w:tcPr>
            <w:tcW w:w="1300" w:type="dxa"/>
            <w:shd w:val="clear" w:color="auto" w:fill="E7ECF2"/>
          </w:tcPr>
          <w:p w14:paraId="76988BE2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محل (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TB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3200" w:type="dxa"/>
            <w:shd w:val="clear" w:color="auto" w:fill="E7ECF2"/>
          </w:tcPr>
          <w:p w14:paraId="553B609A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چرا در ارتباطات بلادرنگ حادتر است</w:t>
            </w:r>
          </w:p>
        </w:tc>
        <w:tc>
          <w:tcPr>
            <w:tcW w:w="2250" w:type="dxa"/>
            <w:shd w:val="clear" w:color="auto" w:fill="E7ECF2"/>
          </w:tcPr>
          <w:p w14:paraId="61F5C564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منبع پیشنهادی</w:t>
            </w:r>
          </w:p>
        </w:tc>
      </w:tr>
      <w:tr w:rsidR="00D115A9" w14:paraId="30605F94" w14:textId="77777777">
        <w:tc>
          <w:tcPr>
            <w:tcW w:w="2600" w:type="dxa"/>
          </w:tcPr>
          <w:p w14:paraId="6FE930EF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سربار احراز هویت و ارزیابی سیاست</w:t>
            </w:r>
          </w:p>
        </w:tc>
        <w:tc>
          <w:tcPr>
            <w:tcW w:w="1300" w:type="dxa"/>
          </w:tcPr>
          <w:p w14:paraId="600731D0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TB1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TB3</w:t>
            </w:r>
          </w:p>
        </w:tc>
        <w:tc>
          <w:tcPr>
            <w:tcW w:w="3200" w:type="dxa"/>
          </w:tcPr>
          <w:p w14:paraId="0F0EF579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هزینه‌ی دست‌دهی و اتصال دوباره در شبکه‌ی ناپایدار؛ اثر بر دنباله‌ی توزیع تأخیر</w:t>
            </w:r>
          </w:p>
        </w:tc>
        <w:tc>
          <w:tcPr>
            <w:tcW w:w="2250" w:type="dxa"/>
          </w:tcPr>
          <w:p w14:paraId="4BEBCE91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Michaelides et al.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؛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Prantl et al.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؛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Seoane et al.</w:t>
            </w:r>
          </w:p>
        </w:tc>
      </w:tr>
      <w:tr w:rsidR="00D115A9" w14:paraId="0283C2C3" w14:textId="77777777">
        <w:tc>
          <w:tcPr>
            <w:tcW w:w="2600" w:type="dxa"/>
          </w:tcPr>
          <w:p w14:paraId="7C3F6E81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تجهیزات قدیمی و کم‌منبع بدون نقطه‌ی اعمال</w:t>
            </w:r>
          </w:p>
        </w:tc>
        <w:tc>
          <w:tcPr>
            <w:tcW w:w="1300" w:type="dxa"/>
          </w:tcPr>
          <w:p w14:paraId="287F3E7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TB1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TB2</w:t>
            </w:r>
          </w:p>
        </w:tc>
        <w:tc>
          <w:tcPr>
            <w:tcW w:w="3200" w:type="dxa"/>
          </w:tcPr>
          <w:p w14:paraId="348CB2A6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افزودن سازوکار سنگین ممکن نیست</w:t>
            </w:r>
          </w:p>
        </w:tc>
        <w:tc>
          <w:tcPr>
            <w:tcW w:w="2250" w:type="dxa"/>
          </w:tcPr>
          <w:p w14:paraId="14AE6C77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Martins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&amp;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Oliveira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؛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Ragothaman et al.</w:t>
            </w:r>
          </w:p>
        </w:tc>
      </w:tr>
      <w:tr w:rsidR="00D115A9" w14:paraId="01E22D71" w14:textId="77777777">
        <w:tc>
          <w:tcPr>
            <w:tcW w:w="2600" w:type="dxa"/>
          </w:tcPr>
          <w:p w14:paraId="13D368CB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تعارض رمزنگاری کامل با پایش ترافیک</w:t>
            </w:r>
          </w:p>
        </w:tc>
        <w:tc>
          <w:tcPr>
            <w:tcW w:w="1300" w:type="dxa"/>
          </w:tcPr>
          <w:p w14:paraId="3067DED5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TB1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TB2</w:t>
            </w:r>
          </w:p>
        </w:tc>
        <w:tc>
          <w:tcPr>
            <w:tcW w:w="3200" w:type="dxa"/>
          </w:tcPr>
          <w:p w14:paraId="1BDC6CD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سامانه‌های تشخیص نفوذ و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Historian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به ترافیک خوانا نیاز دارند</w:t>
            </w:r>
          </w:p>
        </w:tc>
        <w:tc>
          <w:tcPr>
            <w:tcW w:w="2250" w:type="dxa"/>
          </w:tcPr>
          <w:p w14:paraId="7249522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Clark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&amp;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Chothia</w:t>
            </w:r>
          </w:p>
        </w:tc>
      </w:tr>
      <w:tr w:rsidR="00D115A9" w14:paraId="7485F11C" w14:textId="77777777">
        <w:tc>
          <w:tcPr>
            <w:tcW w:w="2600" w:type="dxa"/>
          </w:tcPr>
          <w:p w14:paraId="5CF5F83A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هویت کاربر انسانی در برابر هویت دستگاه</w:t>
            </w:r>
          </w:p>
        </w:tc>
        <w:tc>
          <w:tcPr>
            <w:tcW w:w="1300" w:type="dxa"/>
          </w:tcPr>
          <w:p w14:paraId="6340C168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TB2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TB5</w:t>
            </w:r>
          </w:p>
        </w:tc>
        <w:tc>
          <w:tcPr>
            <w:tcW w:w="3200" w:type="dxa"/>
          </w:tcPr>
          <w:p w14:paraId="464898AF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فرمان باید به فرد پاسخ‌گو نسبت داده شود</w:t>
            </w:r>
          </w:p>
        </w:tc>
        <w:tc>
          <w:tcPr>
            <w:tcW w:w="2250" w:type="dxa"/>
          </w:tcPr>
          <w:p w14:paraId="6A164C9C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Martins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 &amp;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Oliveira</w:t>
            </w:r>
          </w:p>
        </w:tc>
      </w:tr>
      <w:tr w:rsidR="00D115A9" w14:paraId="7FF0D845" w14:textId="77777777">
        <w:tc>
          <w:tcPr>
            <w:tcW w:w="2600" w:type="dxa"/>
          </w:tcPr>
          <w:p w14:paraId="517FA35A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مقیاس‌پذیری و لغو اعتبارنامه‌ها</w:t>
            </w:r>
          </w:p>
        </w:tc>
        <w:tc>
          <w:tcPr>
            <w:tcW w:w="1300" w:type="dxa"/>
          </w:tcPr>
          <w:p w14:paraId="28AA87F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همه</w:t>
            </w:r>
          </w:p>
        </w:tc>
        <w:tc>
          <w:tcPr>
            <w:tcW w:w="3200" w:type="dxa"/>
          </w:tcPr>
          <w:p w14:paraId="312FDC03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لغو دیرهنگام پنجره‌ی حمله را باز می‌گذارد و لغو ناگهانی می‌تواند فرایند را مختل کند (نیازمند به تصمیم‌گیری نهایی)</w:t>
            </w:r>
          </w:p>
        </w:tc>
        <w:tc>
          <w:tcPr>
            <w:tcW w:w="2250" w:type="dxa"/>
          </w:tcPr>
          <w:p w14:paraId="14183689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Ragothaman et al.</w:t>
            </w:r>
          </w:p>
        </w:tc>
      </w:tr>
      <w:tr w:rsidR="00D115A9" w14:paraId="2CCC42C0" w14:textId="77777777">
        <w:tc>
          <w:tcPr>
            <w:tcW w:w="2600" w:type="dxa"/>
          </w:tcPr>
          <w:p w14:paraId="55A5B93D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اعتماد به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Gateway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و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Broker</w:t>
            </w:r>
          </w:p>
        </w:tc>
        <w:tc>
          <w:tcPr>
            <w:tcW w:w="1300" w:type="dxa"/>
          </w:tcPr>
          <w:p w14:paraId="51C041D6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TB1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TB3</w:t>
            </w: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،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TB4</w:t>
            </w:r>
          </w:p>
        </w:tc>
        <w:tc>
          <w:tcPr>
            <w:tcW w:w="3200" w:type="dxa"/>
          </w:tcPr>
          <w:p w14:paraId="57AA7F10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نقطه‌ی واحد شکست و افشای محتوا</w:t>
            </w:r>
          </w:p>
        </w:tc>
        <w:tc>
          <w:tcPr>
            <w:tcW w:w="2250" w:type="dxa"/>
          </w:tcPr>
          <w:p w14:paraId="42D97E3A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 xml:space="preserve">بخش ۲؛ </w:t>
            </w: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Lakshminarayana et al.</w:t>
            </w:r>
          </w:p>
        </w:tc>
      </w:tr>
      <w:tr w:rsidR="00D115A9" w14:paraId="15CC9366" w14:textId="77777777">
        <w:tc>
          <w:tcPr>
            <w:tcW w:w="2600" w:type="dxa"/>
          </w:tcPr>
          <w:p w14:paraId="332984C3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رفتار هنگام خطا در تصمیم دسترسی (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fail-open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 xml:space="preserve"> یا </w:t>
            </w:r>
            <w:r>
              <w:rPr>
                <w:rFonts w:ascii="Times New Roman" w:hAnsi="Times New Roman" w:cs="B Nazanin"/>
                <w:b/>
                <w:bCs/>
                <w:sz w:val="20"/>
                <w:szCs w:val="20"/>
                <w:lang w:bidi="fa-IR"/>
              </w:rPr>
              <w:t>fail-closed</w:t>
            </w: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)</w:t>
            </w:r>
          </w:p>
        </w:tc>
        <w:tc>
          <w:tcPr>
            <w:tcW w:w="1300" w:type="dxa"/>
          </w:tcPr>
          <w:p w14:paraId="5AD6EB7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مسیر فرمان</w:t>
            </w:r>
          </w:p>
        </w:tc>
        <w:tc>
          <w:tcPr>
            <w:tcW w:w="3200" w:type="dxa"/>
          </w:tcPr>
          <w:p w14:paraId="0214A1D5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تعارض امنیت با در دسترس بودن و ایمنی فرایند</w:t>
            </w:r>
          </w:p>
        </w:tc>
        <w:tc>
          <w:tcPr>
            <w:tcW w:w="2250" w:type="dxa"/>
          </w:tcPr>
          <w:p w14:paraId="6C911B2E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(نیازمند به تصمیم‌گیری نهایی)</w:t>
            </w:r>
          </w:p>
        </w:tc>
      </w:tr>
      <w:tr w:rsidR="00D115A9" w14:paraId="48921565" w14:textId="77777777">
        <w:tc>
          <w:tcPr>
            <w:tcW w:w="2600" w:type="dxa"/>
          </w:tcPr>
          <w:p w14:paraId="643F78CF" w14:textId="77777777" w:rsidR="00D115A9" w:rsidRDefault="00000000">
            <w:pPr>
              <w:bidi/>
              <w:spacing w:line="260" w:lineRule="auto"/>
              <w:jc w:val="center"/>
            </w:pPr>
            <w:r>
              <w:rPr>
                <w:rFonts w:ascii="B Nazanin" w:hAnsi="B Nazanin" w:cs="B Nazanin"/>
                <w:b/>
                <w:bCs/>
                <w:sz w:val="20"/>
                <w:szCs w:val="20"/>
                <w:rtl/>
                <w:lang w:bidi="fa-IR"/>
              </w:rPr>
              <w:t>سیاست‌های ایستا در محیط پویا</w:t>
            </w:r>
          </w:p>
        </w:tc>
        <w:tc>
          <w:tcPr>
            <w:tcW w:w="1300" w:type="dxa"/>
          </w:tcPr>
          <w:p w14:paraId="720A8559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همه</w:t>
            </w:r>
          </w:p>
        </w:tc>
        <w:tc>
          <w:tcPr>
            <w:tcW w:w="3200" w:type="dxa"/>
          </w:tcPr>
          <w:p w14:paraId="18AA939B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B Nazanin" w:hAnsi="B Nazanin" w:cs="B Nazanin"/>
                <w:sz w:val="20"/>
                <w:szCs w:val="20"/>
                <w:rtl/>
                <w:lang w:bidi="fa-IR"/>
              </w:rPr>
              <w:t>وضعیت تجهیز و زمینه در زمان اجرا تغییر می‌کند</w:t>
            </w:r>
          </w:p>
        </w:tc>
        <w:tc>
          <w:tcPr>
            <w:tcW w:w="2250" w:type="dxa"/>
          </w:tcPr>
          <w:p w14:paraId="62ED66EA" w14:textId="77777777" w:rsidR="00D115A9" w:rsidRDefault="00000000">
            <w:pPr>
              <w:bidi/>
              <w:spacing w:line="260" w:lineRule="auto"/>
              <w:jc w:val="right"/>
            </w:pPr>
            <w:r>
              <w:rPr>
                <w:rFonts w:ascii="Times New Roman" w:hAnsi="Times New Roman" w:cs="B Nazanin"/>
                <w:sz w:val="20"/>
                <w:szCs w:val="20"/>
                <w:lang w:bidi="fa-IR"/>
              </w:rPr>
              <w:t>Ragothaman et al.</w:t>
            </w:r>
          </w:p>
        </w:tc>
      </w:tr>
    </w:tbl>
    <w:p w14:paraId="274B9D3C" w14:textId="77777777" w:rsidR="00D115A9" w:rsidRDefault="00D115A9">
      <w:pPr>
        <w:bidi/>
        <w:spacing w:after="60" w:line="300" w:lineRule="auto"/>
        <w:jc w:val="both"/>
      </w:pPr>
    </w:p>
    <w:p w14:paraId="1ADBBC99" w14:textId="77777777" w:rsidR="00D115A9" w:rsidRDefault="00000000" w:rsidP="00F31A7F">
      <w:pPr>
        <w:pStyle w:val="Heading2"/>
        <w:bidi/>
        <w:spacing w:before="200" w:line="300" w:lineRule="auto"/>
      </w:pPr>
      <w:r>
        <w:rPr>
          <w:rFonts w:ascii="B Nazanin" w:hAnsi="B Nazanin" w:cs="B Nazanin"/>
          <w:sz w:val="26"/>
          <w:szCs w:val="28"/>
          <w:rtl/>
          <w:lang w:bidi="fa-IR"/>
        </w:rPr>
        <w:lastRenderedPageBreak/>
        <w:t>۳-۸. جمع‌بندی و گذار به بخش ۴ (حدود نیم صفحه)</w:t>
      </w:r>
    </w:p>
    <w:p w14:paraId="7ADEFD17" w14:textId="387B900D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شکاف‌ها در قالب چند نیاز بیان شوند (نیازمند به تصمیم‌گیری نهایی): کنترل دسترسی که به اعتماد کامل به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وابسته نباشد؛ حفظ اصالت مبدأ از حسگر تا مشترک؛ سیاست‌های پویا و آگاه از زمینه و اعتماد؛ و سازوکارهای سبک متناسب با کران‌های بلادرنگ.</w:t>
      </w:r>
    </w:p>
    <w:p w14:paraId="57A04E72" w14:textId="04691E16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وارد جزئیات راهکارها (</w:t>
      </w:r>
      <w:r w:rsidRPr="00F31A7F">
        <w:rPr>
          <w:rFonts w:ascii="Times New Roman" w:hAnsi="Times New Roman" w:cs="B Nazanin"/>
          <w:szCs w:val="26"/>
          <w:lang w:bidi="fa-IR"/>
        </w:rPr>
        <w:t>Zero Trust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، </w:t>
      </w:r>
      <w:r w:rsidRPr="00F31A7F">
        <w:rPr>
          <w:rFonts w:ascii="Times New Roman" w:hAnsi="Times New Roman" w:cs="B Nazanin"/>
          <w:szCs w:val="26"/>
          <w:lang w:bidi="fa-IR"/>
        </w:rPr>
        <w:t>CP-ABE</w:t>
      </w:r>
      <w:r w:rsidRPr="00F31A7F">
        <w:rPr>
          <w:rFonts w:ascii="B Nazanin" w:hAnsi="B Nazanin" w:cs="B Nazanin"/>
          <w:szCs w:val="26"/>
          <w:rtl/>
          <w:lang w:bidi="fa-IR"/>
        </w:rPr>
        <w:t>، مدل‌های اعتماد پویا، بلاکچین) نشود؛ فقط به بخش ۴ ارجاع دهد.</w:t>
      </w:r>
    </w:p>
    <w:p w14:paraId="3BEE4541" w14:textId="77777777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t>ه. تصمیم‌هایی که پیش از نوشتن باید گرفته شود</w:t>
      </w:r>
    </w:p>
    <w:p w14:paraId="3EE3A049" w14:textId="14921598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روش مدل‌سازی تهدید: </w:t>
      </w:r>
      <w:r w:rsidRPr="00F31A7F">
        <w:rPr>
          <w:rFonts w:ascii="Times New Roman" w:hAnsi="Times New Roman" w:cs="B Nazanin"/>
          <w:szCs w:val="26"/>
          <w:lang w:bidi="fa-IR"/>
        </w:rPr>
        <w:t>STRIDE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یا روش دیگر.</w:t>
      </w:r>
    </w:p>
    <w:p w14:paraId="3D88E9E9" w14:textId="3CC85267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مدل مهاجم برای </w:t>
      </w:r>
      <w:r w:rsidRPr="00F31A7F">
        <w:rPr>
          <w:rFonts w:ascii="Times New Roman" w:hAnsi="Times New Roman" w:cs="B Nazanin"/>
          <w:szCs w:val="26"/>
          <w:lang w:bidi="fa-IR"/>
        </w:rPr>
        <w:t>Broker</w:t>
      </w:r>
      <w:r w:rsidRPr="00F31A7F">
        <w:rPr>
          <w:rFonts w:ascii="B Nazanin" w:hAnsi="B Nazanin" w:cs="B Nazanin"/>
          <w:szCs w:val="26"/>
          <w:rtl/>
          <w:lang w:bidi="fa-IR"/>
        </w:rPr>
        <w:t>: درستکار اما کنجکاو، مخرب از نظر در دسترس بودن، یا هر دو؛ هم‌راستا با تعریفی که بخش ۴ به کار می‌برد.</w:t>
      </w:r>
    </w:p>
    <w:p w14:paraId="48825DDF" w14:textId="225E2044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عمق پوشش مدل‌های کنترل دسترسی  در بخش ۳ در برابر بخش ۴.</w:t>
      </w:r>
    </w:p>
    <w:p w14:paraId="4C57FFC4" w14:textId="0FA16887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رفتار پیش‌فرض مسیر فرمان هنگام خطا در تصمیم دسترسی: </w:t>
      </w:r>
      <w:r w:rsidRPr="00F31A7F">
        <w:rPr>
          <w:rFonts w:ascii="Times New Roman" w:hAnsi="Times New Roman" w:cs="B Nazanin"/>
          <w:szCs w:val="26"/>
          <w:lang w:bidi="fa-IR"/>
        </w:rPr>
        <w:t>fail-open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یا </w:t>
      </w:r>
      <w:r w:rsidRPr="00F31A7F">
        <w:rPr>
          <w:rFonts w:ascii="Times New Roman" w:hAnsi="Times New Roman" w:cs="B Nazanin"/>
          <w:szCs w:val="26"/>
          <w:lang w:bidi="fa-IR"/>
        </w:rPr>
        <w:t>fail-closed.</w:t>
      </w:r>
    </w:p>
    <w:p w14:paraId="66FBCE2E" w14:textId="1C31E2CC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تطبیق یا عدم تطبیق </w:t>
      </w:r>
      <w:r w:rsidRPr="00F31A7F">
        <w:rPr>
          <w:rFonts w:ascii="Times New Roman" w:hAnsi="Times New Roman" w:cs="B Nazanin"/>
          <w:szCs w:val="26"/>
          <w:lang w:bidi="fa-IR"/>
        </w:rPr>
        <w:t>TB1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تا </w:t>
      </w:r>
      <w:r w:rsidRPr="00F31A7F">
        <w:rPr>
          <w:rFonts w:ascii="Times New Roman" w:hAnsi="Times New Roman" w:cs="B Nazanin"/>
          <w:szCs w:val="26"/>
          <w:lang w:bidi="fa-IR"/>
        </w:rPr>
        <w:t>TB5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با ناحیه‌ها و مجراهای </w:t>
      </w:r>
      <w:r w:rsidRPr="00F31A7F">
        <w:rPr>
          <w:rFonts w:ascii="Times New Roman" w:hAnsi="Times New Roman" w:cs="B Nazanin"/>
          <w:szCs w:val="26"/>
          <w:lang w:bidi="fa-IR"/>
        </w:rPr>
        <w:t>IEC 62443.</w:t>
      </w:r>
    </w:p>
    <w:p w14:paraId="65219B97" w14:textId="58EC80DB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شیوه‌ی نوشتن اصطلاحات (</w:t>
      </w:r>
      <w:r w:rsidRPr="00F31A7F">
        <w:rPr>
          <w:rFonts w:ascii="Times New Roman" w:hAnsi="Times New Roman" w:cs="B Nazanin"/>
          <w:szCs w:val="26"/>
          <w:lang w:bidi="fa-IR"/>
        </w:rPr>
        <w:t>Broker/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بروکر/کارگزار، </w:t>
      </w:r>
      <w:r w:rsidRPr="00F31A7F">
        <w:rPr>
          <w:rFonts w:ascii="Times New Roman" w:hAnsi="Times New Roman" w:cs="B Nazanin"/>
          <w:szCs w:val="26"/>
          <w:lang w:bidi="fa-IR"/>
        </w:rPr>
        <w:t>Gateway/</w:t>
      </w:r>
      <w:r w:rsidRPr="00F31A7F">
        <w:rPr>
          <w:rFonts w:ascii="B Nazanin" w:hAnsi="B Nazanin" w:cs="B Nazanin"/>
          <w:szCs w:val="26"/>
          <w:rtl/>
          <w:lang w:bidi="fa-IR"/>
        </w:rPr>
        <w:t>دروازه) که در مرحله‌ی یکدست‌سازی کل سند نهایی می‌شود.</w:t>
      </w:r>
    </w:p>
    <w:p w14:paraId="555AEABD" w14:textId="68D3C32A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شماره‌گذاری جدول‌ها و شکل‌ها: ادامه از بخش ۲ (از جدول ۶ و شکل ۴).</w:t>
      </w:r>
    </w:p>
    <w:p w14:paraId="1BEC2A4E" w14:textId="77777777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t>و. قراردادهای نگارشی (هماهنگ با بخش ۲)</w:t>
      </w:r>
    </w:p>
    <w:p w14:paraId="4E1FBD6A" w14:textId="66C6601F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بدون ارجاع درون‌متنی؛ فهرست منابع در پایان بخش با قالب </w:t>
      </w:r>
      <w:r w:rsidRPr="00F31A7F">
        <w:rPr>
          <w:rFonts w:ascii="Times New Roman" w:hAnsi="Times New Roman" w:cs="B Nazanin"/>
          <w:szCs w:val="26"/>
          <w:lang w:bidi="fa-IR"/>
        </w:rPr>
        <w:t>APA 7.</w:t>
      </w:r>
    </w:p>
    <w:p w14:paraId="32B2657F" w14:textId="0F6B634D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ترجیح منابع پنج سال اخیر؛ منابع قدیمی‌تر فقط برای تعریف‌های مرجع (مانند </w:t>
      </w:r>
      <w:r w:rsidRPr="00F31A7F">
        <w:rPr>
          <w:rFonts w:ascii="Times New Roman" w:hAnsi="Times New Roman" w:cs="B Nazanin"/>
          <w:szCs w:val="26"/>
          <w:lang w:bidi="fa-IR"/>
        </w:rPr>
        <w:t>NIST SP 800-162</w:t>
      </w:r>
      <w:r w:rsidRPr="00F31A7F">
        <w:rPr>
          <w:rFonts w:ascii="B Nazanin" w:hAnsi="B Nazanin" w:cs="B Nazanin"/>
          <w:szCs w:val="26"/>
          <w:rtl/>
          <w:lang w:bidi="fa-IR"/>
        </w:rPr>
        <w:t>).</w:t>
      </w:r>
    </w:p>
    <w:p w14:paraId="00EC98C0" w14:textId="217B279F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هر ادعای طراحی یا تحلیلی بدون منبع با «(نیازمند به تصمیم‌گیری نهایی)» علامت بخورد.</w:t>
      </w:r>
    </w:p>
    <w:p w14:paraId="0FACA88A" w14:textId="3B308180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هر اختصار در نخستین کاربرد پانویس داشته باشد.</w:t>
      </w:r>
    </w:p>
    <w:p w14:paraId="6DCA5EBE" w14:textId="59203FB6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 xml:space="preserve">به‌جای تکرار، به </w:t>
      </w:r>
      <w:r w:rsidRPr="00F31A7F">
        <w:rPr>
          <w:rFonts w:ascii="Times New Roman" w:hAnsi="Times New Roman" w:cs="B Nazanin"/>
          <w:szCs w:val="26"/>
          <w:lang w:bidi="fa-IR"/>
        </w:rPr>
        <w:t>TB1</w:t>
      </w:r>
      <w:r w:rsidRPr="00F31A7F">
        <w:rPr>
          <w:rFonts w:ascii="B Nazanin" w:hAnsi="B Nazanin" w:cs="B Nazanin"/>
          <w:szCs w:val="26"/>
          <w:rtl/>
          <w:lang w:bidi="fa-IR"/>
        </w:rPr>
        <w:t xml:space="preserve"> تا </w:t>
      </w:r>
      <w:r w:rsidRPr="00F31A7F">
        <w:rPr>
          <w:rFonts w:ascii="Times New Roman" w:hAnsi="Times New Roman" w:cs="B Nazanin"/>
          <w:szCs w:val="26"/>
          <w:lang w:bidi="fa-IR"/>
        </w:rPr>
        <w:t>TB5</w:t>
      </w:r>
      <w:r w:rsidRPr="00F31A7F">
        <w:rPr>
          <w:rFonts w:ascii="B Nazanin" w:hAnsi="B Nazanin" w:cs="B Nazanin"/>
          <w:szCs w:val="26"/>
          <w:rtl/>
          <w:lang w:bidi="fa-IR"/>
        </w:rPr>
        <w:t>، شکل ۲ و ۳ و جدول ۴ بخش ۲ ارجاع داده شود.</w:t>
      </w:r>
    </w:p>
    <w:p w14:paraId="07A1959A" w14:textId="5F622A45" w:rsidR="00D115A9" w:rsidRDefault="00000000" w:rsidP="00F31A7F">
      <w:pPr>
        <w:bidi/>
        <w:spacing w:after="60" w:line="300" w:lineRule="auto"/>
        <w:ind w:left="283"/>
        <w:jc w:val="both"/>
      </w:pPr>
      <w:r w:rsidRPr="00F31A7F">
        <w:rPr>
          <w:rFonts w:ascii="B Nazanin" w:hAnsi="B Nazanin" w:cs="B Nazanin"/>
          <w:szCs w:val="26"/>
          <w:rtl/>
          <w:lang w:bidi="fa-IR"/>
        </w:rPr>
        <w:t>عددها و نتایج تجربی فقط پس از بررسی متن کامل منبع نقل شوند.</w:t>
      </w:r>
    </w:p>
    <w:p w14:paraId="76C1A2AB" w14:textId="4656570A" w:rsidR="00D115A9" w:rsidRDefault="00000000" w:rsidP="00F31A7F">
      <w:pPr>
        <w:pStyle w:val="Heading1"/>
        <w:bidi/>
        <w:spacing w:before="280" w:after="100" w:line="300" w:lineRule="auto"/>
      </w:pPr>
      <w:r>
        <w:rPr>
          <w:rFonts w:ascii="B Nazanin" w:hAnsi="B Nazanin" w:cs="B Nazanin"/>
          <w:sz w:val="30"/>
          <w:szCs w:val="32"/>
          <w:rtl/>
          <w:lang w:bidi="fa-IR"/>
        </w:rPr>
        <w:lastRenderedPageBreak/>
        <w:t xml:space="preserve"> منابع پیشنهادی</w:t>
      </w:r>
    </w:p>
    <w:p w14:paraId="7D8A6856" w14:textId="7955F358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szCs w:val="26"/>
          <w:rtl/>
          <w:lang w:bidi="fa-IR"/>
        </w:rPr>
        <w:t xml:space="preserve">منابع جدید برای بخش ۳ </w:t>
      </w:r>
    </w:p>
    <w:p w14:paraId="41D1B2F0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Hintaw, A. J., Manickam, S., Aboalmaaly, M. F., &amp; Karuppayah, S. (2023). MQTT vulnerabilities, attack vectors and solutions in the Internet of Things (IoT).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IETE Journal of Research, 69</w:t>
      </w:r>
      <w:r>
        <w:rPr>
          <w:rFonts w:ascii="Times New Roman" w:hAnsi="Times New Roman" w:cs="Times New Roman"/>
          <w:sz w:val="21"/>
          <w:szCs w:val="22"/>
          <w:lang w:bidi="fa-IR"/>
        </w:rPr>
        <w:t>(6), 3368–3397. https://doi.org/10.1080/03772063.2021.1912651</w:t>
      </w:r>
      <w:r>
        <w:rPr>
          <w:rFonts w:ascii="Times New Roman" w:hAnsi="Times New Roman" w:cs="Times New Roman"/>
          <w:color w:val="9A3412"/>
          <w:sz w:val="20"/>
          <w:szCs w:val="20"/>
          <w:lang w:bidi="fa-IR"/>
        </w:rPr>
        <w:t xml:space="preserve"> [انتشار آنلاین 2021]</w:t>
      </w:r>
    </w:p>
    <w:p w14:paraId="24CA793B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Hu, V. C., Ferraiolo, D., Kuhn, R., Schnitzer, A., Sandlin, K., Miller, R., &amp; Scarfone, K. (2014).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Guide to attribute based access control (ABAC) definition and considerations</w:t>
      </w:r>
      <w:r>
        <w:rPr>
          <w:rFonts w:ascii="Times New Roman" w:hAnsi="Times New Roman" w:cs="Times New Roman"/>
          <w:sz w:val="21"/>
          <w:szCs w:val="22"/>
          <w:lang w:bidi="fa-IR"/>
        </w:rPr>
        <w:t xml:space="preserve"> (NIST SP 800-162). NIST. https://doi.org/10.6028/NIST.SP.800-162</w:t>
      </w:r>
      <w:r>
        <w:rPr>
          <w:rFonts w:ascii="Times New Roman" w:hAnsi="Times New Roman" w:cs="Times New Roman"/>
          <w:color w:val="9A3412"/>
          <w:sz w:val="20"/>
          <w:szCs w:val="20"/>
          <w:lang w:bidi="fa-IR"/>
        </w:rPr>
        <w:t xml:space="preserve"> [قدیمی‌تر از پنج سال؛ مرجع تعریف]</w:t>
      </w:r>
    </w:p>
    <w:p w14:paraId="06999053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International Electrotechnical Commission. (2020).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Security for industrial automation and control systems – Part 3-2: Security risk assessment for system design</w:t>
      </w:r>
      <w:r>
        <w:rPr>
          <w:rFonts w:ascii="Times New Roman" w:hAnsi="Times New Roman" w:cs="Times New Roman"/>
          <w:sz w:val="21"/>
          <w:szCs w:val="22"/>
          <w:lang w:bidi="fa-IR"/>
        </w:rPr>
        <w:t xml:space="preserve"> (IEC 62443-3-2:2020). IEC.</w:t>
      </w:r>
    </w:p>
    <w:p w14:paraId="4C4262FE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Michaelides, M., Sengul, C., &amp; Patras, P. (2022). An experimental evaluation of MQTT authentication and authorization in IoT. In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Proceedings of the 15th ACM Workshop on Wireless Network Testbeds, Experimental evaluation &amp; CHaracterization (WiNTECH ’21)</w:t>
      </w:r>
      <w:r>
        <w:rPr>
          <w:rFonts w:ascii="Times New Roman" w:hAnsi="Times New Roman" w:cs="Times New Roman"/>
          <w:sz w:val="21"/>
          <w:szCs w:val="22"/>
          <w:lang w:bidi="fa-IR"/>
        </w:rPr>
        <w:t xml:space="preserve"> (pp. 69–76). ACM. https://doi.org/10.1145/3477086.3480838</w:t>
      </w:r>
      <w:r>
        <w:rPr>
          <w:rFonts w:ascii="Times New Roman" w:hAnsi="Times New Roman" w:cs="Times New Roman"/>
          <w:color w:val="9A3412"/>
          <w:sz w:val="20"/>
          <w:szCs w:val="20"/>
          <w:lang w:bidi="fa-IR"/>
        </w:rPr>
        <w:t xml:space="preserve"> [سال 2021 یا 2022 نیازمند بررسی]</w:t>
      </w:r>
    </w:p>
    <w:p w14:paraId="29DC95DF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Ragothaman, K., Wang, Y., Rimal, B., &amp; Lawrence, M. (2023). Access control for IoT: A survey of existing research, dynamic policies and future directions.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Sensors, 23</w:t>
      </w:r>
      <w:r>
        <w:rPr>
          <w:rFonts w:ascii="Times New Roman" w:hAnsi="Times New Roman" w:cs="Times New Roman"/>
          <w:sz w:val="21"/>
          <w:szCs w:val="22"/>
          <w:lang w:bidi="fa-IR"/>
        </w:rPr>
        <w:t>(4), Article 1805. https://doi.org/10.3390/s23041805</w:t>
      </w:r>
      <w:r>
        <w:rPr>
          <w:rFonts w:ascii="Times New Roman" w:hAnsi="Times New Roman" w:cs="Times New Roman"/>
          <w:color w:val="9A3412"/>
          <w:sz w:val="20"/>
          <w:szCs w:val="20"/>
          <w:lang w:bidi="fa-IR"/>
        </w:rPr>
        <w:t xml:space="preserve"> [عنوان دقیق نیازمند بررسی]</w:t>
      </w:r>
    </w:p>
    <w:p w14:paraId="0E6E5F8F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Shostack, A. (2014).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Threat modeling: Designing for security</w:t>
      </w:r>
      <w:r>
        <w:rPr>
          <w:rFonts w:ascii="Times New Roman" w:hAnsi="Times New Roman" w:cs="Times New Roman"/>
          <w:sz w:val="21"/>
          <w:szCs w:val="22"/>
          <w:lang w:bidi="fa-IR"/>
        </w:rPr>
        <w:t>. Wiley.</w:t>
      </w:r>
      <w:r>
        <w:rPr>
          <w:rFonts w:ascii="Times New Roman" w:hAnsi="Times New Roman" w:cs="Times New Roman"/>
          <w:color w:val="9A3412"/>
          <w:sz w:val="20"/>
          <w:szCs w:val="20"/>
          <w:lang w:bidi="fa-IR"/>
        </w:rPr>
        <w:t xml:space="preserve"> [فقط در صورت انتخاب این روش؛ قدیمی‌تر از پنج سال]</w:t>
      </w:r>
    </w:p>
    <w:p w14:paraId="3B54B8BB" w14:textId="77777777" w:rsidR="00D115A9" w:rsidRDefault="00000000">
      <w:pPr>
        <w:spacing w:after="120" w:line="264" w:lineRule="auto"/>
        <w:ind w:left="567" w:hanging="567"/>
      </w:pPr>
      <w:r>
        <w:rPr>
          <w:rFonts w:ascii="Times New Roman" w:hAnsi="Times New Roman" w:cs="Times New Roman"/>
          <w:sz w:val="21"/>
          <w:szCs w:val="22"/>
          <w:lang w:bidi="fa-IR"/>
        </w:rPr>
        <w:t xml:space="preserve">Stouffer, K., Pease, M., Tang, C., Zimmerman, T., Pillitteri, V., Lightman, S., Hahn, A., Saravia, S., Sherule, A., &amp; Thompson, M. (2023). </w:t>
      </w:r>
      <w:r>
        <w:rPr>
          <w:rFonts w:ascii="Times New Roman" w:hAnsi="Times New Roman" w:cs="Times New Roman"/>
          <w:i/>
          <w:iCs/>
          <w:sz w:val="21"/>
          <w:szCs w:val="22"/>
          <w:lang w:bidi="fa-IR"/>
        </w:rPr>
        <w:t>Guide to operational technology (OT) security</w:t>
      </w:r>
      <w:r>
        <w:rPr>
          <w:rFonts w:ascii="Times New Roman" w:hAnsi="Times New Roman" w:cs="Times New Roman"/>
          <w:sz w:val="21"/>
          <w:szCs w:val="22"/>
          <w:lang w:bidi="fa-IR"/>
        </w:rPr>
        <w:t xml:space="preserve"> (NIST SP 800-82r3). NIST. https://doi.org/10.6028/NIST.SP.800-82r3</w:t>
      </w:r>
    </w:p>
    <w:p w14:paraId="3C3FB839" w14:textId="77777777" w:rsidR="00D115A9" w:rsidRDefault="00000000">
      <w:pPr>
        <w:bidi/>
        <w:spacing w:after="120" w:line="300" w:lineRule="auto"/>
        <w:jc w:val="both"/>
      </w:pPr>
      <w:r>
        <w:rPr>
          <w:rFonts w:ascii="B Nazanin" w:hAnsi="B Nazanin" w:cs="B Nazanin"/>
          <w:szCs w:val="26"/>
          <w:rtl/>
          <w:lang w:bidi="fa-IR"/>
        </w:rPr>
        <w:t>منابعی که از فهرست بخش ۲ دوباره استفاده می‌شوند (مشخصات کامل در فهرست منابع بخش ۲):</w:t>
      </w:r>
    </w:p>
    <w:p w14:paraId="738B37D3" w14:textId="77777777" w:rsidR="00D115A9" w:rsidRDefault="00000000">
      <w:pPr>
        <w:spacing w:after="120" w:line="264" w:lineRule="auto"/>
      </w:pPr>
      <w:r>
        <w:rPr>
          <w:rFonts w:ascii="Times New Roman" w:hAnsi="Times New Roman" w:cs="Times New Roman"/>
          <w:sz w:val="21"/>
          <w:szCs w:val="22"/>
          <w:lang w:bidi="fa-IR"/>
        </w:rPr>
        <w:t>OASIS (2019); Eclipse Foundation (2022); Innamorati et al. (2026); Laghari et al. (2024); Lakshminarayana et al. (2024); Pham Le et al. (2026); Prantl et al. (2021); Seoane et al. (2021); Martins &amp; Oliveira (2022); Clark &amp; Chothia (2026); BSI (2022); Luo et al. (2021); Roldán-Gómez et al. (2022); Lin et al. (2025).</w:t>
      </w:r>
    </w:p>
    <w:sectPr w:rsidR="00D115A9">
      <w:footnotePr>
        <w:numRestart w:val="eachPage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6C52F" w14:textId="77777777" w:rsidR="00053488" w:rsidRDefault="00053488" w:rsidP="00122534">
      <w:pPr>
        <w:spacing w:after="0" w:line="240" w:lineRule="auto"/>
      </w:pPr>
      <w:r>
        <w:separator/>
      </w:r>
    </w:p>
  </w:endnote>
  <w:endnote w:type="continuationSeparator" w:id="0">
    <w:p w14:paraId="1800989E" w14:textId="77777777" w:rsidR="00053488" w:rsidRDefault="00053488" w:rsidP="001225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C6302" w14:textId="77777777" w:rsidR="00053488" w:rsidRDefault="00053488" w:rsidP="00122534">
      <w:pPr>
        <w:spacing w:after="0" w:line="240" w:lineRule="auto"/>
      </w:pPr>
      <w:r>
        <w:separator/>
      </w:r>
    </w:p>
  </w:footnote>
  <w:footnote w:type="continuationSeparator" w:id="0">
    <w:p w14:paraId="27B11ABB" w14:textId="77777777" w:rsidR="00053488" w:rsidRDefault="00053488" w:rsidP="001225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3B54"/>
    <w:multiLevelType w:val="hybridMultilevel"/>
    <w:tmpl w:val="90E8860C"/>
    <w:lvl w:ilvl="0" w:tplc="0E46FC4A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 w15:restartNumberingAfterBreak="0">
    <w:nsid w:val="07753EB4"/>
    <w:multiLevelType w:val="hybridMultilevel"/>
    <w:tmpl w:val="7E5C1E86"/>
    <w:lvl w:ilvl="0" w:tplc="0E46FC4A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80C7045"/>
    <w:multiLevelType w:val="hybridMultilevel"/>
    <w:tmpl w:val="A3A21426"/>
    <w:lvl w:ilvl="0" w:tplc="31F0228C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" w15:restartNumberingAfterBreak="0">
    <w:nsid w:val="0F94553A"/>
    <w:multiLevelType w:val="hybridMultilevel"/>
    <w:tmpl w:val="B748D508"/>
    <w:lvl w:ilvl="0" w:tplc="0E46FC4A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" w15:restartNumberingAfterBreak="0">
    <w:nsid w:val="1C3727C6"/>
    <w:multiLevelType w:val="hybridMultilevel"/>
    <w:tmpl w:val="06A2E112"/>
    <w:lvl w:ilvl="0" w:tplc="31F0228C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1E0C7137"/>
    <w:multiLevelType w:val="hybridMultilevel"/>
    <w:tmpl w:val="1BCCE1B4"/>
    <w:lvl w:ilvl="0" w:tplc="C3484D6E">
      <w:numFmt w:val="bullet"/>
      <w:lvlText w:val="•"/>
      <w:lvlJc w:val="left"/>
      <w:pPr>
        <w:ind w:left="1262" w:hanging="696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6" w15:restartNumberingAfterBreak="0">
    <w:nsid w:val="207B38D7"/>
    <w:multiLevelType w:val="hybridMultilevel"/>
    <w:tmpl w:val="BC48B74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7" w15:restartNumberingAfterBreak="0">
    <w:nsid w:val="22392A78"/>
    <w:multiLevelType w:val="hybridMultilevel"/>
    <w:tmpl w:val="B944E13A"/>
    <w:lvl w:ilvl="0" w:tplc="31F0228C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 w15:restartNumberingAfterBreak="0">
    <w:nsid w:val="293C22FD"/>
    <w:multiLevelType w:val="hybridMultilevel"/>
    <w:tmpl w:val="1D3C062E"/>
    <w:lvl w:ilvl="0" w:tplc="0E46FC4A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2DA84A73"/>
    <w:multiLevelType w:val="multilevel"/>
    <w:tmpl w:val="BE50AA28"/>
    <w:lvl w:ilvl="0">
      <w:start w:val="1"/>
      <w:numFmt w:val="decimal"/>
      <w:lvlText w:val="%1-"/>
      <w:lvlJc w:val="left"/>
      <w:pPr>
        <w:ind w:left="648" w:hanging="648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-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-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-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-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-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-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-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6504853"/>
    <w:multiLevelType w:val="hybridMultilevel"/>
    <w:tmpl w:val="061CCAC6"/>
    <w:lvl w:ilvl="0" w:tplc="0E46FC4A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1" w15:restartNumberingAfterBreak="0">
    <w:nsid w:val="39EC43B5"/>
    <w:multiLevelType w:val="hybridMultilevel"/>
    <w:tmpl w:val="91A049E0"/>
    <w:lvl w:ilvl="0" w:tplc="0E46FC4A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3AED4B38"/>
    <w:multiLevelType w:val="hybridMultilevel"/>
    <w:tmpl w:val="B4FCDE98"/>
    <w:lvl w:ilvl="0" w:tplc="0E46FC4A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3EDD5627"/>
    <w:multiLevelType w:val="hybridMultilevel"/>
    <w:tmpl w:val="A38250B0"/>
    <w:lvl w:ilvl="0" w:tplc="A22E2BF2">
      <w:start w:val="1"/>
      <w:numFmt w:val="decimal"/>
      <w:lvlText w:val="%1 - 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E03681"/>
    <w:multiLevelType w:val="hybridMultilevel"/>
    <w:tmpl w:val="15AA703A"/>
    <w:lvl w:ilvl="0" w:tplc="0E46FC4A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447A4EA9"/>
    <w:multiLevelType w:val="hybridMultilevel"/>
    <w:tmpl w:val="BDB66380"/>
    <w:lvl w:ilvl="0" w:tplc="31F0228C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6" w15:restartNumberingAfterBreak="0">
    <w:nsid w:val="48F17BC7"/>
    <w:multiLevelType w:val="hybridMultilevel"/>
    <w:tmpl w:val="3B40678A"/>
    <w:lvl w:ilvl="0" w:tplc="53F8C0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7457F"/>
    <w:multiLevelType w:val="hybridMultilevel"/>
    <w:tmpl w:val="D1B0FA30"/>
    <w:lvl w:ilvl="0" w:tplc="0E46FC4A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8" w15:restartNumberingAfterBreak="0">
    <w:nsid w:val="595611BB"/>
    <w:multiLevelType w:val="hybridMultilevel"/>
    <w:tmpl w:val="BF1AB91A"/>
    <w:lvl w:ilvl="0" w:tplc="31F0228C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9" w15:restartNumberingAfterBreak="0">
    <w:nsid w:val="5A02589A"/>
    <w:multiLevelType w:val="hybridMultilevel"/>
    <w:tmpl w:val="64044F2E"/>
    <w:lvl w:ilvl="0" w:tplc="0E46FC4A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5A3C2E71"/>
    <w:multiLevelType w:val="multilevel"/>
    <w:tmpl w:val="CEF2BFE0"/>
    <w:lvl w:ilvl="0">
      <w:start w:val="2"/>
      <w:numFmt w:val="decimal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632014B7"/>
    <w:multiLevelType w:val="multilevel"/>
    <w:tmpl w:val="EE409040"/>
    <w:lvl w:ilvl="0">
      <w:start w:val="1"/>
      <w:numFmt w:val="decimal"/>
      <w:lvlText w:val="%1-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645C6B2C"/>
    <w:multiLevelType w:val="hybridMultilevel"/>
    <w:tmpl w:val="881400B4"/>
    <w:lvl w:ilvl="0" w:tplc="0E46FC4A">
      <w:numFmt w:val="bullet"/>
      <w:lvlText w:val="•"/>
      <w:lvlJc w:val="left"/>
      <w:pPr>
        <w:ind w:left="926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3" w15:restartNumberingAfterBreak="0">
    <w:nsid w:val="6EF90665"/>
    <w:multiLevelType w:val="hybridMultilevel"/>
    <w:tmpl w:val="E26E15E0"/>
    <w:lvl w:ilvl="0" w:tplc="C3484D6E">
      <w:numFmt w:val="bullet"/>
      <w:lvlText w:val="•"/>
      <w:lvlJc w:val="left"/>
      <w:pPr>
        <w:ind w:left="979" w:hanging="696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4" w15:restartNumberingAfterBreak="0">
    <w:nsid w:val="7BAF32B9"/>
    <w:multiLevelType w:val="hybridMultilevel"/>
    <w:tmpl w:val="4A52A902"/>
    <w:lvl w:ilvl="0" w:tplc="31F0228C">
      <w:numFmt w:val="bullet"/>
      <w:lvlText w:val="•"/>
      <w:lvlJc w:val="left"/>
      <w:pPr>
        <w:ind w:left="643" w:hanging="360"/>
      </w:pPr>
      <w:rPr>
        <w:rFonts w:ascii="Arial" w:eastAsiaTheme="minorHAnsi" w:hAnsi="Arial" w:cs="Arial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533613216">
    <w:abstractNumId w:val="16"/>
  </w:num>
  <w:num w:numId="2" w16cid:durableId="567885856">
    <w:abstractNumId w:val="13"/>
  </w:num>
  <w:num w:numId="3" w16cid:durableId="1227690876">
    <w:abstractNumId w:val="21"/>
  </w:num>
  <w:num w:numId="4" w16cid:durableId="954219020">
    <w:abstractNumId w:val="9"/>
  </w:num>
  <w:num w:numId="5" w16cid:durableId="932779786">
    <w:abstractNumId w:val="20"/>
  </w:num>
  <w:num w:numId="6" w16cid:durableId="1351178746">
    <w:abstractNumId w:val="6"/>
  </w:num>
  <w:num w:numId="7" w16cid:durableId="1239901150">
    <w:abstractNumId w:val="2"/>
  </w:num>
  <w:num w:numId="8" w16cid:durableId="1686786589">
    <w:abstractNumId w:val="18"/>
  </w:num>
  <w:num w:numId="9" w16cid:durableId="144668258">
    <w:abstractNumId w:val="7"/>
  </w:num>
  <w:num w:numId="10" w16cid:durableId="1534805714">
    <w:abstractNumId w:val="4"/>
  </w:num>
  <w:num w:numId="11" w16cid:durableId="1581869177">
    <w:abstractNumId w:val="24"/>
  </w:num>
  <w:num w:numId="12" w16cid:durableId="315647010">
    <w:abstractNumId w:val="15"/>
  </w:num>
  <w:num w:numId="13" w16cid:durableId="1144003184">
    <w:abstractNumId w:val="23"/>
  </w:num>
  <w:num w:numId="14" w16cid:durableId="1127357331">
    <w:abstractNumId w:val="5"/>
  </w:num>
  <w:num w:numId="15" w16cid:durableId="2065524222">
    <w:abstractNumId w:val="19"/>
  </w:num>
  <w:num w:numId="16" w16cid:durableId="1823429332">
    <w:abstractNumId w:val="22"/>
  </w:num>
  <w:num w:numId="17" w16cid:durableId="1209687903">
    <w:abstractNumId w:val="14"/>
  </w:num>
  <w:num w:numId="18" w16cid:durableId="1198738918">
    <w:abstractNumId w:val="12"/>
  </w:num>
  <w:num w:numId="19" w16cid:durableId="2132553760">
    <w:abstractNumId w:val="10"/>
  </w:num>
  <w:num w:numId="20" w16cid:durableId="485365208">
    <w:abstractNumId w:val="8"/>
  </w:num>
  <w:num w:numId="21" w16cid:durableId="898906510">
    <w:abstractNumId w:val="0"/>
  </w:num>
  <w:num w:numId="22" w16cid:durableId="785125525">
    <w:abstractNumId w:val="17"/>
  </w:num>
  <w:num w:numId="23" w16cid:durableId="1630747570">
    <w:abstractNumId w:val="11"/>
  </w:num>
  <w:num w:numId="24" w16cid:durableId="678700197">
    <w:abstractNumId w:val="3"/>
  </w:num>
  <w:num w:numId="25" w16cid:durableId="11759921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43"/>
    <w:rsid w:val="00053488"/>
    <w:rsid w:val="00070DD6"/>
    <w:rsid w:val="001010E5"/>
    <w:rsid w:val="00122534"/>
    <w:rsid w:val="00197B4E"/>
    <w:rsid w:val="001B1966"/>
    <w:rsid w:val="001D67F1"/>
    <w:rsid w:val="00200A7E"/>
    <w:rsid w:val="00202675"/>
    <w:rsid w:val="002546CE"/>
    <w:rsid w:val="00254941"/>
    <w:rsid w:val="002E5FCF"/>
    <w:rsid w:val="003002DA"/>
    <w:rsid w:val="003126B0"/>
    <w:rsid w:val="003C05BE"/>
    <w:rsid w:val="004221F8"/>
    <w:rsid w:val="00426FA6"/>
    <w:rsid w:val="00452AA0"/>
    <w:rsid w:val="00475107"/>
    <w:rsid w:val="0057554E"/>
    <w:rsid w:val="0058730D"/>
    <w:rsid w:val="005D2DF6"/>
    <w:rsid w:val="00623670"/>
    <w:rsid w:val="00677804"/>
    <w:rsid w:val="00684AC9"/>
    <w:rsid w:val="006B4F69"/>
    <w:rsid w:val="0074460D"/>
    <w:rsid w:val="00770B43"/>
    <w:rsid w:val="00823798"/>
    <w:rsid w:val="008D114D"/>
    <w:rsid w:val="008D3F3C"/>
    <w:rsid w:val="00982CD9"/>
    <w:rsid w:val="00A836AE"/>
    <w:rsid w:val="00A8456E"/>
    <w:rsid w:val="00A9591F"/>
    <w:rsid w:val="00B52C9A"/>
    <w:rsid w:val="00B657DB"/>
    <w:rsid w:val="00BA790B"/>
    <w:rsid w:val="00C93A5D"/>
    <w:rsid w:val="00CF6F94"/>
    <w:rsid w:val="00D115A9"/>
    <w:rsid w:val="00D33805"/>
    <w:rsid w:val="00D60D95"/>
    <w:rsid w:val="00DA048C"/>
    <w:rsid w:val="00DE47D0"/>
    <w:rsid w:val="00DF7BD5"/>
    <w:rsid w:val="00E77CF3"/>
    <w:rsid w:val="00EC3EDD"/>
    <w:rsid w:val="00F15D3C"/>
    <w:rsid w:val="00F23562"/>
    <w:rsid w:val="00F31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EFD1"/>
  <w15:chartTrackingRefBased/>
  <w15:docId w15:val="{EE8C4AC5-E4EB-4C3D-B1AB-77C7E13C1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0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0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B4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2253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2253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22534"/>
    <w:rPr>
      <w:vertAlign w:val="superscript"/>
    </w:rPr>
  </w:style>
  <w:style w:type="table" w:styleId="TableGrid">
    <w:name w:val="Table Grid"/>
    <w:basedOn w:val="TableNormal"/>
    <w:uiPriority w:val="39"/>
    <w:rsid w:val="0020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A048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A04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048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DA048C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A048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88E14-B080-4AE8-9097-6B4A1929B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4294967181</TotalTime>
  <Pages>8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نقشه راه بخش ۳</dc:title>
  <dc:subject/>
  <dc:creator>Peyman .</dc:creator>
  <cp:keywords/>
  <dc:description/>
  <cp:lastModifiedBy>parniyan nakhei</cp:lastModifiedBy>
  <cp:revision>23</cp:revision>
  <dcterms:created xsi:type="dcterms:W3CDTF">2026-09-20T12:46:00Z</dcterms:created>
  <dcterms:modified xsi:type="dcterms:W3CDTF">2026-10-02T14:23:00Z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095b316f-2532-468b-b58d-799536ec01cc</vt:lpwstr>
  </property>
</Properties>
</file>