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0109" w14:textId="1F36129E" w:rsidR="00AE0A76" w:rsidRDefault="000A16D7" w:rsidP="00426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1CC8A6" wp14:editId="4147EC31">
            <wp:simplePos x="0" y="0"/>
            <wp:positionH relativeFrom="column">
              <wp:posOffset>346710</wp:posOffset>
            </wp:positionH>
            <wp:positionV relativeFrom="paragraph">
              <wp:posOffset>320040</wp:posOffset>
            </wp:positionV>
            <wp:extent cx="6240780" cy="3093720"/>
            <wp:effectExtent l="0" t="0" r="7620" b="0"/>
            <wp:wrapSquare wrapText="bothSides"/>
            <wp:docPr id="5201818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9B94CF-FB0B-2D96-3490-94CA12869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59B" w:rsidRPr="0015159B">
        <w:rPr>
          <w:rFonts w:ascii="Times New Roman" w:hAnsi="Times New Roman" w:cs="Times New Roman"/>
          <w:b/>
          <w:bCs/>
          <w:sz w:val="32"/>
          <w:szCs w:val="32"/>
        </w:rPr>
        <w:t>Task to do-</w:t>
      </w:r>
    </w:p>
    <w:p w14:paraId="3CBAD035" w14:textId="05B1BC12" w:rsidR="00426E84" w:rsidRDefault="00426E84" w:rsidP="00426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0B47E010" w14:textId="7CDE519E" w:rsidR="000A16D7" w:rsidRPr="00F6633C" w:rsidRDefault="000A16D7" w:rsidP="00AE0A76">
      <w:pPr>
        <w:pStyle w:val="ListParagraph"/>
        <w:rPr>
          <w:rFonts w:ascii="Times New Roman" w:hAnsi="Times New Roman" w:cs="Times New Roman"/>
          <w:b/>
          <w:bCs/>
          <w:sz w:val="12"/>
          <w:szCs w:val="12"/>
        </w:rPr>
      </w:pPr>
    </w:p>
    <w:p w14:paraId="6166D7DA" w14:textId="56E4BB1D" w:rsidR="0015159B" w:rsidRDefault="0015159B" w:rsidP="0003135A">
      <w:pPr>
        <w:jc w:val="both"/>
        <w:rPr>
          <w:rFonts w:ascii="Times New Roman" w:hAnsi="Times New Roman" w:cs="Times New Roman"/>
          <w:sz w:val="32"/>
          <w:szCs w:val="32"/>
        </w:rPr>
      </w:pPr>
      <w:r w:rsidRPr="0015159B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ccording to the above data, Saturday </w:t>
      </w:r>
      <w:r w:rsidR="00973436">
        <w:rPr>
          <w:rFonts w:ascii="Times New Roman" w:hAnsi="Times New Roman" w:cs="Times New Roman"/>
          <w:sz w:val="32"/>
          <w:szCs w:val="32"/>
        </w:rPr>
        <w:t xml:space="preserve">and Sunday, i.e., weekends </w:t>
      </w:r>
      <w:r w:rsidR="00B80D2F">
        <w:rPr>
          <w:rFonts w:ascii="Times New Roman" w:hAnsi="Times New Roman" w:cs="Times New Roman"/>
          <w:sz w:val="32"/>
          <w:szCs w:val="32"/>
        </w:rPr>
        <w:t>have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2996">
        <w:rPr>
          <w:rFonts w:ascii="Times New Roman" w:hAnsi="Times New Roman" w:cs="Times New Roman"/>
          <w:sz w:val="32"/>
          <w:szCs w:val="32"/>
        </w:rPr>
        <w:t>the greatest</w:t>
      </w:r>
      <w:r>
        <w:rPr>
          <w:rFonts w:ascii="Times New Roman" w:hAnsi="Times New Roman" w:cs="Times New Roman"/>
          <w:sz w:val="32"/>
          <w:szCs w:val="32"/>
        </w:rPr>
        <w:t xml:space="preserve"> number of orders placed through Swiggy. But also, we can see that on </w:t>
      </w:r>
      <w:r w:rsidR="00B80D2F">
        <w:rPr>
          <w:rFonts w:ascii="Times New Roman" w:hAnsi="Times New Roman" w:cs="Times New Roman"/>
          <w:sz w:val="32"/>
          <w:szCs w:val="32"/>
        </w:rPr>
        <w:t>the weekends,</w:t>
      </w:r>
      <w:r>
        <w:rPr>
          <w:rFonts w:ascii="Times New Roman" w:hAnsi="Times New Roman" w:cs="Times New Roman"/>
          <w:sz w:val="32"/>
          <w:szCs w:val="32"/>
        </w:rPr>
        <w:t xml:space="preserve"> the sum of orders placed on the current date has increased from the sum of orders placed on the same day last week.</w:t>
      </w:r>
    </w:p>
    <w:p w14:paraId="6EAEF7B1" w14:textId="538B538C" w:rsidR="00AE0A76" w:rsidRPr="00975F3A" w:rsidRDefault="00975F3A" w:rsidP="006C4FE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8DA4AE" w14:textId="11D98D2D" w:rsidR="00AE0A76" w:rsidRDefault="00C40A5E" w:rsidP="006C4FE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193299" wp14:editId="7F3CE04D">
            <wp:simplePos x="0" y="0"/>
            <wp:positionH relativeFrom="column">
              <wp:posOffset>392430</wp:posOffset>
            </wp:positionH>
            <wp:positionV relativeFrom="paragraph">
              <wp:posOffset>12700</wp:posOffset>
            </wp:positionV>
            <wp:extent cx="6286500" cy="3665220"/>
            <wp:effectExtent l="0" t="0" r="0" b="0"/>
            <wp:wrapSquare wrapText="bothSides"/>
            <wp:docPr id="11549055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CA25C3-9B5E-B655-B799-00F9857F6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F2F" w:rsidRPr="007B1F2F"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62737C72" w14:textId="67529BC3" w:rsidR="009E7B98" w:rsidRDefault="009E7B98" w:rsidP="006C4FE9">
      <w:pPr>
        <w:rPr>
          <w:rFonts w:ascii="Times New Roman" w:hAnsi="Times New Roman" w:cs="Times New Roman"/>
          <w:sz w:val="32"/>
          <w:szCs w:val="32"/>
        </w:rPr>
      </w:pPr>
    </w:p>
    <w:p w14:paraId="36DC2B75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B710E1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25D5BB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A5D98A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3083AC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95E085" w14:textId="77777777" w:rsidR="000C265E" w:rsidRDefault="000C265E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31FEAA" w14:textId="77777777" w:rsidR="000C265E" w:rsidRDefault="000C265E" w:rsidP="00D93C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49AA5C" w14:textId="77777777" w:rsidR="00C40A5E" w:rsidRDefault="00C40A5E" w:rsidP="00D93C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57011D" w14:textId="77777777" w:rsidR="00C40A5E" w:rsidRDefault="00C40A5E" w:rsidP="00D93C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6E6090" w14:textId="77777777" w:rsidR="00C40A5E" w:rsidRDefault="00C40A5E" w:rsidP="00D93C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85F36C" w14:textId="77777777" w:rsidR="00C40A5E" w:rsidRDefault="00C40A5E" w:rsidP="00D93C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674DD4" w14:textId="15389843" w:rsidR="00C40A5E" w:rsidRPr="00B64AB6" w:rsidRDefault="00C40A5E" w:rsidP="00D93C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 w:dxaOrig="6119" w:dyaOrig="3135" w14:anchorId="3735F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06pt;height:156.6pt" o:ole="">
            <v:imagedata r:id="rId10" o:title=""/>
          </v:shape>
          <o:OLEObject Type="Embed" ProgID="Excel.Sheet.12" ShapeID="_x0000_i1049" DrawAspect="Content" ObjectID="_1786028393" r:id="rId11"/>
        </w:object>
      </w:r>
    </w:p>
    <w:p w14:paraId="1918D25C" w14:textId="70510EB8" w:rsidR="002C646A" w:rsidRDefault="002C646A" w:rsidP="00D93C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channel wise traffic source datasheet, </w:t>
      </w:r>
      <w:r w:rsidR="00B64AB6">
        <w:rPr>
          <w:rFonts w:ascii="Times New Roman" w:hAnsi="Times New Roman" w:cs="Times New Roman"/>
          <w:sz w:val="32"/>
          <w:szCs w:val="32"/>
        </w:rPr>
        <w:t xml:space="preserve">Saturday and </w:t>
      </w:r>
      <w:r w:rsidR="00271A7C">
        <w:rPr>
          <w:rFonts w:ascii="Times New Roman" w:hAnsi="Times New Roman" w:cs="Times New Roman"/>
          <w:sz w:val="32"/>
          <w:szCs w:val="32"/>
        </w:rPr>
        <w:t>Sundays</w:t>
      </w:r>
      <w:r w:rsidR="00B64AB6">
        <w:rPr>
          <w:rFonts w:ascii="Times New Roman" w:hAnsi="Times New Roman" w:cs="Times New Roman"/>
          <w:sz w:val="32"/>
          <w:szCs w:val="32"/>
        </w:rPr>
        <w:t xml:space="preserve"> has the most traffic source coming. Also, </w:t>
      </w:r>
      <w:r w:rsidR="001C57B7">
        <w:rPr>
          <w:rFonts w:ascii="Times New Roman" w:hAnsi="Times New Roman" w:cs="Times New Roman"/>
          <w:sz w:val="32"/>
          <w:szCs w:val="32"/>
        </w:rPr>
        <w:t xml:space="preserve">current traffic changes </w:t>
      </w:r>
      <w:r w:rsidR="00271A7C">
        <w:rPr>
          <w:rFonts w:ascii="Times New Roman" w:hAnsi="Times New Roman" w:cs="Times New Roman"/>
          <w:sz w:val="32"/>
          <w:szCs w:val="32"/>
        </w:rPr>
        <w:t>have</w:t>
      </w:r>
      <w:r w:rsidR="001C57B7">
        <w:rPr>
          <w:rFonts w:ascii="Times New Roman" w:hAnsi="Times New Roman" w:cs="Times New Roman"/>
          <w:sz w:val="32"/>
          <w:szCs w:val="32"/>
        </w:rPr>
        <w:t xml:space="preserve"> increased as compared to the traffic change of same day last week. </w:t>
      </w:r>
    </w:p>
    <w:p w14:paraId="22319338" w14:textId="0544BEC1" w:rsidR="0062526B" w:rsidRDefault="00682900" w:rsidP="006C4F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AE49F" wp14:editId="00E4D654">
            <wp:simplePos x="0" y="0"/>
            <wp:positionH relativeFrom="column">
              <wp:posOffset>57150</wp:posOffset>
            </wp:positionH>
            <wp:positionV relativeFrom="paragraph">
              <wp:posOffset>352425</wp:posOffset>
            </wp:positionV>
            <wp:extent cx="6797040" cy="3566160"/>
            <wp:effectExtent l="0" t="0" r="3810" b="0"/>
            <wp:wrapTopAndBottom/>
            <wp:docPr id="17033610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71F760-7C9B-45AA-8FCF-A91FFF7A6D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80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81B60" w:rsidRPr="00081B6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0FAD558" w14:textId="77777777" w:rsidR="00723C17" w:rsidRDefault="00723C17" w:rsidP="006C4F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C55D47" w14:textId="1186C599" w:rsidR="0062526B" w:rsidRDefault="000D5507" w:rsidP="00D93C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above Traffic Change chart, March has the most traffics as compared to the other months.</w:t>
      </w:r>
      <w:r w:rsidR="00A5306B">
        <w:rPr>
          <w:rFonts w:ascii="Times New Roman" w:hAnsi="Times New Roman" w:cs="Times New Roman"/>
          <w:sz w:val="32"/>
          <w:szCs w:val="32"/>
        </w:rPr>
        <w:t xml:space="preserve"> After March, the second most traffic has come from December, may be due to occasion or holidays. </w:t>
      </w:r>
      <w:r>
        <w:rPr>
          <w:rFonts w:ascii="Times New Roman" w:hAnsi="Times New Roman" w:cs="Times New Roman"/>
          <w:sz w:val="32"/>
          <w:szCs w:val="32"/>
        </w:rPr>
        <w:t xml:space="preserve"> Also, in the month of December, the traffic change has increased from the traffic change on the same day last week.</w:t>
      </w:r>
    </w:p>
    <w:p w14:paraId="0995839B" w14:textId="77777777" w:rsidR="00A45625" w:rsidRDefault="00A45625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259FB1" w14:textId="77777777" w:rsidR="00A45625" w:rsidRDefault="00A45625" w:rsidP="00D93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9AAE26" w14:textId="2E9E13D1" w:rsidR="00927D18" w:rsidRPr="00927D18" w:rsidRDefault="00927D18" w:rsidP="00D93C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r w:rsidRPr="00F56952">
        <w:rPr>
          <w:rFonts w:ascii="Times New Roman" w:hAnsi="Times New Roman" w:cs="Times New Roman"/>
          <w:b/>
          <w:bCs/>
          <w:sz w:val="32"/>
          <w:szCs w:val="32"/>
        </w:rPr>
        <w:t>Validate the hypotheses using Supporting data</w:t>
      </w:r>
    </w:p>
    <w:tbl>
      <w:tblPr>
        <w:tblW w:w="11098" w:type="dxa"/>
        <w:tblLook w:val="04A0" w:firstRow="1" w:lastRow="0" w:firstColumn="1" w:lastColumn="0" w:noHBand="0" w:noVBand="1"/>
      </w:tblPr>
      <w:tblGrid>
        <w:gridCol w:w="1992"/>
        <w:gridCol w:w="2898"/>
        <w:gridCol w:w="6208"/>
      </w:tblGrid>
      <w:tr w:rsidR="003B7496" w:rsidRPr="003243E6" w14:paraId="66AEE996" w14:textId="77777777" w:rsidTr="00BA366D">
        <w:trPr>
          <w:trHeight w:val="428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571A55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  <w:t>Overall Conversions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9A0053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  <w:t>Variable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0B5AF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bn-IN"/>
                <w14:ligatures w14:val="none"/>
              </w:rPr>
              <w:t>Insights</w:t>
            </w:r>
          </w:p>
        </w:tc>
      </w:tr>
      <w:tr w:rsidR="00BA366D" w:rsidRPr="003243E6" w14:paraId="48C3A11E" w14:textId="77777777" w:rsidTr="00BA366D">
        <w:trPr>
          <w:trHeight w:val="371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44108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L2M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1B76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Count of restaurants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4BB9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Low Impact</w:t>
            </w:r>
          </w:p>
        </w:tc>
      </w:tr>
      <w:tr w:rsidR="00BA366D" w:rsidRPr="003243E6" w14:paraId="50F0428A" w14:textId="77777777" w:rsidTr="00BA366D">
        <w:trPr>
          <w:trHeight w:val="371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08DC7C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M2C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39B2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Average Discount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55216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Discount plays an important role to influence M2C</w:t>
            </w:r>
          </w:p>
        </w:tc>
      </w:tr>
      <w:tr w:rsidR="00BA366D" w:rsidRPr="003243E6" w14:paraId="3FA1D3FD" w14:textId="77777777" w:rsidTr="00BA366D">
        <w:trPr>
          <w:trHeight w:val="371"/>
        </w:trPr>
        <w:tc>
          <w:tcPr>
            <w:tcW w:w="1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359036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M2C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268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Out of stock Items per restaurant</w:t>
            </w:r>
          </w:p>
        </w:tc>
        <w:tc>
          <w:tcPr>
            <w:tcW w:w="62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059B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Low Impact</w:t>
            </w:r>
          </w:p>
        </w:tc>
      </w:tr>
      <w:tr w:rsidR="00050CBD" w:rsidRPr="003243E6" w14:paraId="10920539" w14:textId="77777777" w:rsidTr="00BA366D">
        <w:trPr>
          <w:trHeight w:val="207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4E7218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M2C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CCB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Average Delivery Charges</w:t>
            </w:r>
          </w:p>
        </w:tc>
        <w:tc>
          <w:tcPr>
            <w:tcW w:w="6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A6E9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Low Impact</w:t>
            </w:r>
          </w:p>
        </w:tc>
      </w:tr>
      <w:tr w:rsidR="00050CBD" w:rsidRPr="003243E6" w14:paraId="055061A0" w14:textId="77777777" w:rsidTr="00BA366D">
        <w:trPr>
          <w:trHeight w:val="371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DF279C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C2P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6596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Average Packaging charges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BE90423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Moderate Impact</w:t>
            </w:r>
          </w:p>
        </w:tc>
      </w:tr>
      <w:tr w:rsidR="00050CBD" w:rsidRPr="003243E6" w14:paraId="32622232" w14:textId="77777777" w:rsidTr="00BA366D">
        <w:trPr>
          <w:trHeight w:val="371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BDDF5C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C2P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BB04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Average Delivery Charges</w:t>
            </w:r>
          </w:p>
        </w:tc>
        <w:tc>
          <w:tcPr>
            <w:tcW w:w="6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C9662F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Raise in delivery charges will have a high impact of the conversion rate</w:t>
            </w:r>
          </w:p>
        </w:tc>
      </w:tr>
      <w:tr w:rsidR="003B7496" w:rsidRPr="003243E6" w14:paraId="4A58FFB8" w14:textId="77777777" w:rsidTr="00BA366D">
        <w:trPr>
          <w:trHeight w:val="371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C69B39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P2O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C959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Success Rate of payments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624E0D" w14:textId="77777777" w:rsidR="003243E6" w:rsidRPr="003243E6" w:rsidRDefault="003243E6" w:rsidP="00050C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3243E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bn-IN"/>
                <w14:ligatures w14:val="none"/>
              </w:rPr>
              <w:t>Strong Predictor of the final conversion rate</w:t>
            </w:r>
          </w:p>
        </w:tc>
      </w:tr>
    </w:tbl>
    <w:p w14:paraId="3605E3C3" w14:textId="77777777" w:rsidR="004F68E3" w:rsidRPr="00A36141" w:rsidRDefault="004F68E3" w:rsidP="00F56952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ABDF126" w14:textId="540430A2" w:rsidR="00F56952" w:rsidRDefault="00927D18" w:rsidP="00F569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006F80" w:rsidRPr="00006F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6952" w:rsidRPr="00F56952">
        <w:rPr>
          <w:rFonts w:ascii="Times New Roman" w:hAnsi="Times New Roman" w:cs="Times New Roman"/>
          <w:b/>
          <w:bCs/>
          <w:sz w:val="32"/>
          <w:szCs w:val="32"/>
        </w:rPr>
        <w:t>Identify which one of the conversions is fluctuating</w:t>
      </w:r>
      <w:r w:rsidR="00F5695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C55BF1C" w14:textId="006DC198" w:rsidR="00F56952" w:rsidRPr="00927D18" w:rsidRDefault="00391D4E" w:rsidP="00F56952">
      <w:pPr>
        <w:jc w:val="both"/>
        <w:rPr>
          <w:rFonts w:ascii="Times New Roman" w:hAnsi="Times New Roman" w:cs="Times New Roman"/>
          <w:sz w:val="32"/>
          <w:szCs w:val="32"/>
        </w:rPr>
      </w:pPr>
      <w:r w:rsidRPr="00391D4E">
        <w:rPr>
          <w:rFonts w:ascii="Times New Roman" w:hAnsi="Times New Roman" w:cs="Times New Roman"/>
          <w:sz w:val="32"/>
          <w:szCs w:val="32"/>
        </w:rPr>
        <w:t xml:space="preserve">Based on the supporting data, it appears that the decrease in </w:t>
      </w:r>
      <w:r>
        <w:rPr>
          <w:rFonts w:ascii="Times New Roman" w:hAnsi="Times New Roman" w:cs="Times New Roman"/>
          <w:sz w:val="32"/>
          <w:szCs w:val="32"/>
        </w:rPr>
        <w:t>C2P</w:t>
      </w:r>
      <w:r w:rsidRPr="00391D4E">
        <w:rPr>
          <w:rFonts w:ascii="Times New Roman" w:hAnsi="Times New Roman" w:cs="Times New Roman"/>
          <w:sz w:val="32"/>
          <w:szCs w:val="32"/>
        </w:rPr>
        <w:t xml:space="preserve"> conversion rate</w:t>
      </w:r>
      <w:r>
        <w:rPr>
          <w:rFonts w:ascii="Times New Roman" w:hAnsi="Times New Roman" w:cs="Times New Roman"/>
          <w:sz w:val="32"/>
          <w:szCs w:val="32"/>
        </w:rPr>
        <w:t>.</w:t>
      </w:r>
      <w:r w:rsidR="00BA36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61E349" w14:textId="4E1A49F4" w:rsidR="00F56952" w:rsidRDefault="00927D18" w:rsidP="00F569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F56952" w:rsidRPr="00F56952">
        <w:rPr>
          <w:rFonts w:ascii="Times New Roman" w:hAnsi="Times New Roman" w:cs="Times New Roman"/>
          <w:b/>
          <w:bCs/>
          <w:sz w:val="32"/>
          <w:szCs w:val="32"/>
        </w:rPr>
        <w:t>Create hypotheses on what could be the possibility for fluctuation in</w:t>
      </w:r>
      <w:r w:rsidR="00BA366D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  <w:r w:rsidR="00F56952" w:rsidRPr="00F56952">
        <w:rPr>
          <w:rFonts w:ascii="Times New Roman" w:hAnsi="Times New Roman" w:cs="Times New Roman"/>
          <w:b/>
          <w:bCs/>
          <w:sz w:val="32"/>
          <w:szCs w:val="32"/>
        </w:rPr>
        <w:t>onversions</w:t>
      </w:r>
      <w:r w:rsidR="00BA366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CCEE54A" w14:textId="539DE7F1" w:rsidR="00BA366D" w:rsidRDefault="00927D18" w:rsidP="00F56952">
      <w:pPr>
        <w:jc w:val="both"/>
        <w:rPr>
          <w:rFonts w:ascii="Times New Roman" w:hAnsi="Times New Roman" w:cs="Times New Roman"/>
          <w:sz w:val="32"/>
          <w:szCs w:val="32"/>
        </w:rPr>
      </w:pPr>
      <w:r w:rsidRPr="00927D18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possibility for fluctuation in conversions are due to –</w:t>
      </w:r>
    </w:p>
    <w:p w14:paraId="4F759305" w14:textId="75417C4E" w:rsidR="00927D18" w:rsidRDefault="00927D18" w:rsidP="00927D18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Discount</w:t>
      </w:r>
    </w:p>
    <w:p w14:paraId="063359B8" w14:textId="2366365D" w:rsidR="00927D18" w:rsidRDefault="00927D18" w:rsidP="00927D18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Packaging Charges</w:t>
      </w:r>
    </w:p>
    <w:p w14:paraId="2A695E9D" w14:textId="1BA078E9" w:rsidR="00927D18" w:rsidRPr="00927D18" w:rsidRDefault="00927D18" w:rsidP="00927D18">
      <w:pPr>
        <w:pStyle w:val="ListParagraph"/>
        <w:numPr>
          <w:ilvl w:val="0"/>
          <w:numId w:val="4"/>
        </w:numPr>
        <w:ind w:left="117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Delivery Charges</w:t>
      </w:r>
    </w:p>
    <w:p w14:paraId="3E60F158" w14:textId="0DA89407" w:rsidR="0017177C" w:rsidRDefault="00391D4E" w:rsidP="00F56952">
      <w:pPr>
        <w:jc w:val="both"/>
        <w:rPr>
          <w:rFonts w:ascii="Times New Roman" w:hAnsi="Times New Roman" w:cs="Times New Roman"/>
          <w:sz w:val="32"/>
          <w:szCs w:val="32"/>
        </w:rPr>
      </w:pPr>
      <w:r w:rsidRPr="00391D4E">
        <w:rPr>
          <w:rFonts w:ascii="Times New Roman" w:hAnsi="Times New Roman" w:cs="Times New Roman"/>
          <w:sz w:val="32"/>
          <w:szCs w:val="32"/>
        </w:rPr>
        <w:t>To improve the conversion rate, Swiggy can focus on improving the user experience, simplifying the checkout process, and addressing the issues reported by users.</w:t>
      </w:r>
    </w:p>
    <w:p w14:paraId="7199112D" w14:textId="6740B0A8" w:rsidR="00DF79FB" w:rsidRPr="00391D4E" w:rsidRDefault="00DF79FB" w:rsidP="00F5695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F79FB" w:rsidRPr="00391D4E" w:rsidSect="00F6633C">
      <w:headerReference w:type="default" r:id="rId13"/>
      <w:pgSz w:w="11906" w:h="16838"/>
      <w:pgMar w:top="1440" w:right="656" w:bottom="990" w:left="6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12622" w14:textId="77777777" w:rsidR="00ED49A7" w:rsidRDefault="00ED49A7" w:rsidP="00410E5E">
      <w:pPr>
        <w:spacing w:after="0" w:line="240" w:lineRule="auto"/>
      </w:pPr>
      <w:r>
        <w:separator/>
      </w:r>
    </w:p>
  </w:endnote>
  <w:endnote w:type="continuationSeparator" w:id="0">
    <w:p w14:paraId="1E90EE97" w14:textId="77777777" w:rsidR="00ED49A7" w:rsidRDefault="00ED49A7" w:rsidP="0041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A912F" w14:textId="77777777" w:rsidR="00ED49A7" w:rsidRDefault="00ED49A7" w:rsidP="00410E5E">
      <w:pPr>
        <w:spacing w:after="0" w:line="240" w:lineRule="auto"/>
      </w:pPr>
      <w:r>
        <w:separator/>
      </w:r>
    </w:p>
  </w:footnote>
  <w:footnote w:type="continuationSeparator" w:id="0">
    <w:p w14:paraId="76E2664B" w14:textId="77777777" w:rsidR="00ED49A7" w:rsidRDefault="00ED49A7" w:rsidP="0041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B83A9" w14:textId="7893FF42" w:rsidR="00410E5E" w:rsidRPr="00410E5E" w:rsidRDefault="00410E5E" w:rsidP="00410E5E">
    <w:pPr>
      <w:pStyle w:val="Header"/>
      <w:jc w:val="center"/>
      <w:rPr>
        <w:rFonts w:ascii="Britannic Bold" w:hAnsi="Britannic Bold"/>
        <w:b/>
        <w:bCs/>
        <w:sz w:val="44"/>
        <w:szCs w:val="44"/>
        <w:lang w:val="en-US"/>
      </w:rPr>
    </w:pPr>
    <w:r w:rsidRPr="00410E5E">
      <w:rPr>
        <w:rFonts w:ascii="Britannic Bold" w:hAnsi="Britannic Bold"/>
        <w:b/>
        <w:bCs/>
        <w:sz w:val="44"/>
        <w:szCs w:val="44"/>
        <w:lang w:val="en-US"/>
      </w:rPr>
      <w:t>CAPSTONE PROJECT- FUNNEL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3A79"/>
    <w:multiLevelType w:val="hybridMultilevel"/>
    <w:tmpl w:val="B14AC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16C"/>
    <w:multiLevelType w:val="hybridMultilevel"/>
    <w:tmpl w:val="E8943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C55B4"/>
    <w:multiLevelType w:val="hybridMultilevel"/>
    <w:tmpl w:val="53682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C543C8"/>
    <w:multiLevelType w:val="hybridMultilevel"/>
    <w:tmpl w:val="0C8CA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4002">
    <w:abstractNumId w:val="0"/>
  </w:num>
  <w:num w:numId="2" w16cid:durableId="916943338">
    <w:abstractNumId w:val="3"/>
  </w:num>
  <w:num w:numId="3" w16cid:durableId="1876651209">
    <w:abstractNumId w:val="2"/>
  </w:num>
  <w:num w:numId="4" w16cid:durableId="183332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E"/>
    <w:rsid w:val="00006F80"/>
    <w:rsid w:val="0003135A"/>
    <w:rsid w:val="00040ADF"/>
    <w:rsid w:val="00041808"/>
    <w:rsid w:val="00050CBD"/>
    <w:rsid w:val="00081B60"/>
    <w:rsid w:val="000A16D7"/>
    <w:rsid w:val="000C265E"/>
    <w:rsid w:val="000D5507"/>
    <w:rsid w:val="0015159B"/>
    <w:rsid w:val="0017177C"/>
    <w:rsid w:val="001B2DE4"/>
    <w:rsid w:val="001C57B7"/>
    <w:rsid w:val="001C70E3"/>
    <w:rsid w:val="00205698"/>
    <w:rsid w:val="00242147"/>
    <w:rsid w:val="00271A7C"/>
    <w:rsid w:val="002A4604"/>
    <w:rsid w:val="002C646A"/>
    <w:rsid w:val="002E0EB7"/>
    <w:rsid w:val="002E618A"/>
    <w:rsid w:val="003243E6"/>
    <w:rsid w:val="00340766"/>
    <w:rsid w:val="0038601A"/>
    <w:rsid w:val="00391D4E"/>
    <w:rsid w:val="003A3D6A"/>
    <w:rsid w:val="003B7496"/>
    <w:rsid w:val="00410E5E"/>
    <w:rsid w:val="00426E84"/>
    <w:rsid w:val="00453C30"/>
    <w:rsid w:val="004A6909"/>
    <w:rsid w:val="004D6AB6"/>
    <w:rsid w:val="004F68E3"/>
    <w:rsid w:val="00503AE2"/>
    <w:rsid w:val="00503C5F"/>
    <w:rsid w:val="00512A54"/>
    <w:rsid w:val="00533D2E"/>
    <w:rsid w:val="00536AF8"/>
    <w:rsid w:val="005827DA"/>
    <w:rsid w:val="00596235"/>
    <w:rsid w:val="005C5EA3"/>
    <w:rsid w:val="0062526B"/>
    <w:rsid w:val="00644946"/>
    <w:rsid w:val="00675A3A"/>
    <w:rsid w:val="00682900"/>
    <w:rsid w:val="006931E7"/>
    <w:rsid w:val="006C4FE9"/>
    <w:rsid w:val="00723C17"/>
    <w:rsid w:val="00750C83"/>
    <w:rsid w:val="007B1F2F"/>
    <w:rsid w:val="007F0E74"/>
    <w:rsid w:val="008C5FAD"/>
    <w:rsid w:val="008F03FD"/>
    <w:rsid w:val="00927D18"/>
    <w:rsid w:val="00946D71"/>
    <w:rsid w:val="00973436"/>
    <w:rsid w:val="00975F3A"/>
    <w:rsid w:val="0099460B"/>
    <w:rsid w:val="009B2B22"/>
    <w:rsid w:val="009E7B98"/>
    <w:rsid w:val="009F2996"/>
    <w:rsid w:val="00A12040"/>
    <w:rsid w:val="00A36141"/>
    <w:rsid w:val="00A45625"/>
    <w:rsid w:val="00A5306B"/>
    <w:rsid w:val="00AB2D1F"/>
    <w:rsid w:val="00AE0A76"/>
    <w:rsid w:val="00B05EE8"/>
    <w:rsid w:val="00B32363"/>
    <w:rsid w:val="00B4124D"/>
    <w:rsid w:val="00B64AB6"/>
    <w:rsid w:val="00B7313D"/>
    <w:rsid w:val="00B75011"/>
    <w:rsid w:val="00B80D2F"/>
    <w:rsid w:val="00BA366D"/>
    <w:rsid w:val="00BE459C"/>
    <w:rsid w:val="00BE497C"/>
    <w:rsid w:val="00C055C8"/>
    <w:rsid w:val="00C40A5E"/>
    <w:rsid w:val="00C85FE9"/>
    <w:rsid w:val="00CF4041"/>
    <w:rsid w:val="00D07B33"/>
    <w:rsid w:val="00D17C93"/>
    <w:rsid w:val="00D24F41"/>
    <w:rsid w:val="00D855F9"/>
    <w:rsid w:val="00D93C37"/>
    <w:rsid w:val="00DA1E93"/>
    <w:rsid w:val="00DF79FB"/>
    <w:rsid w:val="00E14453"/>
    <w:rsid w:val="00E64E4D"/>
    <w:rsid w:val="00E84E1F"/>
    <w:rsid w:val="00ED49A7"/>
    <w:rsid w:val="00EE61DD"/>
    <w:rsid w:val="00EF175F"/>
    <w:rsid w:val="00F56952"/>
    <w:rsid w:val="00F641DB"/>
    <w:rsid w:val="00F6633C"/>
    <w:rsid w:val="00F816E7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671C"/>
  <w15:chartTrackingRefBased/>
  <w15:docId w15:val="{4E38499A-7279-4B42-B1B6-3030A0A7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5E"/>
  </w:style>
  <w:style w:type="paragraph" w:styleId="Footer">
    <w:name w:val="footer"/>
    <w:basedOn w:val="Normal"/>
    <w:link w:val="FooterChar"/>
    <w:uiPriority w:val="99"/>
    <w:unhideWhenUsed/>
    <w:rsid w:val="0041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5E"/>
  </w:style>
  <w:style w:type="paragraph" w:styleId="ListParagraph">
    <w:name w:val="List Paragraph"/>
    <w:basedOn w:val="Normal"/>
    <w:uiPriority w:val="34"/>
    <w:qFormat/>
    <w:rsid w:val="00AE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ourse%203-%20Structured%20Problem%20Solving%20and%20Case%20Studies\CAPSTONE%20PROJECT\Funnel%20Case%20Study%20Data%20finalll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ourse%203-%20Structured%20Problem%20Solving%20and%20Case%20Studies\CAPSTONE%20PROJECT\Funnel%20Case%20Study%20Data%20finalll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killovilla%20Course\Course%203-%20Structured%20Problem%20Solving%20and%20Case%20Studies\CAPSTONE%20PROJECT\Swiggy%20Funnel%20Analysis\Funnel%20Case%20Study%20Data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 final.xlsx]Pivot Tables!PivotTable1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Orders</a:t>
            </a:r>
            <a:r>
              <a:rPr lang="en-IN" baseline="0"/>
              <a:t> change w.r.t to Same day last week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Tables'!$C$3</c:f>
              <c:strCache>
                <c:ptCount val="1"/>
                <c:pt idx="0">
                  <c:v>Sum of Orders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Tables'!$B$4:$B$11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Tables'!$C$4:$C$11</c:f>
              <c:numCache>
                <c:formatCode>General</c:formatCode>
                <c:ptCount val="7"/>
                <c:pt idx="0">
                  <c:v>85599212</c:v>
                </c:pt>
                <c:pt idx="1">
                  <c:v>66541638</c:v>
                </c:pt>
                <c:pt idx="2">
                  <c:v>65616473.673280001</c:v>
                </c:pt>
                <c:pt idx="3">
                  <c:v>69923424</c:v>
                </c:pt>
                <c:pt idx="4">
                  <c:v>65711925</c:v>
                </c:pt>
                <c:pt idx="5">
                  <c:v>67566585</c:v>
                </c:pt>
                <c:pt idx="6">
                  <c:v>85803322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F-4BAE-9FED-C4B714617602}"/>
            </c:ext>
          </c:extLst>
        </c:ser>
        <c:ser>
          <c:idx val="1"/>
          <c:order val="1"/>
          <c:tx>
            <c:strRef>
              <c:f>'Pivot Tables'!$D$3</c:f>
              <c:strCache>
                <c:ptCount val="1"/>
                <c:pt idx="0">
                  <c:v>Sum of orders on same day last week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Tables'!$B$4:$B$11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Tables'!$D$4:$D$11</c:f>
              <c:numCache>
                <c:formatCode>General</c:formatCode>
                <c:ptCount val="7"/>
                <c:pt idx="0">
                  <c:v>84003010</c:v>
                </c:pt>
                <c:pt idx="1">
                  <c:v>65369090</c:v>
                </c:pt>
                <c:pt idx="2">
                  <c:v>64332273.673280001</c:v>
                </c:pt>
                <c:pt idx="3">
                  <c:v>68638908</c:v>
                </c:pt>
                <c:pt idx="4">
                  <c:v>64416877</c:v>
                </c:pt>
                <c:pt idx="5">
                  <c:v>66257147</c:v>
                </c:pt>
                <c:pt idx="6">
                  <c:v>84034989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DF-4BAE-9FED-C4B714617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12806128"/>
        <c:axId val="2012809008"/>
      </c:barChart>
      <c:catAx>
        <c:axId val="201280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809008"/>
        <c:crosses val="autoZero"/>
        <c:auto val="1"/>
        <c:lblAlgn val="ctr"/>
        <c:lblOffset val="100"/>
        <c:noMultiLvlLbl val="0"/>
      </c:catAx>
      <c:valAx>
        <c:axId val="20128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806128"/>
        <c:crosses val="autoZero"/>
        <c:crossBetween val="between"/>
        <c:dispUnits>
          <c:builtInUnit val="millions"/>
          <c:dispUnitsLbl>
            <c:layout>
              <c:manualLayout>
                <c:xMode val="edge"/>
                <c:yMode val="edge"/>
                <c:x val="2.4709661477637757E-2"/>
                <c:y val="0.42071813939924174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 final.xlsx]Pivot Tables!PivotTable2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Traffic Change w.r.t to same day last 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Tables'!$C$21</c:f>
              <c:strCache>
                <c:ptCount val="1"/>
                <c:pt idx="0">
                  <c:v>Sum of Traffic Change same day last week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Tables'!$B$22:$B$29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Tables'!$C$22:$C$29</c:f>
              <c:numCache>
                <c:formatCode>General</c:formatCode>
                <c:ptCount val="7"/>
                <c:pt idx="0">
                  <c:v>2270972391</c:v>
                </c:pt>
                <c:pt idx="1">
                  <c:v>1102154936</c:v>
                </c:pt>
                <c:pt idx="2">
                  <c:v>1147978505</c:v>
                </c:pt>
                <c:pt idx="3">
                  <c:v>1135382452</c:v>
                </c:pt>
                <c:pt idx="4">
                  <c:v>1078917377</c:v>
                </c:pt>
                <c:pt idx="5">
                  <c:v>1100851891</c:v>
                </c:pt>
                <c:pt idx="6">
                  <c:v>2296110654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94-4D85-B8E3-CB7A6D8AE2E7}"/>
            </c:ext>
          </c:extLst>
        </c:ser>
        <c:ser>
          <c:idx val="1"/>
          <c:order val="1"/>
          <c:tx>
            <c:strRef>
              <c:f>'Pivot Tables'!$D$21</c:f>
              <c:strCache>
                <c:ptCount val="1"/>
                <c:pt idx="0">
                  <c:v>Sum of Traffic Change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Tables'!$B$22:$B$29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Tables'!$D$22:$D$29</c:f>
              <c:numCache>
                <c:formatCode>General</c:formatCode>
                <c:ptCount val="7"/>
                <c:pt idx="0">
                  <c:v>2314515447</c:v>
                </c:pt>
                <c:pt idx="1">
                  <c:v>1124306621</c:v>
                </c:pt>
                <c:pt idx="2">
                  <c:v>1169913016</c:v>
                </c:pt>
                <c:pt idx="3">
                  <c:v>1157099790</c:v>
                </c:pt>
                <c:pt idx="4">
                  <c:v>1099548849</c:v>
                </c:pt>
                <c:pt idx="5">
                  <c:v>1123220749</c:v>
                </c:pt>
                <c:pt idx="6">
                  <c:v>2341449301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94-4D85-B8E3-CB7A6D8AE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4839376"/>
        <c:axId val="1674829296"/>
      </c:barChart>
      <c:valAx>
        <c:axId val="16748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39376"/>
        <c:crosses val="autoZero"/>
        <c:crossBetween val="between"/>
      </c:valAx>
      <c:catAx>
        <c:axId val="16748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292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 final.xlsx]TRAFFIC CHANGE PIVOT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Traffic Change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'TRAFFIC CHANGE PIVOT TABLE'!$B$3</c:f>
              <c:strCache>
                <c:ptCount val="1"/>
                <c:pt idx="0">
                  <c:v>Sum of Traffic Change same day last week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'TRAFFIC CHANGE PIVOT TABLE'!$A$4:$A$16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'TRAFFIC CHANGE PIVOT TABLE'!$B$4:$B$16</c:f>
              <c:numCache>
                <c:formatCode>General</c:formatCode>
                <c:ptCount val="12"/>
                <c:pt idx="0">
                  <c:v>855648014</c:v>
                </c:pt>
                <c:pt idx="1">
                  <c:v>792537863</c:v>
                </c:pt>
                <c:pt idx="2">
                  <c:v>902051037</c:v>
                </c:pt>
                <c:pt idx="3">
                  <c:v>841402962</c:v>
                </c:pt>
                <c:pt idx="4">
                  <c:v>861092986</c:v>
                </c:pt>
                <c:pt idx="5">
                  <c:v>874064770</c:v>
                </c:pt>
                <c:pt idx="6">
                  <c:v>849262684</c:v>
                </c:pt>
                <c:pt idx="7">
                  <c:v>884641540</c:v>
                </c:pt>
                <c:pt idx="8">
                  <c:v>853628311</c:v>
                </c:pt>
                <c:pt idx="9">
                  <c:v>848495846</c:v>
                </c:pt>
                <c:pt idx="10">
                  <c:v>865531374</c:v>
                </c:pt>
                <c:pt idx="11">
                  <c:v>704010819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A5-4B28-971B-28CA56DC5DDE}"/>
            </c:ext>
          </c:extLst>
        </c:ser>
        <c:ser>
          <c:idx val="1"/>
          <c:order val="1"/>
          <c:tx>
            <c:strRef>
              <c:f>'TRAFFIC CHANGE PIVOT TABLE'!$C$3</c:f>
              <c:strCache>
                <c:ptCount val="1"/>
                <c:pt idx="0">
                  <c:v>Sum of Traffic Change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'TRAFFIC CHANGE PIVOT TABLE'!$A$4:$A$16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'TRAFFIC CHANGE PIVOT TABLE'!$C$4:$C$16</c:f>
              <c:numCache>
                <c:formatCode>General</c:formatCode>
                <c:ptCount val="12"/>
                <c:pt idx="0">
                  <c:v>856806637</c:v>
                </c:pt>
                <c:pt idx="1">
                  <c:v>796302564</c:v>
                </c:pt>
                <c:pt idx="2">
                  <c:v>903542148</c:v>
                </c:pt>
                <c:pt idx="3">
                  <c:v>836537844</c:v>
                </c:pt>
                <c:pt idx="4">
                  <c:v>865103962</c:v>
                </c:pt>
                <c:pt idx="5">
                  <c:v>871183313</c:v>
                </c:pt>
                <c:pt idx="6">
                  <c:v>854069601</c:v>
                </c:pt>
                <c:pt idx="7">
                  <c:v>881383938</c:v>
                </c:pt>
                <c:pt idx="8">
                  <c:v>852122650</c:v>
                </c:pt>
                <c:pt idx="9">
                  <c:v>845411767</c:v>
                </c:pt>
                <c:pt idx="10">
                  <c:v>870599116</c:v>
                </c:pt>
                <c:pt idx="11">
                  <c:v>896990233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A5-4B28-971B-28CA56DC5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82360175"/>
        <c:axId val="1882358255"/>
      </c:barChart>
      <c:catAx>
        <c:axId val="188236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358255"/>
        <c:crosses val="autoZero"/>
        <c:auto val="1"/>
        <c:lblAlgn val="ctr"/>
        <c:lblOffset val="100"/>
        <c:noMultiLvlLbl val="0"/>
      </c:catAx>
      <c:valAx>
        <c:axId val="188235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360175"/>
        <c:crosses val="autoZero"/>
        <c:crossBetween val="between"/>
        <c:dispUnits>
          <c:builtInUnit val="millions"/>
          <c:dispUnitsLbl>
            <c:layout>
              <c:manualLayout>
                <c:xMode val="edge"/>
                <c:yMode val="edge"/>
                <c:x val="1.6664250131706623E-2"/>
                <c:y val="0.4100722404119056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4A24-3B66-42FC-9721-6B778BBC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Saha</dc:creator>
  <cp:keywords/>
  <dc:description/>
  <cp:lastModifiedBy>Paromita Saha</cp:lastModifiedBy>
  <cp:revision>81</cp:revision>
  <dcterms:created xsi:type="dcterms:W3CDTF">2024-08-22T16:02:00Z</dcterms:created>
  <dcterms:modified xsi:type="dcterms:W3CDTF">2024-08-24T12:43:00Z</dcterms:modified>
</cp:coreProperties>
</file>