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533F1" w14:textId="77777777" w:rsidR="00CD51FB" w:rsidRDefault="00000000">
      <w:pPr>
        <w:pStyle w:val="Ttulo1"/>
        <w:spacing w:before="300" w:after="150"/>
      </w:pPr>
      <w:r>
        <w:t>1. Descripción del caso real</w:t>
      </w:r>
    </w:p>
    <w:p w14:paraId="4546539B" w14:textId="77777777" w:rsidR="00CD51FB" w:rsidRDefault="00000000">
      <w:pPr>
        <w:spacing w:after="140"/>
      </w:pPr>
      <w:r>
        <w:t>AQUALITY es una aplicación propia, en desarrollo independiente, orientada a la gestión integral de una operación de acuicultura de trucha arcoíris. El sistema debe soportar simultáneamente varios tipos de datos con requisitos muy distintos entre sí, lo que la convierte en un caso apropiado para analizar bajo el enfoque de persistencia poliglota visto en la Unidad 1:</w:t>
      </w:r>
    </w:p>
    <w:p w14:paraId="36023DD9" w14:textId="77777777" w:rsidR="00CD51FB" w:rsidRDefault="00000000">
      <w:pPr>
        <w:pStyle w:val="Prrafodelista"/>
        <w:numPr>
          <w:ilvl w:val="0"/>
          <w:numId w:val="2"/>
        </w:numPr>
        <w:spacing w:after="80"/>
      </w:pPr>
      <w:r>
        <w:t xml:space="preserve">Monitoreo continuo de calidad del agua (oxígeno disuelto, temperatura, pH) capturado por sensores </w:t>
      </w:r>
      <w:proofErr w:type="spellStart"/>
      <w:r>
        <w:t>IoT</w:t>
      </w:r>
      <w:proofErr w:type="spellEnd"/>
      <w:r>
        <w:t xml:space="preserve"> en los estanques, con escrituras muy frecuentes.</w:t>
      </w:r>
    </w:p>
    <w:p w14:paraId="0F0B84D4" w14:textId="77777777" w:rsidR="00CD51FB" w:rsidRDefault="00000000">
      <w:pPr>
        <w:pStyle w:val="Prrafodelista"/>
        <w:numPr>
          <w:ilvl w:val="0"/>
          <w:numId w:val="2"/>
        </w:numPr>
        <w:spacing w:after="80"/>
      </w:pPr>
      <w:r>
        <w:t>Gestión transaccional del negocio: lotes de producción, ventas, pagos y costos, donde la integridad de la información es crítica.</w:t>
      </w:r>
    </w:p>
    <w:p w14:paraId="47F36812" w14:textId="77777777" w:rsidR="00CD51FB" w:rsidRDefault="00000000">
      <w:pPr>
        <w:pStyle w:val="Prrafodelista"/>
        <w:numPr>
          <w:ilvl w:val="0"/>
          <w:numId w:val="2"/>
        </w:numPr>
        <w:spacing w:after="80"/>
      </w:pPr>
      <w:r>
        <w:t>Perfiles de fincas/estanques y fichas técnicas de manejo, con estructura variable según el productor.</w:t>
      </w:r>
    </w:p>
    <w:p w14:paraId="5FEC5713" w14:textId="77777777" w:rsidR="00CD51FB" w:rsidRDefault="00000000">
      <w:pPr>
        <w:pStyle w:val="Prrafodelista"/>
        <w:numPr>
          <w:ilvl w:val="0"/>
          <w:numId w:val="2"/>
        </w:numPr>
        <w:spacing w:after="80"/>
      </w:pPr>
      <w:r>
        <w:t>Alertas en tiempo real (ej. nivel bajo de oxígeno) y sesiones de usuario que exigen respuesta casi instantánea.</w:t>
      </w:r>
    </w:p>
    <w:p w14:paraId="08D55A42" w14:textId="77777777" w:rsidR="00CD51FB" w:rsidRDefault="00000000">
      <w:pPr>
        <w:pStyle w:val="Prrafodelista"/>
        <w:numPr>
          <w:ilvl w:val="0"/>
          <w:numId w:val="2"/>
        </w:numPr>
        <w:spacing w:after="80"/>
      </w:pPr>
      <w:r>
        <w:t>Trazabilidad del producto desde el lote de alevines hasta la venta final, que implica relaciones encadenadas entre entidades.</w:t>
      </w:r>
    </w:p>
    <w:p w14:paraId="7BF44E18" w14:textId="77777777" w:rsidR="00CD51FB" w:rsidRDefault="00000000">
      <w:pPr>
        <w:spacing w:after="140"/>
      </w:pPr>
      <w:r>
        <w:t>Esta variedad de patrones de acceso — series de tiempo de alta frecuencia, transacciones ACID, documentos flexibles, datos efímeros de baja latencia y relaciones — hace que ningún motor único sea óptimo para todo el sistema, y por eso el análisis se aborda como un problema de selección tecnológica y no como una decisión única SQL vs. NoSQL.</w:t>
      </w:r>
    </w:p>
    <w:p w14:paraId="6664F0CB" w14:textId="77777777" w:rsidR="00CD51FB" w:rsidRDefault="00000000">
      <w:pPr>
        <w:pStyle w:val="Ttulo1"/>
        <w:spacing w:before="300" w:after="150"/>
      </w:pPr>
      <w:r>
        <w:t>2. Tabla comparativa de motores candidatos</w:t>
      </w:r>
    </w:p>
    <w:p w14:paraId="4976822C" w14:textId="77777777" w:rsidR="00CD51FB" w:rsidRDefault="00000000">
      <w:pPr>
        <w:spacing w:after="140"/>
      </w:pPr>
      <w:r>
        <w:t>Se evalúan las cuatro familias NoSQL vistas en clase junto con un motor relacional, frente a los criterios de selección definidos en los apuntes (consistencia, latencia, escalabilidad, costo operativo, patrón de acceso, volumen y variedad de datos).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1399"/>
        <w:gridCol w:w="1198"/>
        <w:gridCol w:w="1499"/>
        <w:gridCol w:w="1308"/>
        <w:gridCol w:w="1998"/>
        <w:gridCol w:w="1280"/>
      </w:tblGrid>
      <w:tr w:rsidR="00CD51FB" w14:paraId="202A6613" w14:textId="77777777">
        <w:tblPrEx>
          <w:tblCellMar>
            <w:top w:w="0" w:type="dxa"/>
            <w:bottom w:w="0" w:type="dxa"/>
          </w:tblCellMar>
        </w:tblPrEx>
        <w:trPr>
          <w:tblHeader/>
        </w:trPr>
        <w:tc>
          <w:tcPr>
            <w:tcW w:w="1400" w:type="dxa"/>
            <w:shd w:val="clear" w:color="auto" w:fill="1F6FEB"/>
            <w:tcMar>
              <w:top w:w="80" w:type="dxa"/>
              <w:left w:w="100" w:type="dxa"/>
              <w:bottom w:w="80" w:type="dxa"/>
              <w:right w:w="100" w:type="dxa"/>
            </w:tcMar>
          </w:tcPr>
          <w:p w14:paraId="626CB76F" w14:textId="77777777" w:rsidR="00CD51FB" w:rsidRDefault="00000000">
            <w:r>
              <w:rPr>
                <w:b/>
                <w:bCs/>
                <w:color w:val="FFFFFF"/>
                <w:sz w:val="19"/>
                <w:szCs w:val="19"/>
              </w:rPr>
              <w:t>Motor / Familia</w:t>
            </w:r>
          </w:p>
        </w:tc>
        <w:tc>
          <w:tcPr>
            <w:tcW w:w="1400" w:type="dxa"/>
            <w:shd w:val="clear" w:color="auto" w:fill="1F6FEB"/>
            <w:tcMar>
              <w:top w:w="80" w:type="dxa"/>
              <w:left w:w="100" w:type="dxa"/>
              <w:bottom w:w="80" w:type="dxa"/>
              <w:right w:w="100" w:type="dxa"/>
            </w:tcMar>
          </w:tcPr>
          <w:p w14:paraId="7FC61B46" w14:textId="77777777" w:rsidR="00CD51FB" w:rsidRDefault="00000000">
            <w:r>
              <w:rPr>
                <w:b/>
                <w:bCs/>
                <w:color w:val="FFFFFF"/>
                <w:sz w:val="19"/>
                <w:szCs w:val="19"/>
              </w:rPr>
              <w:t>Consistencia</w:t>
            </w:r>
          </w:p>
        </w:tc>
        <w:tc>
          <w:tcPr>
            <w:tcW w:w="1200" w:type="dxa"/>
            <w:shd w:val="clear" w:color="auto" w:fill="1F6FEB"/>
            <w:tcMar>
              <w:top w:w="80" w:type="dxa"/>
              <w:left w:w="100" w:type="dxa"/>
              <w:bottom w:w="80" w:type="dxa"/>
              <w:right w:w="100" w:type="dxa"/>
            </w:tcMar>
          </w:tcPr>
          <w:p w14:paraId="6E115998" w14:textId="77777777" w:rsidR="00CD51FB" w:rsidRDefault="00000000">
            <w:r>
              <w:rPr>
                <w:b/>
                <w:bCs/>
                <w:color w:val="FFFFFF"/>
                <w:sz w:val="19"/>
                <w:szCs w:val="19"/>
              </w:rPr>
              <w:t>Latencia típica</w:t>
            </w:r>
          </w:p>
        </w:tc>
        <w:tc>
          <w:tcPr>
            <w:tcW w:w="1500" w:type="dxa"/>
            <w:shd w:val="clear" w:color="auto" w:fill="1F6FEB"/>
            <w:tcMar>
              <w:top w:w="80" w:type="dxa"/>
              <w:left w:w="100" w:type="dxa"/>
              <w:bottom w:w="80" w:type="dxa"/>
              <w:right w:w="100" w:type="dxa"/>
            </w:tcMar>
          </w:tcPr>
          <w:p w14:paraId="2AA6FE27" w14:textId="77777777" w:rsidR="00CD51FB" w:rsidRDefault="00000000">
            <w:r>
              <w:rPr>
                <w:b/>
                <w:bCs/>
                <w:color w:val="FFFFFF"/>
                <w:sz w:val="19"/>
                <w:szCs w:val="19"/>
              </w:rPr>
              <w:t>Escalabilidad</w:t>
            </w:r>
          </w:p>
        </w:tc>
        <w:tc>
          <w:tcPr>
            <w:tcW w:w="1300" w:type="dxa"/>
            <w:shd w:val="clear" w:color="auto" w:fill="1F6FEB"/>
            <w:tcMar>
              <w:top w:w="80" w:type="dxa"/>
              <w:left w:w="100" w:type="dxa"/>
              <w:bottom w:w="80" w:type="dxa"/>
              <w:right w:w="100" w:type="dxa"/>
            </w:tcMar>
          </w:tcPr>
          <w:p w14:paraId="6370E13A" w14:textId="77777777" w:rsidR="00CD51FB" w:rsidRDefault="00000000">
            <w:r>
              <w:rPr>
                <w:b/>
                <w:bCs/>
                <w:color w:val="FFFFFF"/>
                <w:sz w:val="19"/>
                <w:szCs w:val="19"/>
              </w:rPr>
              <w:t>Costo operativo</w:t>
            </w:r>
          </w:p>
        </w:tc>
        <w:tc>
          <w:tcPr>
            <w:tcW w:w="2000" w:type="dxa"/>
            <w:shd w:val="clear" w:color="auto" w:fill="1F6FEB"/>
            <w:tcMar>
              <w:top w:w="80" w:type="dxa"/>
              <w:left w:w="100" w:type="dxa"/>
              <w:bottom w:w="80" w:type="dxa"/>
              <w:right w:w="100" w:type="dxa"/>
            </w:tcMar>
          </w:tcPr>
          <w:p w14:paraId="7C7D5DB6" w14:textId="77777777" w:rsidR="00CD51FB" w:rsidRDefault="00000000">
            <w:r>
              <w:rPr>
                <w:b/>
                <w:bCs/>
                <w:color w:val="FFFFFF"/>
                <w:sz w:val="19"/>
                <w:szCs w:val="19"/>
              </w:rPr>
              <w:t>Patrón de acceso principal</w:t>
            </w:r>
          </w:p>
        </w:tc>
        <w:tc>
          <w:tcPr>
            <w:tcW w:w="1280" w:type="dxa"/>
            <w:shd w:val="clear" w:color="auto" w:fill="1F6FEB"/>
            <w:tcMar>
              <w:top w:w="80" w:type="dxa"/>
              <w:left w:w="100" w:type="dxa"/>
              <w:bottom w:w="80" w:type="dxa"/>
              <w:right w:w="100" w:type="dxa"/>
            </w:tcMar>
          </w:tcPr>
          <w:p w14:paraId="708101AE" w14:textId="77777777" w:rsidR="00CD51FB" w:rsidRDefault="00000000">
            <w:r>
              <w:rPr>
                <w:b/>
                <w:bCs/>
                <w:color w:val="FFFFFF"/>
                <w:sz w:val="19"/>
                <w:szCs w:val="19"/>
              </w:rPr>
              <w:t>Volumen y variedad de datos</w:t>
            </w:r>
          </w:p>
        </w:tc>
      </w:tr>
      <w:tr w:rsidR="00CD51FB" w14:paraId="120B8B49"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159AB61B" w14:textId="77777777" w:rsidR="00CD51FB" w:rsidRDefault="00000000">
            <w:r>
              <w:rPr>
                <w:color w:val="000000"/>
                <w:sz w:val="19"/>
                <w:szCs w:val="19"/>
              </w:rPr>
              <w:t>PostgreSQL (SQL)</w:t>
            </w:r>
          </w:p>
        </w:tc>
        <w:tc>
          <w:tcPr>
            <w:tcW w:w="1400" w:type="dxa"/>
            <w:shd w:val="clear" w:color="auto" w:fill="FFFFFF"/>
            <w:tcMar>
              <w:top w:w="80" w:type="dxa"/>
              <w:left w:w="100" w:type="dxa"/>
              <w:bottom w:w="80" w:type="dxa"/>
              <w:right w:w="100" w:type="dxa"/>
            </w:tcMar>
          </w:tcPr>
          <w:p w14:paraId="6B48DD0F" w14:textId="77777777" w:rsidR="00CD51FB" w:rsidRDefault="00000000">
            <w:r>
              <w:rPr>
                <w:color w:val="000000"/>
                <w:sz w:val="19"/>
                <w:szCs w:val="19"/>
              </w:rPr>
              <w:t>Fuerte (ACID completo)</w:t>
            </w:r>
          </w:p>
        </w:tc>
        <w:tc>
          <w:tcPr>
            <w:tcW w:w="1200" w:type="dxa"/>
            <w:shd w:val="clear" w:color="auto" w:fill="FFFFFF"/>
            <w:tcMar>
              <w:top w:w="80" w:type="dxa"/>
              <w:left w:w="100" w:type="dxa"/>
              <w:bottom w:w="80" w:type="dxa"/>
              <w:right w:w="100" w:type="dxa"/>
            </w:tcMar>
          </w:tcPr>
          <w:p w14:paraId="65556B94" w14:textId="77777777" w:rsidR="00CD51FB" w:rsidRDefault="00000000">
            <w:r>
              <w:rPr>
                <w:color w:val="000000"/>
                <w:sz w:val="19"/>
                <w:szCs w:val="19"/>
              </w:rPr>
              <w:t>Baja–media</w:t>
            </w:r>
          </w:p>
        </w:tc>
        <w:tc>
          <w:tcPr>
            <w:tcW w:w="1500" w:type="dxa"/>
            <w:shd w:val="clear" w:color="auto" w:fill="FFFFFF"/>
            <w:tcMar>
              <w:top w:w="80" w:type="dxa"/>
              <w:left w:w="100" w:type="dxa"/>
              <w:bottom w:w="80" w:type="dxa"/>
              <w:right w:w="100" w:type="dxa"/>
            </w:tcMar>
          </w:tcPr>
          <w:p w14:paraId="190CF299" w14:textId="77777777" w:rsidR="00CD51FB" w:rsidRDefault="00000000">
            <w:r>
              <w:rPr>
                <w:color w:val="000000"/>
                <w:sz w:val="19"/>
                <w:szCs w:val="19"/>
              </w:rPr>
              <w:t xml:space="preserve">Vertical; </w:t>
            </w:r>
            <w:proofErr w:type="gramStart"/>
            <w:r>
              <w:rPr>
                <w:color w:val="000000"/>
                <w:sz w:val="19"/>
                <w:szCs w:val="19"/>
              </w:rPr>
              <w:t>horizontal limitada</w:t>
            </w:r>
            <w:proofErr w:type="gramEnd"/>
            <w:r>
              <w:rPr>
                <w:color w:val="000000"/>
                <w:sz w:val="19"/>
                <w:szCs w:val="19"/>
              </w:rPr>
              <w:t xml:space="preserve"> (réplicas)</w:t>
            </w:r>
          </w:p>
        </w:tc>
        <w:tc>
          <w:tcPr>
            <w:tcW w:w="1300" w:type="dxa"/>
            <w:shd w:val="clear" w:color="auto" w:fill="FFFFFF"/>
            <w:tcMar>
              <w:top w:w="80" w:type="dxa"/>
              <w:left w:w="100" w:type="dxa"/>
              <w:bottom w:w="80" w:type="dxa"/>
              <w:right w:w="100" w:type="dxa"/>
            </w:tcMar>
          </w:tcPr>
          <w:p w14:paraId="20C3854A" w14:textId="77777777" w:rsidR="00CD51FB" w:rsidRDefault="00000000">
            <w:r>
              <w:rPr>
                <w:color w:val="000000"/>
                <w:sz w:val="19"/>
                <w:szCs w:val="19"/>
              </w:rPr>
              <w:t>Medio</w:t>
            </w:r>
          </w:p>
        </w:tc>
        <w:tc>
          <w:tcPr>
            <w:tcW w:w="2000" w:type="dxa"/>
            <w:shd w:val="clear" w:color="auto" w:fill="FFFFFF"/>
            <w:tcMar>
              <w:top w:w="80" w:type="dxa"/>
              <w:left w:w="100" w:type="dxa"/>
              <w:bottom w:w="80" w:type="dxa"/>
              <w:right w:w="100" w:type="dxa"/>
            </w:tcMar>
          </w:tcPr>
          <w:p w14:paraId="07DD3A15" w14:textId="77777777" w:rsidR="00CD51FB" w:rsidRDefault="00000000">
            <w:r>
              <w:rPr>
                <w:color w:val="000000"/>
                <w:sz w:val="19"/>
                <w:szCs w:val="19"/>
              </w:rPr>
              <w:t>Transaccional: lecturas/escrituras estructuradas con integridad referencial</w:t>
            </w:r>
          </w:p>
        </w:tc>
        <w:tc>
          <w:tcPr>
            <w:tcW w:w="1280" w:type="dxa"/>
            <w:shd w:val="clear" w:color="auto" w:fill="FFFFFF"/>
            <w:tcMar>
              <w:top w:w="80" w:type="dxa"/>
              <w:left w:w="100" w:type="dxa"/>
              <w:bottom w:w="80" w:type="dxa"/>
              <w:right w:w="100" w:type="dxa"/>
            </w:tcMar>
          </w:tcPr>
          <w:p w14:paraId="4D09F512" w14:textId="77777777" w:rsidR="00CD51FB" w:rsidRDefault="00000000">
            <w:r>
              <w:rPr>
                <w:color w:val="000000"/>
                <w:sz w:val="19"/>
                <w:szCs w:val="19"/>
              </w:rPr>
              <w:t>Estructurado, volumen bajo–medio, alta integridad</w:t>
            </w:r>
          </w:p>
        </w:tc>
      </w:tr>
      <w:tr w:rsidR="00CD51FB" w14:paraId="4574B44B"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5FEB1788" w14:textId="77777777" w:rsidR="00CD51FB" w:rsidRDefault="00000000">
            <w:r>
              <w:rPr>
                <w:color w:val="000000"/>
                <w:sz w:val="19"/>
                <w:szCs w:val="19"/>
              </w:rPr>
              <w:t>MongoDB (documental)</w:t>
            </w:r>
          </w:p>
        </w:tc>
        <w:tc>
          <w:tcPr>
            <w:tcW w:w="1400" w:type="dxa"/>
            <w:shd w:val="clear" w:color="auto" w:fill="F2F2F2"/>
            <w:tcMar>
              <w:top w:w="80" w:type="dxa"/>
              <w:left w:w="100" w:type="dxa"/>
              <w:bottom w:w="80" w:type="dxa"/>
              <w:right w:w="100" w:type="dxa"/>
            </w:tcMar>
          </w:tcPr>
          <w:p w14:paraId="58F29618" w14:textId="77777777" w:rsidR="00CD51FB" w:rsidRDefault="00000000">
            <w:r>
              <w:rPr>
                <w:color w:val="000000"/>
                <w:sz w:val="19"/>
                <w:szCs w:val="19"/>
              </w:rPr>
              <w:t>Eventual, configurable a fuerte por operación</w:t>
            </w:r>
          </w:p>
        </w:tc>
        <w:tc>
          <w:tcPr>
            <w:tcW w:w="1200" w:type="dxa"/>
            <w:shd w:val="clear" w:color="auto" w:fill="F2F2F2"/>
            <w:tcMar>
              <w:top w:w="80" w:type="dxa"/>
              <w:left w:w="100" w:type="dxa"/>
              <w:bottom w:w="80" w:type="dxa"/>
              <w:right w:w="100" w:type="dxa"/>
            </w:tcMar>
          </w:tcPr>
          <w:p w14:paraId="6D7500D1" w14:textId="77777777" w:rsidR="00CD51FB" w:rsidRDefault="00000000">
            <w:r>
              <w:rPr>
                <w:color w:val="000000"/>
                <w:sz w:val="19"/>
                <w:szCs w:val="19"/>
              </w:rPr>
              <w:t>Baja</w:t>
            </w:r>
          </w:p>
        </w:tc>
        <w:tc>
          <w:tcPr>
            <w:tcW w:w="1500" w:type="dxa"/>
            <w:shd w:val="clear" w:color="auto" w:fill="F2F2F2"/>
            <w:tcMar>
              <w:top w:w="80" w:type="dxa"/>
              <w:left w:w="100" w:type="dxa"/>
              <w:bottom w:w="80" w:type="dxa"/>
              <w:right w:w="100" w:type="dxa"/>
            </w:tcMar>
          </w:tcPr>
          <w:p w14:paraId="3CAD338F" w14:textId="77777777" w:rsidR="00CD51FB" w:rsidRDefault="00000000">
            <w:proofErr w:type="gramStart"/>
            <w:r>
              <w:rPr>
                <w:color w:val="000000"/>
                <w:sz w:val="19"/>
                <w:szCs w:val="19"/>
              </w:rPr>
              <w:t>Horizontal nativa</w:t>
            </w:r>
            <w:proofErr w:type="gramEnd"/>
            <w:r>
              <w:rPr>
                <w:color w:val="000000"/>
                <w:sz w:val="19"/>
                <w:szCs w:val="19"/>
              </w:rPr>
              <w:t xml:space="preserve"> (</w:t>
            </w:r>
            <w:proofErr w:type="spellStart"/>
            <w:r>
              <w:rPr>
                <w:color w:val="000000"/>
                <w:sz w:val="19"/>
                <w:szCs w:val="19"/>
              </w:rPr>
              <w:t>sharding</w:t>
            </w:r>
            <w:proofErr w:type="spellEnd"/>
            <w:r>
              <w:rPr>
                <w:color w:val="000000"/>
                <w:sz w:val="19"/>
                <w:szCs w:val="19"/>
              </w:rPr>
              <w:t>)</w:t>
            </w:r>
          </w:p>
        </w:tc>
        <w:tc>
          <w:tcPr>
            <w:tcW w:w="1300" w:type="dxa"/>
            <w:shd w:val="clear" w:color="auto" w:fill="F2F2F2"/>
            <w:tcMar>
              <w:top w:w="80" w:type="dxa"/>
              <w:left w:w="100" w:type="dxa"/>
              <w:bottom w:w="80" w:type="dxa"/>
              <w:right w:w="100" w:type="dxa"/>
            </w:tcMar>
          </w:tcPr>
          <w:p w14:paraId="5B9FC280" w14:textId="77777777" w:rsidR="00CD51FB" w:rsidRDefault="00000000">
            <w:r>
              <w:rPr>
                <w:color w:val="000000"/>
                <w:sz w:val="19"/>
                <w:szCs w:val="19"/>
              </w:rPr>
              <w:t>Medio–bajo</w:t>
            </w:r>
          </w:p>
        </w:tc>
        <w:tc>
          <w:tcPr>
            <w:tcW w:w="2000" w:type="dxa"/>
            <w:shd w:val="clear" w:color="auto" w:fill="F2F2F2"/>
            <w:tcMar>
              <w:top w:w="80" w:type="dxa"/>
              <w:left w:w="100" w:type="dxa"/>
              <w:bottom w:w="80" w:type="dxa"/>
              <w:right w:w="100" w:type="dxa"/>
            </w:tcMar>
          </w:tcPr>
          <w:p w14:paraId="1AF58244" w14:textId="77777777" w:rsidR="00CD51FB" w:rsidRDefault="00000000">
            <w:r>
              <w:rPr>
                <w:color w:val="000000"/>
                <w:sz w:val="19"/>
                <w:szCs w:val="19"/>
              </w:rPr>
              <w:t>Documentos JSON con esquema flexible/variable</w:t>
            </w:r>
          </w:p>
        </w:tc>
        <w:tc>
          <w:tcPr>
            <w:tcW w:w="1280" w:type="dxa"/>
            <w:shd w:val="clear" w:color="auto" w:fill="F2F2F2"/>
            <w:tcMar>
              <w:top w:w="80" w:type="dxa"/>
              <w:left w:w="100" w:type="dxa"/>
              <w:bottom w:w="80" w:type="dxa"/>
              <w:right w:w="100" w:type="dxa"/>
            </w:tcMar>
          </w:tcPr>
          <w:p w14:paraId="57933568" w14:textId="77777777" w:rsidR="00CD51FB" w:rsidRDefault="00000000">
            <w:proofErr w:type="spellStart"/>
            <w:r>
              <w:rPr>
                <w:color w:val="000000"/>
                <w:sz w:val="19"/>
                <w:szCs w:val="19"/>
              </w:rPr>
              <w:t>Semi-estructurado</w:t>
            </w:r>
            <w:proofErr w:type="spellEnd"/>
            <w:r>
              <w:rPr>
                <w:color w:val="000000"/>
                <w:sz w:val="19"/>
                <w:szCs w:val="19"/>
              </w:rPr>
              <w:t>, volumen medio–alto</w:t>
            </w:r>
          </w:p>
        </w:tc>
      </w:tr>
      <w:tr w:rsidR="00CD51FB" w14:paraId="5E433907"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29356F19" w14:textId="77777777" w:rsidR="00CD51FB" w:rsidRDefault="00000000">
            <w:r>
              <w:rPr>
                <w:color w:val="000000"/>
                <w:sz w:val="19"/>
                <w:szCs w:val="19"/>
              </w:rPr>
              <w:t>Redis (clave-valor)</w:t>
            </w:r>
          </w:p>
        </w:tc>
        <w:tc>
          <w:tcPr>
            <w:tcW w:w="1400" w:type="dxa"/>
            <w:shd w:val="clear" w:color="auto" w:fill="FFFFFF"/>
            <w:tcMar>
              <w:top w:w="80" w:type="dxa"/>
              <w:left w:w="100" w:type="dxa"/>
              <w:bottom w:w="80" w:type="dxa"/>
              <w:right w:w="100" w:type="dxa"/>
            </w:tcMar>
          </w:tcPr>
          <w:p w14:paraId="01F3E15C" w14:textId="77777777" w:rsidR="00CD51FB" w:rsidRDefault="00000000">
            <w:r>
              <w:rPr>
                <w:color w:val="000000"/>
                <w:sz w:val="19"/>
                <w:szCs w:val="19"/>
              </w:rPr>
              <w:t>Eventual (en memoria)</w:t>
            </w:r>
          </w:p>
        </w:tc>
        <w:tc>
          <w:tcPr>
            <w:tcW w:w="1200" w:type="dxa"/>
            <w:shd w:val="clear" w:color="auto" w:fill="FFFFFF"/>
            <w:tcMar>
              <w:top w:w="80" w:type="dxa"/>
              <w:left w:w="100" w:type="dxa"/>
              <w:bottom w:w="80" w:type="dxa"/>
              <w:right w:w="100" w:type="dxa"/>
            </w:tcMar>
          </w:tcPr>
          <w:p w14:paraId="041940A5" w14:textId="77777777" w:rsidR="00CD51FB" w:rsidRDefault="00000000">
            <w:r>
              <w:rPr>
                <w:color w:val="000000"/>
                <w:sz w:val="19"/>
                <w:szCs w:val="19"/>
              </w:rPr>
              <w:t>Muy baja (</w:t>
            </w:r>
            <w:proofErr w:type="spellStart"/>
            <w:r>
              <w:rPr>
                <w:color w:val="000000"/>
                <w:sz w:val="19"/>
                <w:szCs w:val="19"/>
              </w:rPr>
              <w:t>sub-ms</w:t>
            </w:r>
            <w:proofErr w:type="spellEnd"/>
            <w:r>
              <w:rPr>
                <w:color w:val="000000"/>
                <w:sz w:val="19"/>
                <w:szCs w:val="19"/>
              </w:rPr>
              <w:t>)</w:t>
            </w:r>
          </w:p>
        </w:tc>
        <w:tc>
          <w:tcPr>
            <w:tcW w:w="1500" w:type="dxa"/>
            <w:shd w:val="clear" w:color="auto" w:fill="FFFFFF"/>
            <w:tcMar>
              <w:top w:w="80" w:type="dxa"/>
              <w:left w:w="100" w:type="dxa"/>
              <w:bottom w:w="80" w:type="dxa"/>
              <w:right w:w="100" w:type="dxa"/>
            </w:tcMar>
          </w:tcPr>
          <w:p w14:paraId="57D1B297" w14:textId="77777777" w:rsidR="00CD51FB" w:rsidRDefault="00000000">
            <w:r>
              <w:rPr>
                <w:color w:val="000000"/>
                <w:sz w:val="19"/>
                <w:szCs w:val="19"/>
              </w:rPr>
              <w:t>Horizontal (</w:t>
            </w:r>
            <w:proofErr w:type="spellStart"/>
            <w:proofErr w:type="gramStart"/>
            <w:r>
              <w:rPr>
                <w:color w:val="000000"/>
                <w:sz w:val="19"/>
                <w:szCs w:val="19"/>
              </w:rPr>
              <w:t>cluster</w:t>
            </w:r>
            <w:proofErr w:type="spellEnd"/>
            <w:proofErr w:type="gramEnd"/>
            <w:r>
              <w:rPr>
                <w:color w:val="000000"/>
                <w:sz w:val="19"/>
                <w:szCs w:val="19"/>
              </w:rPr>
              <w:t>)</w:t>
            </w:r>
          </w:p>
        </w:tc>
        <w:tc>
          <w:tcPr>
            <w:tcW w:w="1300" w:type="dxa"/>
            <w:shd w:val="clear" w:color="auto" w:fill="FFFFFF"/>
            <w:tcMar>
              <w:top w:w="80" w:type="dxa"/>
              <w:left w:w="100" w:type="dxa"/>
              <w:bottom w:w="80" w:type="dxa"/>
              <w:right w:w="100" w:type="dxa"/>
            </w:tcMar>
          </w:tcPr>
          <w:p w14:paraId="22BD219D" w14:textId="77777777" w:rsidR="00CD51FB" w:rsidRDefault="00000000">
            <w:r>
              <w:rPr>
                <w:color w:val="000000"/>
                <w:sz w:val="19"/>
                <w:szCs w:val="19"/>
              </w:rPr>
              <w:t>Medio (RAM)</w:t>
            </w:r>
          </w:p>
        </w:tc>
        <w:tc>
          <w:tcPr>
            <w:tcW w:w="2000" w:type="dxa"/>
            <w:shd w:val="clear" w:color="auto" w:fill="FFFFFF"/>
            <w:tcMar>
              <w:top w:w="80" w:type="dxa"/>
              <w:left w:w="100" w:type="dxa"/>
              <w:bottom w:w="80" w:type="dxa"/>
              <w:right w:w="100" w:type="dxa"/>
            </w:tcMar>
          </w:tcPr>
          <w:p w14:paraId="4CBF5BA0" w14:textId="77777777" w:rsidR="00CD51FB" w:rsidRDefault="00000000">
            <w:r>
              <w:rPr>
                <w:color w:val="000000"/>
                <w:sz w:val="19"/>
                <w:szCs w:val="19"/>
              </w:rPr>
              <w:t>Lecturas/escrituras simples de alta frecuencia; caché y contadores</w:t>
            </w:r>
          </w:p>
        </w:tc>
        <w:tc>
          <w:tcPr>
            <w:tcW w:w="1280" w:type="dxa"/>
            <w:shd w:val="clear" w:color="auto" w:fill="FFFFFF"/>
            <w:tcMar>
              <w:top w:w="80" w:type="dxa"/>
              <w:left w:w="100" w:type="dxa"/>
              <w:bottom w:w="80" w:type="dxa"/>
              <w:right w:w="100" w:type="dxa"/>
            </w:tcMar>
          </w:tcPr>
          <w:p w14:paraId="642AEFED" w14:textId="77777777" w:rsidR="00CD51FB" w:rsidRDefault="00000000">
            <w:r>
              <w:rPr>
                <w:color w:val="000000"/>
                <w:sz w:val="19"/>
                <w:szCs w:val="19"/>
              </w:rPr>
              <w:t xml:space="preserve">Datos efímeros, alto </w:t>
            </w:r>
            <w:proofErr w:type="spellStart"/>
            <w:r>
              <w:rPr>
                <w:color w:val="000000"/>
                <w:sz w:val="19"/>
                <w:szCs w:val="19"/>
              </w:rPr>
              <w:t>throughput</w:t>
            </w:r>
            <w:proofErr w:type="spellEnd"/>
          </w:p>
        </w:tc>
      </w:tr>
      <w:tr w:rsidR="00CD51FB" w14:paraId="1EC4D150" w14:textId="77777777">
        <w:tblPrEx>
          <w:tblCellMar>
            <w:top w:w="0" w:type="dxa"/>
            <w:bottom w:w="0" w:type="dxa"/>
          </w:tblCellMar>
        </w:tblPrEx>
        <w:tc>
          <w:tcPr>
            <w:tcW w:w="1400" w:type="dxa"/>
            <w:shd w:val="clear" w:color="auto" w:fill="F2F2F2"/>
            <w:tcMar>
              <w:top w:w="80" w:type="dxa"/>
              <w:left w:w="100" w:type="dxa"/>
              <w:bottom w:w="80" w:type="dxa"/>
              <w:right w:w="100" w:type="dxa"/>
            </w:tcMar>
          </w:tcPr>
          <w:p w14:paraId="53EFAAE4" w14:textId="77777777" w:rsidR="00CD51FB" w:rsidRDefault="00000000">
            <w:proofErr w:type="spellStart"/>
            <w:r>
              <w:rPr>
                <w:color w:val="000000"/>
                <w:sz w:val="19"/>
                <w:szCs w:val="19"/>
              </w:rPr>
              <w:t>Cassandra</w:t>
            </w:r>
            <w:proofErr w:type="spellEnd"/>
            <w:r>
              <w:rPr>
                <w:color w:val="000000"/>
                <w:sz w:val="19"/>
                <w:szCs w:val="19"/>
              </w:rPr>
              <w:t xml:space="preserve"> (columnar)</w:t>
            </w:r>
          </w:p>
        </w:tc>
        <w:tc>
          <w:tcPr>
            <w:tcW w:w="1400" w:type="dxa"/>
            <w:shd w:val="clear" w:color="auto" w:fill="F2F2F2"/>
            <w:tcMar>
              <w:top w:w="80" w:type="dxa"/>
              <w:left w:w="100" w:type="dxa"/>
              <w:bottom w:w="80" w:type="dxa"/>
              <w:right w:w="100" w:type="dxa"/>
            </w:tcMar>
          </w:tcPr>
          <w:p w14:paraId="2C7BD581" w14:textId="77777777" w:rsidR="00CD51FB" w:rsidRDefault="00000000">
            <w:r>
              <w:rPr>
                <w:color w:val="000000"/>
                <w:sz w:val="19"/>
                <w:szCs w:val="19"/>
              </w:rPr>
              <w:t>Eventual, ajustable (</w:t>
            </w:r>
            <w:proofErr w:type="spellStart"/>
            <w:r>
              <w:rPr>
                <w:color w:val="000000"/>
                <w:sz w:val="19"/>
                <w:szCs w:val="19"/>
              </w:rPr>
              <w:t>tunable</w:t>
            </w:r>
            <w:proofErr w:type="spellEnd"/>
            <w:r>
              <w:rPr>
                <w:color w:val="000000"/>
                <w:sz w:val="19"/>
                <w:szCs w:val="19"/>
              </w:rPr>
              <w:t xml:space="preserve"> </w:t>
            </w:r>
            <w:proofErr w:type="spellStart"/>
            <w:r>
              <w:rPr>
                <w:color w:val="000000"/>
                <w:sz w:val="19"/>
                <w:szCs w:val="19"/>
              </w:rPr>
              <w:t>consistency</w:t>
            </w:r>
            <w:proofErr w:type="spellEnd"/>
            <w:r>
              <w:rPr>
                <w:color w:val="000000"/>
                <w:sz w:val="19"/>
                <w:szCs w:val="19"/>
              </w:rPr>
              <w:t>)</w:t>
            </w:r>
          </w:p>
        </w:tc>
        <w:tc>
          <w:tcPr>
            <w:tcW w:w="1200" w:type="dxa"/>
            <w:shd w:val="clear" w:color="auto" w:fill="F2F2F2"/>
            <w:tcMar>
              <w:top w:w="80" w:type="dxa"/>
              <w:left w:w="100" w:type="dxa"/>
              <w:bottom w:w="80" w:type="dxa"/>
              <w:right w:w="100" w:type="dxa"/>
            </w:tcMar>
          </w:tcPr>
          <w:p w14:paraId="25BA8630" w14:textId="77777777" w:rsidR="00CD51FB" w:rsidRDefault="00000000">
            <w:r>
              <w:rPr>
                <w:color w:val="000000"/>
                <w:sz w:val="19"/>
                <w:szCs w:val="19"/>
              </w:rPr>
              <w:t>Baja</w:t>
            </w:r>
          </w:p>
        </w:tc>
        <w:tc>
          <w:tcPr>
            <w:tcW w:w="1500" w:type="dxa"/>
            <w:shd w:val="clear" w:color="auto" w:fill="F2F2F2"/>
            <w:tcMar>
              <w:top w:w="80" w:type="dxa"/>
              <w:left w:w="100" w:type="dxa"/>
              <w:bottom w:w="80" w:type="dxa"/>
              <w:right w:w="100" w:type="dxa"/>
            </w:tcMar>
          </w:tcPr>
          <w:p w14:paraId="7FBAAE7C" w14:textId="77777777" w:rsidR="00CD51FB" w:rsidRDefault="00000000">
            <w:proofErr w:type="gramStart"/>
            <w:r>
              <w:rPr>
                <w:color w:val="000000"/>
                <w:sz w:val="19"/>
                <w:szCs w:val="19"/>
              </w:rPr>
              <w:t>Horizontal masiva</w:t>
            </w:r>
            <w:proofErr w:type="gramEnd"/>
            <w:r>
              <w:rPr>
                <w:color w:val="000000"/>
                <w:sz w:val="19"/>
                <w:szCs w:val="19"/>
              </w:rPr>
              <w:t>, sin punto único de falla</w:t>
            </w:r>
          </w:p>
        </w:tc>
        <w:tc>
          <w:tcPr>
            <w:tcW w:w="1300" w:type="dxa"/>
            <w:shd w:val="clear" w:color="auto" w:fill="F2F2F2"/>
            <w:tcMar>
              <w:top w:w="80" w:type="dxa"/>
              <w:left w:w="100" w:type="dxa"/>
              <w:bottom w:w="80" w:type="dxa"/>
              <w:right w:w="100" w:type="dxa"/>
            </w:tcMar>
          </w:tcPr>
          <w:p w14:paraId="37C4BD17" w14:textId="77777777" w:rsidR="00CD51FB" w:rsidRDefault="00000000">
            <w:r>
              <w:rPr>
                <w:color w:val="000000"/>
                <w:sz w:val="19"/>
                <w:szCs w:val="19"/>
              </w:rPr>
              <w:t>Alto en infraestructura inicial, bajo por nodo</w:t>
            </w:r>
          </w:p>
        </w:tc>
        <w:tc>
          <w:tcPr>
            <w:tcW w:w="2000" w:type="dxa"/>
            <w:shd w:val="clear" w:color="auto" w:fill="F2F2F2"/>
            <w:tcMar>
              <w:top w:w="80" w:type="dxa"/>
              <w:left w:w="100" w:type="dxa"/>
              <w:bottom w:w="80" w:type="dxa"/>
              <w:right w:w="100" w:type="dxa"/>
            </w:tcMar>
          </w:tcPr>
          <w:p w14:paraId="1196E084" w14:textId="77777777" w:rsidR="00CD51FB" w:rsidRDefault="00000000">
            <w:r>
              <w:rPr>
                <w:color w:val="000000"/>
                <w:sz w:val="19"/>
                <w:szCs w:val="19"/>
              </w:rPr>
              <w:t xml:space="preserve">Escritura masiva </w:t>
            </w:r>
            <w:proofErr w:type="spellStart"/>
            <w:r>
              <w:rPr>
                <w:color w:val="000000"/>
                <w:sz w:val="19"/>
                <w:szCs w:val="19"/>
              </w:rPr>
              <w:t>append-only</w:t>
            </w:r>
            <w:proofErr w:type="spellEnd"/>
            <w:r>
              <w:rPr>
                <w:color w:val="000000"/>
                <w:sz w:val="19"/>
                <w:szCs w:val="19"/>
              </w:rPr>
              <w:t xml:space="preserve"> (series de tiempo)</w:t>
            </w:r>
          </w:p>
        </w:tc>
        <w:tc>
          <w:tcPr>
            <w:tcW w:w="1280" w:type="dxa"/>
            <w:shd w:val="clear" w:color="auto" w:fill="F2F2F2"/>
            <w:tcMar>
              <w:top w:w="80" w:type="dxa"/>
              <w:left w:w="100" w:type="dxa"/>
              <w:bottom w:w="80" w:type="dxa"/>
              <w:right w:w="100" w:type="dxa"/>
            </w:tcMar>
          </w:tcPr>
          <w:p w14:paraId="642FF487" w14:textId="77777777" w:rsidR="00CD51FB" w:rsidRDefault="00000000">
            <w:r>
              <w:rPr>
                <w:color w:val="000000"/>
                <w:sz w:val="19"/>
                <w:szCs w:val="19"/>
              </w:rPr>
              <w:t>Muy alto volumen, datos homogéneos y continuos</w:t>
            </w:r>
          </w:p>
        </w:tc>
      </w:tr>
      <w:tr w:rsidR="00CD51FB" w14:paraId="2B8DADC1" w14:textId="77777777">
        <w:tblPrEx>
          <w:tblCellMar>
            <w:top w:w="0" w:type="dxa"/>
            <w:bottom w:w="0" w:type="dxa"/>
          </w:tblCellMar>
        </w:tblPrEx>
        <w:tc>
          <w:tcPr>
            <w:tcW w:w="1400" w:type="dxa"/>
            <w:shd w:val="clear" w:color="auto" w:fill="FFFFFF"/>
            <w:tcMar>
              <w:top w:w="80" w:type="dxa"/>
              <w:left w:w="100" w:type="dxa"/>
              <w:bottom w:w="80" w:type="dxa"/>
              <w:right w:w="100" w:type="dxa"/>
            </w:tcMar>
          </w:tcPr>
          <w:p w14:paraId="7F9E9D9C" w14:textId="77777777" w:rsidR="00CD51FB" w:rsidRDefault="00000000">
            <w:r>
              <w:rPr>
                <w:color w:val="000000"/>
                <w:sz w:val="19"/>
                <w:szCs w:val="19"/>
              </w:rPr>
              <w:t>Neo4j (grafos)</w:t>
            </w:r>
          </w:p>
        </w:tc>
        <w:tc>
          <w:tcPr>
            <w:tcW w:w="1400" w:type="dxa"/>
            <w:shd w:val="clear" w:color="auto" w:fill="FFFFFF"/>
            <w:tcMar>
              <w:top w:w="80" w:type="dxa"/>
              <w:left w:w="100" w:type="dxa"/>
              <w:bottom w:w="80" w:type="dxa"/>
              <w:right w:w="100" w:type="dxa"/>
            </w:tcMar>
          </w:tcPr>
          <w:p w14:paraId="031168AE" w14:textId="77777777" w:rsidR="00CD51FB" w:rsidRDefault="00000000">
            <w:r>
              <w:rPr>
                <w:color w:val="000000"/>
                <w:sz w:val="19"/>
                <w:szCs w:val="19"/>
              </w:rPr>
              <w:t>Fuerte (transaccional ACID)</w:t>
            </w:r>
          </w:p>
        </w:tc>
        <w:tc>
          <w:tcPr>
            <w:tcW w:w="1200" w:type="dxa"/>
            <w:shd w:val="clear" w:color="auto" w:fill="FFFFFF"/>
            <w:tcMar>
              <w:top w:w="80" w:type="dxa"/>
              <w:left w:w="100" w:type="dxa"/>
              <w:bottom w:w="80" w:type="dxa"/>
              <w:right w:w="100" w:type="dxa"/>
            </w:tcMar>
          </w:tcPr>
          <w:p w14:paraId="4DE98A31" w14:textId="77777777" w:rsidR="00CD51FB" w:rsidRDefault="00000000">
            <w:r>
              <w:rPr>
                <w:color w:val="000000"/>
                <w:sz w:val="19"/>
                <w:szCs w:val="19"/>
              </w:rPr>
              <w:t>Media</w:t>
            </w:r>
          </w:p>
        </w:tc>
        <w:tc>
          <w:tcPr>
            <w:tcW w:w="1500" w:type="dxa"/>
            <w:shd w:val="clear" w:color="auto" w:fill="FFFFFF"/>
            <w:tcMar>
              <w:top w:w="80" w:type="dxa"/>
              <w:left w:w="100" w:type="dxa"/>
              <w:bottom w:w="80" w:type="dxa"/>
              <w:right w:w="100" w:type="dxa"/>
            </w:tcMar>
          </w:tcPr>
          <w:p w14:paraId="13674F60" w14:textId="77777777" w:rsidR="00CD51FB" w:rsidRDefault="00000000">
            <w:r>
              <w:rPr>
                <w:color w:val="000000"/>
                <w:sz w:val="19"/>
                <w:szCs w:val="19"/>
              </w:rPr>
              <w:t>Vertical / horizontal limitada</w:t>
            </w:r>
          </w:p>
        </w:tc>
        <w:tc>
          <w:tcPr>
            <w:tcW w:w="1300" w:type="dxa"/>
            <w:shd w:val="clear" w:color="auto" w:fill="FFFFFF"/>
            <w:tcMar>
              <w:top w:w="80" w:type="dxa"/>
              <w:left w:w="100" w:type="dxa"/>
              <w:bottom w:w="80" w:type="dxa"/>
              <w:right w:w="100" w:type="dxa"/>
            </w:tcMar>
          </w:tcPr>
          <w:p w14:paraId="7D5CCA9F" w14:textId="77777777" w:rsidR="00CD51FB" w:rsidRDefault="00000000">
            <w:r>
              <w:rPr>
                <w:color w:val="000000"/>
                <w:sz w:val="19"/>
                <w:szCs w:val="19"/>
              </w:rPr>
              <w:t>Medio–alto</w:t>
            </w:r>
          </w:p>
        </w:tc>
        <w:tc>
          <w:tcPr>
            <w:tcW w:w="2000" w:type="dxa"/>
            <w:shd w:val="clear" w:color="auto" w:fill="FFFFFF"/>
            <w:tcMar>
              <w:top w:w="80" w:type="dxa"/>
              <w:left w:w="100" w:type="dxa"/>
              <w:bottom w:w="80" w:type="dxa"/>
              <w:right w:w="100" w:type="dxa"/>
            </w:tcMar>
          </w:tcPr>
          <w:p w14:paraId="6BD6312B" w14:textId="77777777" w:rsidR="00CD51FB" w:rsidRDefault="00000000">
            <w:r>
              <w:rPr>
                <w:color w:val="000000"/>
                <w:sz w:val="19"/>
                <w:szCs w:val="19"/>
              </w:rPr>
              <w:t>Recorridos y consultas de relaciones entre entidades</w:t>
            </w:r>
          </w:p>
        </w:tc>
        <w:tc>
          <w:tcPr>
            <w:tcW w:w="1280" w:type="dxa"/>
            <w:shd w:val="clear" w:color="auto" w:fill="FFFFFF"/>
            <w:tcMar>
              <w:top w:w="80" w:type="dxa"/>
              <w:left w:w="100" w:type="dxa"/>
              <w:bottom w:w="80" w:type="dxa"/>
              <w:right w:w="100" w:type="dxa"/>
            </w:tcMar>
          </w:tcPr>
          <w:p w14:paraId="13291EC2" w14:textId="77777777" w:rsidR="00CD51FB" w:rsidRDefault="00000000">
            <w:r>
              <w:rPr>
                <w:color w:val="000000"/>
                <w:sz w:val="19"/>
                <w:szCs w:val="19"/>
              </w:rPr>
              <w:t>Volumen bajo–medio, alta conectividad</w:t>
            </w:r>
          </w:p>
        </w:tc>
      </w:tr>
    </w:tbl>
    <w:p w14:paraId="754F7E35" w14:textId="77777777" w:rsidR="00CD51FB" w:rsidRDefault="00CD51FB">
      <w:pPr>
        <w:spacing w:after="200"/>
      </w:pPr>
    </w:p>
    <w:p w14:paraId="767BEB8F" w14:textId="77777777" w:rsidR="00DA4C6F" w:rsidRDefault="00DA4C6F">
      <w:pPr>
        <w:spacing w:after="200"/>
      </w:pPr>
    </w:p>
    <w:p w14:paraId="05A9A0D5" w14:textId="77777777" w:rsidR="00CD51FB" w:rsidRDefault="00000000">
      <w:pPr>
        <w:pStyle w:val="Ttulo1"/>
        <w:spacing w:before="300" w:after="150"/>
      </w:pPr>
      <w:r>
        <w:lastRenderedPageBreak/>
        <w:t>3. Justificación de la selección</w:t>
      </w:r>
    </w:p>
    <w:p w14:paraId="578BBC4E" w14:textId="77777777" w:rsidR="00CD51FB" w:rsidRDefault="00000000">
      <w:pPr>
        <w:spacing w:after="140"/>
      </w:pPr>
      <w:r>
        <w:t>Dado que ningún motor cubre bien todos los criterios a la vez, se propone una arquitectura de persistencia poliglota, combinando cinco motores según el subdominio de datos que atienden:</w:t>
      </w:r>
    </w:p>
    <w:p w14:paraId="26C3EDA1" w14:textId="77777777" w:rsidR="00CD51FB" w:rsidRDefault="00000000">
      <w:pPr>
        <w:spacing w:after="140"/>
      </w:pPr>
      <w:r>
        <w:rPr>
          <w:b/>
          <w:bCs/>
        </w:rPr>
        <w:t xml:space="preserve">PostgreSQL (núcleo transaccional). </w:t>
      </w:r>
      <w:r>
        <w:t>Gestiona lotes, ventas y pagos. Se eligió por su soporte ACID completo: una venta o un pago no puede quedar registrado a medias, y el modelo relacional garantiza integridad referencial entre estanques, lotes y transacciones financieras.</w:t>
      </w:r>
    </w:p>
    <w:p w14:paraId="4580058A" w14:textId="77777777" w:rsidR="00CD51FB" w:rsidRDefault="00000000">
      <w:pPr>
        <w:spacing w:after="140"/>
      </w:pPr>
      <w:proofErr w:type="spellStart"/>
      <w:r>
        <w:rPr>
          <w:b/>
          <w:bCs/>
        </w:rPr>
        <w:t>Cassandra</w:t>
      </w:r>
      <w:proofErr w:type="spellEnd"/>
      <w:r>
        <w:rPr>
          <w:b/>
          <w:bCs/>
        </w:rPr>
        <w:t xml:space="preserve"> (series de tiempo de sensores). </w:t>
      </w:r>
      <w:r>
        <w:t>Recibe las lecturas continuas de oxígeno, temperatura y pH. Se seleccionó por su capacidad de absorber escritura masiva y sostenida sin cuello de botella, aceptando consistencia eventual porque una lectura de sensor con segundos de desfase no compromete la operación.</w:t>
      </w:r>
    </w:p>
    <w:p w14:paraId="5B6166FB" w14:textId="77777777" w:rsidR="00CD51FB" w:rsidRDefault="00000000">
      <w:pPr>
        <w:spacing w:after="140"/>
      </w:pPr>
      <w:r>
        <w:rPr>
          <w:b/>
          <w:bCs/>
        </w:rPr>
        <w:t xml:space="preserve">MongoDB (perfiles y fichas técnicas). </w:t>
      </w:r>
      <w:r>
        <w:t>Almacena información de fincas, estanques y fichas de manejo, cuyo esquema varía según el productor (no todos registran las mismas variables). El modelo documental evita forzar una estructura rígida para datos naturalmente heterogéneos.</w:t>
      </w:r>
    </w:p>
    <w:p w14:paraId="42B8A1F2" w14:textId="77777777" w:rsidR="00CD51FB" w:rsidRDefault="00000000">
      <w:pPr>
        <w:spacing w:after="140"/>
      </w:pPr>
      <w:r>
        <w:rPr>
          <w:b/>
          <w:bCs/>
        </w:rPr>
        <w:t xml:space="preserve">Redis (caché y alertas). </w:t>
      </w:r>
      <w:r>
        <w:t xml:space="preserve">Maneja sesiones de usuario y disparo de alertas críticas (ej. oxígeno bajo). Se priorizó por su latencia </w:t>
      </w:r>
      <w:proofErr w:type="spellStart"/>
      <w:r>
        <w:t>sub-milisegundo</w:t>
      </w:r>
      <w:proofErr w:type="spellEnd"/>
      <w:r>
        <w:t>, indispensable cuando una alerta debe notificarse de inmediato para evitar pérdida de producción.</w:t>
      </w:r>
    </w:p>
    <w:p w14:paraId="402996EF" w14:textId="77777777" w:rsidR="00CD51FB" w:rsidRDefault="00000000">
      <w:pPr>
        <w:spacing w:after="140"/>
      </w:pPr>
      <w:r>
        <w:rPr>
          <w:b/>
          <w:bCs/>
        </w:rPr>
        <w:t xml:space="preserve">Neo4j (trazabilidad, incorporación futura). </w:t>
      </w:r>
      <w:r>
        <w:t>Se contempla para modelar la cadena lote → estanque → venta → cliente como un grafo, útil si más adelante se requieren consultas de trazabilidad o recomendaciones (Unidad 5). No es indispensable en el producto inicial, pero se deja prevista en la arquitectura.</w:t>
      </w:r>
    </w:p>
    <w:p w14:paraId="16901662" w14:textId="77777777" w:rsidR="00CD51FB" w:rsidRDefault="00000000">
      <w:pPr>
        <w:spacing w:after="140"/>
      </w:pPr>
      <w:r>
        <w:t xml:space="preserve">En síntesis: los datos estructurados y de alto valor transaccional (dinero, inventario) van a SQL; los datos de alto volumen y baja variabilidad estructural (sensores) van a un motor columnar; los datos </w:t>
      </w:r>
      <w:proofErr w:type="spellStart"/>
      <w:r>
        <w:t>semi-estructurados</w:t>
      </w:r>
      <w:proofErr w:type="spellEnd"/>
      <w:r>
        <w:t xml:space="preserve"> van a un documental; y lo efímero/rápido va a memoria. Esta distribución sigue el criterio de "persistencia poliglota" de los apuntes: no es SQL vs. NoSQL, sino SQL y NoSQL, cada uno donde mejor rinde.</w:t>
      </w:r>
    </w:p>
    <w:p w14:paraId="30B772FD" w14:textId="77777777" w:rsidR="00CD51FB" w:rsidRDefault="00000000">
      <w:pPr>
        <w:pStyle w:val="Ttulo1"/>
        <w:spacing w:before="300" w:after="150"/>
      </w:pPr>
      <w:r>
        <w:t>4. Arquitectura inicial propuesta</w:t>
      </w:r>
    </w:p>
    <w:p w14:paraId="08C30F08" w14:textId="77777777" w:rsidR="00CD51FB" w:rsidRDefault="00000000">
      <w:pPr>
        <w:spacing w:after="140"/>
      </w:pPr>
      <w:r>
        <w:t xml:space="preserve">El siguiente diagrama resume el flujo de datos entre los sensores, el </w:t>
      </w:r>
      <w:proofErr w:type="spellStart"/>
      <w:r>
        <w:t>backend</w:t>
      </w:r>
      <w:proofErr w:type="spellEnd"/>
      <w:r>
        <w:t xml:space="preserve"> y los cinco motores de persistencia, junto con una capa de analítica que agrega información de todas las fuentes para los </w:t>
      </w:r>
      <w:proofErr w:type="spellStart"/>
      <w:r>
        <w:t>dashboards</w:t>
      </w:r>
      <w:proofErr w:type="spellEnd"/>
      <w:r>
        <w:t xml:space="preserve"> del productor.</w:t>
      </w:r>
    </w:p>
    <w:p w14:paraId="3E246572" w14:textId="77777777" w:rsidR="00CD51FB" w:rsidRDefault="00000000">
      <w:pPr>
        <w:spacing w:after="200"/>
        <w:jc w:val="center"/>
      </w:pPr>
      <w:r>
        <w:rPr>
          <w:noProof/>
        </w:rPr>
        <w:drawing>
          <wp:inline distT="0" distB="0" distL="0" distR="0" wp14:anchorId="4192C0AB" wp14:editId="35F63BAF">
            <wp:extent cx="5905500" cy="3695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695700"/>
                    </a:xfrm>
                    <a:prstGeom prst="rect">
                      <a:avLst/>
                    </a:prstGeom>
                  </pic:spPr>
                </pic:pic>
              </a:graphicData>
            </a:graphic>
          </wp:inline>
        </w:drawing>
      </w:r>
    </w:p>
    <w:p w14:paraId="1554A174" w14:textId="77777777" w:rsidR="00CD51FB" w:rsidRDefault="00000000">
      <w:pPr>
        <w:pStyle w:val="Ttulo1"/>
        <w:spacing w:before="300" w:after="150"/>
      </w:pPr>
      <w:r>
        <w:lastRenderedPageBreak/>
        <w:t>5. Repositorio del proyecto</w:t>
      </w:r>
    </w:p>
    <w:p w14:paraId="6AC2AD37" w14:textId="77777777" w:rsidR="00CD51FB" w:rsidRDefault="00000000">
      <w:pPr>
        <w:spacing w:after="140"/>
      </w:pPr>
      <w:r>
        <w:t>Repositorio del proyecto: https://github.com/Parra9510/aquality</w:t>
      </w:r>
    </w:p>
    <w:p w14:paraId="345F281D" w14:textId="0B08C8F6" w:rsidR="00CD51FB" w:rsidRPr="00DA4C6F" w:rsidRDefault="00CD51FB" w:rsidP="00DA4C6F">
      <w:pPr>
        <w:pStyle w:val="Prrafodelista"/>
        <w:spacing w:after="80"/>
        <w:ind w:left="420"/>
        <w:rPr>
          <w:u w:val="single"/>
        </w:rPr>
      </w:pPr>
    </w:p>
    <w:sectPr w:rsidR="00CD51FB" w:rsidRPr="00DA4C6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C6F63"/>
    <w:multiLevelType w:val="hybridMultilevel"/>
    <w:tmpl w:val="A85E92FC"/>
    <w:lvl w:ilvl="0" w:tplc="349252F8">
      <w:start w:val="1"/>
      <w:numFmt w:val="bullet"/>
      <w:lvlText w:val="●"/>
      <w:lvlJc w:val="left"/>
      <w:pPr>
        <w:ind w:left="720" w:hanging="360"/>
      </w:pPr>
    </w:lvl>
    <w:lvl w:ilvl="1" w:tplc="736A023E">
      <w:start w:val="1"/>
      <w:numFmt w:val="bullet"/>
      <w:lvlText w:val="○"/>
      <w:lvlJc w:val="left"/>
      <w:pPr>
        <w:ind w:left="1440" w:hanging="360"/>
      </w:pPr>
    </w:lvl>
    <w:lvl w:ilvl="2" w:tplc="3EE437D6">
      <w:start w:val="1"/>
      <w:numFmt w:val="bullet"/>
      <w:lvlText w:val="■"/>
      <w:lvlJc w:val="left"/>
      <w:pPr>
        <w:ind w:left="2160" w:hanging="360"/>
      </w:pPr>
    </w:lvl>
    <w:lvl w:ilvl="3" w:tplc="617A166A">
      <w:start w:val="1"/>
      <w:numFmt w:val="bullet"/>
      <w:lvlText w:val="●"/>
      <w:lvlJc w:val="left"/>
      <w:pPr>
        <w:ind w:left="2880" w:hanging="360"/>
      </w:pPr>
    </w:lvl>
    <w:lvl w:ilvl="4" w:tplc="63620F04">
      <w:start w:val="1"/>
      <w:numFmt w:val="bullet"/>
      <w:lvlText w:val="○"/>
      <w:lvlJc w:val="left"/>
      <w:pPr>
        <w:ind w:left="3600" w:hanging="360"/>
      </w:pPr>
    </w:lvl>
    <w:lvl w:ilvl="5" w:tplc="641E601A">
      <w:start w:val="1"/>
      <w:numFmt w:val="bullet"/>
      <w:lvlText w:val="■"/>
      <w:lvlJc w:val="left"/>
      <w:pPr>
        <w:ind w:left="4320" w:hanging="360"/>
      </w:pPr>
    </w:lvl>
    <w:lvl w:ilvl="6" w:tplc="625855B0">
      <w:start w:val="1"/>
      <w:numFmt w:val="bullet"/>
      <w:lvlText w:val="●"/>
      <w:lvlJc w:val="left"/>
      <w:pPr>
        <w:ind w:left="5040" w:hanging="360"/>
      </w:pPr>
    </w:lvl>
    <w:lvl w:ilvl="7" w:tplc="B8786198">
      <w:start w:val="1"/>
      <w:numFmt w:val="bullet"/>
      <w:lvlText w:val="●"/>
      <w:lvlJc w:val="left"/>
      <w:pPr>
        <w:ind w:left="5760" w:hanging="360"/>
      </w:pPr>
    </w:lvl>
    <w:lvl w:ilvl="8" w:tplc="5FB2B53E">
      <w:start w:val="1"/>
      <w:numFmt w:val="bullet"/>
      <w:lvlText w:val="●"/>
      <w:lvlJc w:val="left"/>
      <w:pPr>
        <w:ind w:left="6480" w:hanging="360"/>
      </w:pPr>
    </w:lvl>
  </w:abstractNum>
  <w:abstractNum w:abstractNumId="1" w15:restartNumberingAfterBreak="0">
    <w:nsid w:val="77C45ED0"/>
    <w:multiLevelType w:val="hybridMultilevel"/>
    <w:tmpl w:val="40C8B54A"/>
    <w:lvl w:ilvl="0" w:tplc="577E167E">
      <w:start w:val="1"/>
      <w:numFmt w:val="bullet"/>
      <w:lvlText w:val="•"/>
      <w:lvlJc w:val="left"/>
      <w:pPr>
        <w:ind w:left="420" w:hanging="260"/>
      </w:pPr>
    </w:lvl>
    <w:lvl w:ilvl="1" w:tplc="27AC47E6">
      <w:start w:val="1"/>
      <w:numFmt w:val="bullet"/>
      <w:lvlText w:val="◦"/>
      <w:lvlJc w:val="left"/>
      <w:pPr>
        <w:ind w:left="840" w:hanging="260"/>
      </w:pPr>
    </w:lvl>
    <w:lvl w:ilvl="2" w:tplc="A4469750">
      <w:numFmt w:val="decimal"/>
      <w:lvlText w:val=""/>
      <w:lvlJc w:val="left"/>
    </w:lvl>
    <w:lvl w:ilvl="3" w:tplc="4E50E3BA">
      <w:numFmt w:val="decimal"/>
      <w:lvlText w:val=""/>
      <w:lvlJc w:val="left"/>
    </w:lvl>
    <w:lvl w:ilvl="4" w:tplc="FA38BBE6">
      <w:numFmt w:val="decimal"/>
      <w:lvlText w:val=""/>
      <w:lvlJc w:val="left"/>
    </w:lvl>
    <w:lvl w:ilvl="5" w:tplc="1CBA7072">
      <w:numFmt w:val="decimal"/>
      <w:lvlText w:val=""/>
      <w:lvlJc w:val="left"/>
    </w:lvl>
    <w:lvl w:ilvl="6" w:tplc="4D8EA55A">
      <w:numFmt w:val="decimal"/>
      <w:lvlText w:val=""/>
      <w:lvlJc w:val="left"/>
    </w:lvl>
    <w:lvl w:ilvl="7" w:tplc="0E24FC02">
      <w:numFmt w:val="decimal"/>
      <w:lvlText w:val=""/>
      <w:lvlJc w:val="left"/>
    </w:lvl>
    <w:lvl w:ilvl="8" w:tplc="A2FAFF82">
      <w:numFmt w:val="decimal"/>
      <w:lvlText w:val=""/>
      <w:lvlJc w:val="left"/>
    </w:lvl>
  </w:abstractNum>
  <w:num w:numId="1" w16cid:durableId="1183394119">
    <w:abstractNumId w:val="0"/>
    <w:lvlOverride w:ilvl="0">
      <w:startOverride w:val="1"/>
    </w:lvlOverride>
  </w:num>
  <w:num w:numId="2" w16cid:durableId="17813420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1FB"/>
    <w:rsid w:val="00CD51FB"/>
    <w:rsid w:val="00D40011"/>
    <w:rsid w:val="00DA4C6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83EB7"/>
  <w15:docId w15:val="{93BCDD2D-99A6-47B8-94D6-CEE8FA822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806</Words>
  <Characters>4439</Characters>
  <Application>Microsoft Office Word</Application>
  <DocSecurity>0</DocSecurity>
  <Lines>36</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2026-09-10T00:14:00Z</dcterms:created>
  <dcterms:modified xsi:type="dcterms:W3CDTF">2026-09-10T00:32:00Z</dcterms:modified>
</cp:coreProperties>
</file>