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103F" w14:textId="77777777" w:rsidR="00C26F2D" w:rsidRPr="00BF077B" w:rsidRDefault="00A046CC" w:rsidP="00BF077B">
      <w:pPr>
        <w:pStyle w:val="ATSNormal"/>
        <w:rPr>
          <w:rStyle w:val="Ttulodellibro"/>
        </w:rPr>
      </w:pPr>
    </w:p>
    <w:p w14:paraId="60FB2092" w14:textId="77777777" w:rsidR="002F0A13" w:rsidRDefault="00A046CC" w:rsidP="004B4A60">
      <w:pPr>
        <w:rPr>
          <w:b/>
          <w:u w:val="single"/>
          <w:lang w:val="es-ES_tradnl"/>
        </w:rPr>
      </w:pPr>
    </w:p>
    <w:p w14:paraId="1D1D5928" w14:textId="77777777" w:rsidR="002F0A13" w:rsidRDefault="00A046CC" w:rsidP="004B4A60">
      <w:pPr>
        <w:rPr>
          <w:b/>
          <w:u w:val="single"/>
          <w:lang w:val="es-ES_tradnl"/>
        </w:rPr>
      </w:pPr>
    </w:p>
    <w:p w14:paraId="09F21E63" w14:textId="77777777" w:rsidR="002F0A13" w:rsidRDefault="00A046CC" w:rsidP="004B4A60">
      <w:pPr>
        <w:rPr>
          <w:b/>
          <w:u w:val="single"/>
          <w:lang w:val="es-ES_tradnl"/>
        </w:rPr>
      </w:pPr>
    </w:p>
    <w:p w14:paraId="2884810D" w14:textId="77777777" w:rsidR="002F0A13" w:rsidRDefault="00A046CC" w:rsidP="004B4A60">
      <w:pPr>
        <w:rPr>
          <w:b/>
          <w:u w:val="single"/>
          <w:lang w:val="es-ES_tradnl"/>
        </w:rPr>
      </w:pPr>
    </w:p>
    <w:p w14:paraId="7E579554" w14:textId="77777777" w:rsidR="00C26F2D" w:rsidRDefault="00A046CC" w:rsidP="004B4A60">
      <w:pPr>
        <w:rPr>
          <w:b/>
          <w:u w:val="single"/>
          <w:lang w:val="es-ES_tradnl"/>
        </w:rPr>
      </w:pPr>
    </w:p>
    <w:p w14:paraId="0108ADE8" w14:textId="77777777" w:rsidR="004B4A60" w:rsidRPr="0057246E" w:rsidRDefault="00A046CC" w:rsidP="001B789F">
      <w:pPr>
        <w:pStyle w:val="ATSTitle"/>
      </w:pPr>
      <w:bookmarkStart w:id="0" w:name="name"/>
      <w:r>
        <w:t>Assessment of communication masking in Antarctic marine mammals by airgun sound</w:t>
      </w:r>
    </w:p>
    <w:bookmarkEnd w:id="0"/>
    <w:p w14:paraId="45045075" w14:textId="77777777" w:rsidR="00BD4025" w:rsidRDefault="00BD4025" w:rsidP="001B789F">
      <w:pPr>
        <w:pStyle w:val="ATSTitle"/>
      </w:pPr>
    </w:p>
    <w:p w14:paraId="518F74AB" w14:textId="77777777" w:rsidR="004B4A60" w:rsidRPr="0057246E" w:rsidRDefault="00A046CC" w:rsidP="00F75424">
      <w:pPr>
        <w:jc w:val="center"/>
      </w:pPr>
    </w:p>
    <w:p w14:paraId="077B9319" w14:textId="77777777" w:rsidR="004B4A60" w:rsidRPr="002F0A13" w:rsidRDefault="00A046CC" w:rsidP="002F0A13"/>
    <w:p w14:paraId="2AC6EACB" w14:textId="77777777" w:rsidR="004B4A60" w:rsidRDefault="00A046CC" w:rsidP="00F75424">
      <w:pPr>
        <w:jc w:val="center"/>
      </w:pPr>
      <w:bookmarkStart w:id="1" w:name="memo"/>
      <w:bookmarkEnd w:id="1"/>
    </w:p>
    <w:p w14:paraId="2C2A36E1" w14:textId="77777777" w:rsidR="0097629D" w:rsidRDefault="00A046CC" w:rsidP="00F75424">
      <w:pPr>
        <w:jc w:val="center"/>
      </w:pPr>
    </w:p>
    <w:p w14:paraId="6A881400" w14:textId="77777777" w:rsidR="0097629D" w:rsidRDefault="00A046CC" w:rsidP="00F75424">
      <w:pPr>
        <w:jc w:val="center"/>
      </w:pPr>
    </w:p>
    <w:p w14:paraId="01744209" w14:textId="77777777" w:rsidR="0097629D" w:rsidRDefault="00A046CC" w:rsidP="00F75424">
      <w:pPr>
        <w:jc w:val="center"/>
      </w:pPr>
    </w:p>
    <w:p w14:paraId="6415F450" w14:textId="77777777" w:rsidR="0097629D" w:rsidRPr="00C26F2D" w:rsidRDefault="00A046CC" w:rsidP="00F75424">
      <w:pPr>
        <w:jc w:val="center"/>
      </w:pPr>
    </w:p>
    <w:p w14:paraId="394A7EE0" w14:textId="77777777" w:rsidR="004B4A60" w:rsidRPr="0057246E" w:rsidRDefault="00A046CC" w:rsidP="004B4A60"/>
    <w:p w14:paraId="79F22632" w14:textId="77777777" w:rsidR="00C26F2D" w:rsidRDefault="00A046C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9B04FA9" w14:textId="70088B32" w:rsidR="004B4A60" w:rsidRDefault="00A046CC" w:rsidP="00952E9F"/>
    <w:p w14:paraId="77584819" w14:textId="77777777" w:rsidR="00A046CC" w:rsidRPr="00667E7E" w:rsidRDefault="00A046CC" w:rsidP="00A046CC">
      <w:pPr>
        <w:pStyle w:val="ATSHeading1"/>
      </w:pPr>
      <w:r w:rsidRPr="00667E7E">
        <w:t xml:space="preserve">Assessment of communication masking </w:t>
      </w:r>
      <w:r>
        <w:br/>
      </w:r>
      <w:r w:rsidRPr="00667E7E">
        <w:t xml:space="preserve">in Antarctic marine mammals by </w:t>
      </w:r>
      <w:r>
        <w:t>airgun</w:t>
      </w:r>
      <w:r w:rsidRPr="00667E7E">
        <w:t xml:space="preserve"> sound </w:t>
      </w:r>
      <w:r>
        <w:br/>
      </w:r>
    </w:p>
    <w:p w14:paraId="10D2E21E" w14:textId="77777777" w:rsidR="00A046CC" w:rsidRPr="00667E7E" w:rsidRDefault="00A046CC" w:rsidP="00A046CC">
      <w:pPr>
        <w:pStyle w:val="ATSHeading3"/>
        <w:jc w:val="center"/>
      </w:pPr>
      <w:r w:rsidRPr="00667E7E">
        <w:t xml:space="preserve">Submitted by </w:t>
      </w:r>
      <w:proofErr w:type="gramStart"/>
      <w:r w:rsidRPr="00667E7E">
        <w:t>Germany</w:t>
      </w:r>
      <w:proofErr w:type="gramEnd"/>
    </w:p>
    <w:p w14:paraId="05395645" w14:textId="77777777" w:rsidR="00A046CC" w:rsidRPr="00667E7E" w:rsidRDefault="00A046CC" w:rsidP="00A046CC">
      <w:pPr>
        <w:pStyle w:val="ATSHeading2"/>
        <w:numPr>
          <w:ilvl w:val="0"/>
          <w:numId w:val="21"/>
        </w:numPr>
        <w:outlineLvl w:val="0"/>
      </w:pPr>
      <w:r w:rsidRPr="00667E7E">
        <w:t>Introduction</w:t>
      </w:r>
    </w:p>
    <w:p w14:paraId="03AF3F7B" w14:textId="77777777" w:rsidR="00A046CC" w:rsidRPr="00667E7E" w:rsidRDefault="00A046CC" w:rsidP="00A046CC">
      <w:r w:rsidRPr="00667E7E">
        <w:t>Underwater noise is, besides hazardous substances and nutrients, one of the sources of marine pollution which is not yet sufficiently investigated</w:t>
      </w:r>
      <w:r>
        <w:t>. It is also</w:t>
      </w:r>
      <w:r w:rsidRPr="00667E7E">
        <w:t xml:space="preserve"> one of the key pollutants created by human activities in the Southern Ocean</w:t>
      </w:r>
      <w:r w:rsidRPr="00D85930">
        <w:t xml:space="preserve">. According to </w:t>
      </w:r>
      <w:proofErr w:type="spellStart"/>
      <w:r w:rsidRPr="00D85930">
        <w:t>Erbe</w:t>
      </w:r>
      <w:proofErr w:type="spellEnd"/>
      <w:r w:rsidRPr="00D85930">
        <w:t xml:space="preserve"> et al. 2019, "one of the key pollutants created by human activities in the Antarctic is noise, which is primarily caused by ship traffic (from tourism, fisheries, and research), but also by geophysical research (e.g., seismic surveys) and by research station support activities (including construction)." Broadband impulsive sounds of high intensities are considered especially detrimental for the marine environment. Marine airguns</w:t>
      </w:r>
      <w:r w:rsidRPr="00667E7E">
        <w:t xml:space="preserve"> used for scientific seismic surveys produce this kind of sound pulses that generates most of its energy in the low frequency range. </w:t>
      </w:r>
    </w:p>
    <w:p w14:paraId="7522FDD0" w14:textId="77777777" w:rsidR="00A046CC" w:rsidRPr="00667E7E" w:rsidRDefault="00A046CC" w:rsidP="00A046CC"/>
    <w:p w14:paraId="5A70143D" w14:textId="77777777" w:rsidR="00A046CC" w:rsidRPr="00667E7E" w:rsidRDefault="00A046CC" w:rsidP="00A046CC">
      <w:r w:rsidRPr="00667E7E">
        <w:t>Concern about potential impacts of anthropogenic sound in the Southern Ocean was first raised at the ATCM in 2000 and has been discussed most recently at ATCM XLII (SCAR WP 68</w:t>
      </w:r>
      <w:bookmarkStart w:id="8" w:name="_Hlk66094652"/>
      <w:r w:rsidRPr="00667E7E">
        <w:t xml:space="preserve"> &amp; BP 03</w:t>
      </w:r>
      <w:bookmarkEnd w:id="8"/>
      <w:r w:rsidRPr="00667E7E">
        <w:t xml:space="preserve">, published as a SCAR Bulletin </w:t>
      </w:r>
      <w:r>
        <w:t xml:space="preserve">in </w:t>
      </w:r>
      <w:r w:rsidRPr="00667E7E">
        <w:t>2021</w:t>
      </w:r>
      <w:r>
        <w:t>)</w:t>
      </w:r>
      <w:r w:rsidRPr="00667E7E">
        <w:t>. The need for alternative sound sources (</w:t>
      </w:r>
      <w:proofErr w:type="gramStart"/>
      <w:r w:rsidRPr="00667E7E">
        <w:t>e.g.</w:t>
      </w:r>
      <w:proofErr w:type="gramEnd"/>
      <w:r w:rsidRPr="00667E7E">
        <w:t xml:space="preserve"> ATCM XXXIV IP 29 Potential of Technical Measures to Reduce the Acoustical Effects of Airguns) and also for seismic mitigation guidelines (e.g. ATCM XXX IP 80 Taking Action on Marine Noise in the Southern Ocean) has been voiced. These concerns are mirrored in </w:t>
      </w:r>
      <w:r>
        <w:t xml:space="preserve">two </w:t>
      </w:r>
      <w:r w:rsidRPr="00667E7E">
        <w:t>of the</w:t>
      </w:r>
      <w:r>
        <w:t xml:space="preserve"> 80</w:t>
      </w:r>
      <w:r w:rsidRPr="00667E7E">
        <w:t xml:space="preserve"> most pressing questions identified by SCARs Antarctic and Southern Ocean Science Horizon Scan undertaken in 2014 (</w:t>
      </w:r>
      <w:proofErr w:type="spellStart"/>
      <w:r w:rsidRPr="00667E7E">
        <w:t>Kennicutt</w:t>
      </w:r>
      <w:proofErr w:type="spellEnd"/>
      <w:r w:rsidRPr="00667E7E">
        <w:t xml:space="preserve"> et al. 2015): </w:t>
      </w:r>
      <w:bookmarkStart w:id="9" w:name="_Hlk68953056"/>
      <w:r>
        <w:t>“</w:t>
      </w:r>
      <w:bookmarkEnd w:id="9"/>
      <w:r w:rsidRPr="00667E7E">
        <w:rPr>
          <w:i/>
        </w:rPr>
        <w:t>How will organism and ecosystems respond to a changing soundscape?</w:t>
      </w:r>
      <w:r w:rsidRPr="00667E7E">
        <w:t>”</w:t>
      </w:r>
      <w:r>
        <w:t xml:space="preserve"> </w:t>
      </w:r>
      <w:r w:rsidRPr="00667E7E">
        <w:t xml:space="preserve">and </w:t>
      </w:r>
      <w:r>
        <w:t>“</w:t>
      </w:r>
      <w:r w:rsidRPr="00667E7E">
        <w:rPr>
          <w:i/>
        </w:rPr>
        <w:t>What will be the impacts of large-scale, direct human modification of the Antarctic environment?</w:t>
      </w:r>
      <w:r w:rsidRPr="00667E7E">
        <w:t>”.</w:t>
      </w:r>
    </w:p>
    <w:p w14:paraId="18C555C8" w14:textId="77777777" w:rsidR="00A046CC" w:rsidRPr="00667E7E" w:rsidRDefault="00A046CC" w:rsidP="00A046CC"/>
    <w:p w14:paraId="6578A987" w14:textId="77777777" w:rsidR="00A046CC" w:rsidRPr="00667E7E" w:rsidRDefault="00A046CC" w:rsidP="00A046CC">
      <w:r w:rsidRPr="00667E7E">
        <w:t xml:space="preserve">Marine mammals highly depend on their sense of hearing. The ability to acoustically perceive their environment is vital. Anthropogenic underwater noise may interfere with communication signals and prey, predator or natural sounds that are of importance to the animal and </w:t>
      </w:r>
      <w:r>
        <w:t>therefore,</w:t>
      </w:r>
      <w:r w:rsidRPr="00667E7E">
        <w:t xml:space="preserve"> ‘mask’ their ability to perceive these biologically important sounds. Airguns mostly produce low frequency sounds that correspond to the frequency range </w:t>
      </w:r>
      <w:proofErr w:type="gramStart"/>
      <w:r w:rsidRPr="00667E7E">
        <w:t>e.g.</w:t>
      </w:r>
      <w:proofErr w:type="gramEnd"/>
      <w:r w:rsidRPr="00667E7E">
        <w:t xml:space="preserve"> Antarctic </w:t>
      </w:r>
      <w:r>
        <w:t>b</w:t>
      </w:r>
      <w:r w:rsidRPr="00667E7E">
        <w:t>aleen whales predominantly use for communication. Airguns have been considered for potentially deleterious effects in close distances up to a few kilometres. Masking</w:t>
      </w:r>
      <w:r>
        <w:t>,</w:t>
      </w:r>
      <w:r w:rsidRPr="00667E7E">
        <w:t xml:space="preserve"> however</w:t>
      </w:r>
      <w:r>
        <w:t>,</w:t>
      </w:r>
      <w:r w:rsidRPr="00667E7E">
        <w:t xml:space="preserve"> was only partly considered and only a few studies have considered masking effects of airguns as a potentially adverse effect on marine mammals in long distances.</w:t>
      </w:r>
    </w:p>
    <w:p w14:paraId="610C9202" w14:textId="77777777" w:rsidR="00A046CC" w:rsidRPr="00667E7E" w:rsidRDefault="00A046CC" w:rsidP="00A046CC"/>
    <w:p w14:paraId="3A4A3B22" w14:textId="77777777" w:rsidR="00A046CC" w:rsidRPr="00667E7E" w:rsidRDefault="00A046CC" w:rsidP="00A046CC">
      <w:r w:rsidRPr="00DB7BE1">
        <w:t xml:space="preserve">Signals change </w:t>
      </w:r>
      <w:r>
        <w:t xml:space="preserve">their </w:t>
      </w:r>
      <w:r w:rsidRPr="00DB7BE1">
        <w:t>temporal structure</w:t>
      </w:r>
      <w:r>
        <w:t xml:space="preserve"> (</w:t>
      </w:r>
      <w:r w:rsidRPr="00DB7BE1">
        <w:t>level, frequency content and duration) as they radiate from the sound source.</w:t>
      </w:r>
      <w:r>
        <w:t xml:space="preserve"> </w:t>
      </w:r>
      <w:r w:rsidRPr="00667E7E">
        <w:t>Airgun sounds can travel vast distances in water. During this sound propagation process</w:t>
      </w:r>
      <w:r>
        <w:t>,</w:t>
      </w:r>
      <w:r w:rsidRPr="00667E7E">
        <w:t xml:space="preserve"> sound waves are reflected multiple times on the water surface and diffracted in sound channels. Due to these processes the frequency content of the received </w:t>
      </w:r>
      <w:r>
        <w:t xml:space="preserve">sound </w:t>
      </w:r>
      <w:r w:rsidRPr="00667E7E">
        <w:t xml:space="preserve">level in large distances changes </w:t>
      </w:r>
      <w:r>
        <w:t xml:space="preserve">and </w:t>
      </w:r>
      <w:r w:rsidRPr="00667E7E">
        <w:t xml:space="preserve">the received signal </w:t>
      </w:r>
      <w:r>
        <w:t xml:space="preserve">is </w:t>
      </w:r>
      <w:r w:rsidRPr="00667E7E">
        <w:t>stretch</w:t>
      </w:r>
      <w:r>
        <w:t>ed</w:t>
      </w:r>
      <w:r w:rsidRPr="00667E7E">
        <w:t xml:space="preserve"> </w:t>
      </w:r>
      <w:r>
        <w:t xml:space="preserve">and </w:t>
      </w:r>
      <w:r w:rsidRPr="00667E7E">
        <w:t>may cover the whole time between airgun shots. Hence, the impulsive sound source airgun can develop continuous properties and lead to a general increase in background noise and furthermore to masking effects over large distances.</w:t>
      </w:r>
    </w:p>
    <w:p w14:paraId="4CCB4A1D" w14:textId="77777777" w:rsidR="00A046CC" w:rsidRPr="00667E7E" w:rsidRDefault="00A046CC" w:rsidP="00A046CC"/>
    <w:p w14:paraId="2DE70E4E" w14:textId="77777777" w:rsidR="00A046CC" w:rsidRPr="00667E7E" w:rsidRDefault="00A046CC" w:rsidP="00A046CC">
      <w:pPr>
        <w:rPr>
          <w:highlight w:val="red"/>
        </w:rPr>
      </w:pPr>
      <w:r w:rsidRPr="00667E7E">
        <w:t xml:space="preserve">The German Environment Agency (UBA) issued a 2-phased project to evaluate the potential masking effects of scientific airgun use in Antarctica to provide a sound scientific basis for permitting geophysical surveys. Work has been carried out as an international cooperation with institutes from Australia, Denmark, Germany, </w:t>
      </w:r>
      <w:proofErr w:type="gramStart"/>
      <w:r w:rsidRPr="00667E7E">
        <w:t>Netherlands</w:t>
      </w:r>
      <w:proofErr w:type="gramEnd"/>
      <w:r w:rsidRPr="00667E7E">
        <w:t xml:space="preserve"> and USA. </w:t>
      </w:r>
    </w:p>
    <w:p w14:paraId="141CA306" w14:textId="77777777" w:rsidR="00A046CC" w:rsidRDefault="00A046CC" w:rsidP="00A046CC">
      <w:pPr>
        <w:rPr>
          <w:rFonts w:ascii="Arial" w:hAnsi="Arial"/>
          <w:b/>
          <w:i/>
          <w:sz w:val="24"/>
          <w:szCs w:val="22"/>
          <w:lang w:eastAsia="en-GB"/>
        </w:rPr>
      </w:pPr>
      <w:r>
        <w:br w:type="page"/>
      </w:r>
    </w:p>
    <w:p w14:paraId="29A6EB1B" w14:textId="77777777" w:rsidR="00A046CC" w:rsidRPr="00667E7E" w:rsidRDefault="00A046CC" w:rsidP="00A046CC">
      <w:pPr>
        <w:pStyle w:val="ATSHeading2"/>
        <w:numPr>
          <w:ilvl w:val="0"/>
          <w:numId w:val="21"/>
        </w:numPr>
        <w:outlineLvl w:val="0"/>
      </w:pPr>
      <w:r w:rsidRPr="00667E7E">
        <w:lastRenderedPageBreak/>
        <w:t>Project Overview</w:t>
      </w:r>
    </w:p>
    <w:p w14:paraId="0396410E" w14:textId="77777777" w:rsidR="00A046CC" w:rsidRPr="00667E7E" w:rsidRDefault="00A046CC" w:rsidP="00A046CC">
      <w:pPr>
        <w:kinsoku w:val="0"/>
        <w:overflowPunct w:val="0"/>
        <w:autoSpaceDE w:val="0"/>
        <w:autoSpaceDN w:val="0"/>
        <w:adjustRightInd w:val="0"/>
      </w:pPr>
      <w:bookmarkStart w:id="10" w:name="Introduction"/>
      <w:bookmarkStart w:id="11" w:name="Gentoo_penguins_(Pygoscelis_papua)_react"/>
      <w:bookmarkEnd w:id="10"/>
      <w:bookmarkEnd w:id="11"/>
      <w:r w:rsidRPr="00667E7E">
        <w:t xml:space="preserve">The frequency range of seismic airgun signals overlaps with many marine mammal vocalizations, especially the songs and calls of baleen whales. Airguns may therefore mask the perception of acoustic environmental cues as well as marine mammal communication signals even at large distances from the airgun location. This project assesses the communication masking potential of airgun noise in the Southern Ocean using a modelling approach. The first step includes propagation modelling of the airgun signals over vast areas up to 2,000 km. To assess the impact of the received airgun signals </w:t>
      </w:r>
      <w:r>
        <w:t>on</w:t>
      </w:r>
      <w:r w:rsidRPr="00667E7E">
        <w:t xml:space="preserve"> the animal vocalisation</w:t>
      </w:r>
      <w:r>
        <w:t>,</w:t>
      </w:r>
      <w:r w:rsidRPr="00667E7E">
        <w:t xml:space="preserve"> a masking model was developed as the second evaluation step.</w:t>
      </w:r>
    </w:p>
    <w:p w14:paraId="364A6C2F" w14:textId="77777777" w:rsidR="00A046CC" w:rsidRPr="00667E7E" w:rsidRDefault="00A046CC" w:rsidP="00A046CC">
      <w:pPr>
        <w:kinsoku w:val="0"/>
        <w:overflowPunct w:val="0"/>
        <w:autoSpaceDE w:val="0"/>
        <w:autoSpaceDN w:val="0"/>
        <w:adjustRightInd w:val="0"/>
        <w:rPr>
          <w:szCs w:val="22"/>
          <w:lang w:eastAsia="de-DE"/>
        </w:rPr>
      </w:pPr>
    </w:p>
    <w:p w14:paraId="60252675" w14:textId="77777777" w:rsidR="00A046CC" w:rsidRPr="006D2F20" w:rsidRDefault="00A046CC" w:rsidP="00A046CC">
      <w:r w:rsidRPr="008C70FD">
        <w:t>The first phase of the project ran from 2012 to 2013 (results in Siebert et al. 2014, Wittekind et al. 2016). It started with vocalisation</w:t>
      </w:r>
      <w:r>
        <w:t>s</w:t>
      </w:r>
      <w:r w:rsidRPr="008C70FD">
        <w:t xml:space="preserve"> from 3 species (blue whale, fin whale and Weddell </w:t>
      </w:r>
      <w:proofErr w:type="spellStart"/>
      <w:r w:rsidRPr="008C70FD">
        <w:t>seal</w:t>
      </w:r>
      <w:proofErr w:type="spellEnd"/>
      <w:r w:rsidRPr="008C70FD">
        <w:t xml:space="preserve">) and used a leaky integrator to model for the auditory processes. </w:t>
      </w:r>
      <w:r>
        <w:t>The ‘leaky integrator’ accumulates</w:t>
      </w:r>
      <w:r w:rsidRPr="000C4103">
        <w:t xml:space="preserve"> the received energy within the frequency band of the focal vocalization in a temporally lossy manner</w:t>
      </w:r>
      <w:r>
        <w:t xml:space="preserve">. The accumulated energy levels </w:t>
      </w:r>
      <w:r w:rsidRPr="000C4103">
        <w:t>of vocalization and noise are analysed</w:t>
      </w:r>
      <w:r>
        <w:t xml:space="preserve"> and compared</w:t>
      </w:r>
      <w:r w:rsidRPr="000C4103">
        <w:t xml:space="preserve"> </w:t>
      </w:r>
      <w:r>
        <w:t xml:space="preserve">to evaluate whether a signal can be detected. </w:t>
      </w:r>
      <w:r w:rsidRPr="008C70FD">
        <w:t xml:space="preserve">The second phase (2015 to 2019) developed the </w:t>
      </w:r>
      <w:r w:rsidRPr="006D17E2">
        <w:t xml:space="preserve">project and particularly the masking model further (results in </w:t>
      </w:r>
      <w:proofErr w:type="spellStart"/>
      <w:r w:rsidRPr="006D17E2">
        <w:t>Gavrilov</w:t>
      </w:r>
      <w:proofErr w:type="spellEnd"/>
      <w:r w:rsidRPr="006D17E2">
        <w:t xml:space="preserve"> 2018, </w:t>
      </w:r>
      <w:proofErr w:type="spellStart"/>
      <w:r w:rsidRPr="006D17E2">
        <w:t>Wölfing</w:t>
      </w:r>
      <w:proofErr w:type="spellEnd"/>
      <w:r w:rsidRPr="006D17E2">
        <w:t xml:space="preserve"> et al. 2021, download at </w:t>
      </w:r>
      <w:hyperlink r:id="rId11" w:history="1">
        <w:r w:rsidRPr="006D17E2">
          <w:rPr>
            <w:rStyle w:val="Hipervnculo"/>
          </w:rPr>
          <w:t>https://www.umweltbundesamt.de/publikationen/assessment-of-communication-masking-in-antarctic</w:t>
        </w:r>
      </w:hyperlink>
      <w:r>
        <w:rPr>
          <w:u w:val="single"/>
        </w:rPr>
        <w:t>.</w:t>
      </w:r>
      <w:r w:rsidRPr="008C70FD">
        <w:t xml:space="preserve"> The </w:t>
      </w:r>
      <w:r w:rsidRPr="00934199">
        <w:rPr>
          <w:b/>
        </w:rPr>
        <w:t>propagation model</w:t>
      </w:r>
      <w:r w:rsidRPr="008C70FD">
        <w:t xml:space="preserve"> was refined (from spherical spreading to </w:t>
      </w:r>
      <w:r>
        <w:t xml:space="preserve">a </w:t>
      </w:r>
      <w:r w:rsidRPr="008C70FD">
        <w:t xml:space="preserve">numerical model) and tested with two datasets of airgun signals recorded in the Southern Ocean. The range of tested vocalisations was expanded to include the </w:t>
      </w:r>
      <w:proofErr w:type="spellStart"/>
      <w:r w:rsidRPr="008C70FD">
        <w:t>multiharmonic</w:t>
      </w:r>
      <w:proofErr w:type="spellEnd"/>
      <w:r w:rsidRPr="008C70FD">
        <w:t xml:space="preserve"> killer whale call.</w:t>
      </w:r>
      <w:r>
        <w:t xml:space="preserve"> T</w:t>
      </w:r>
      <w:r w:rsidRPr="008C70FD">
        <w:t xml:space="preserve">he </w:t>
      </w:r>
      <w:r w:rsidRPr="00934199">
        <w:rPr>
          <w:b/>
        </w:rPr>
        <w:t>auditory model</w:t>
      </w:r>
      <w:r w:rsidRPr="008C70FD">
        <w:t xml:space="preserve"> was significantly modified and changed (a. o.) from a band-pass leaky integrator to a more specific spectrogram correlator.</w:t>
      </w:r>
      <w:r>
        <w:t xml:space="preserve"> The ‘spectrogram correlator’ </w:t>
      </w:r>
      <w:r w:rsidRPr="005F5C5C">
        <w:t>represents a phase-insensitive receiver</w:t>
      </w:r>
      <w:r>
        <w:t xml:space="preserve">. It </w:t>
      </w:r>
      <w:r w:rsidRPr="005F5C5C">
        <w:t>matches a representation of the incoming sound sample with a spectral representation (a characteristic frequency and intensity pattern) of the search signal and evaluates their similarity over time.</w:t>
      </w:r>
      <w:r>
        <w:t xml:space="preserve"> </w:t>
      </w:r>
      <w:r w:rsidRPr="00C924A7">
        <w:t>This principle functionally corresponds to the comparison of the stimulation pattern of the cochlear output over time with a search pattern of the signal.</w:t>
      </w:r>
      <w:r>
        <w:t xml:space="preserve"> </w:t>
      </w:r>
      <w:r w:rsidRPr="008C70FD">
        <w:t>Finally</w:t>
      </w:r>
      <w:r>
        <w:t xml:space="preserve">, the </w:t>
      </w:r>
      <w:r w:rsidRPr="00934199">
        <w:rPr>
          <w:b/>
        </w:rPr>
        <w:t>detection model</w:t>
      </w:r>
      <w:r>
        <w:t xml:space="preserve"> was fundamentally changed. While the first phase directly compared accumulated energy levels, the second phase used a fundamentally different approach. Successful detection was assessed using </w:t>
      </w:r>
      <w:r w:rsidRPr="009E270C">
        <w:t>standardized classification theory (receiver operating characteristic curve</w:t>
      </w:r>
      <w:r>
        <w:t>).</w:t>
      </w:r>
    </w:p>
    <w:p w14:paraId="0C41391D" w14:textId="77777777" w:rsidR="00A046CC" w:rsidRPr="00667E7E" w:rsidRDefault="00A046CC" w:rsidP="00A046CC">
      <w:pPr>
        <w:pStyle w:val="ATSHeading2"/>
        <w:numPr>
          <w:ilvl w:val="0"/>
          <w:numId w:val="21"/>
        </w:numPr>
        <w:spacing w:before="360"/>
        <w:ind w:left="357" w:hanging="357"/>
        <w:outlineLvl w:val="0"/>
      </w:pPr>
      <w:r w:rsidRPr="00667E7E">
        <w:t>Results Overview</w:t>
      </w:r>
    </w:p>
    <w:p w14:paraId="3D38C283" w14:textId="77777777" w:rsidR="00A046CC" w:rsidRDefault="00A046CC" w:rsidP="00A046CC">
      <w:r w:rsidRPr="003E1952">
        <w:t xml:space="preserve">The output of the models shows that seismic surveys which are conducted in lower latitudes </w:t>
      </w:r>
      <w:r>
        <w:t xml:space="preserve">outside the Antarctic Treaty area </w:t>
      </w:r>
      <w:r w:rsidRPr="003E1952">
        <w:t>(Australia) may even have masking potential in distant areas in higher latitudes</w:t>
      </w:r>
      <w:r>
        <w:t xml:space="preserve"> within the Antarctic Treaty area</w:t>
      </w:r>
      <w:r w:rsidRPr="003E1952">
        <w:t xml:space="preserve">. As expected, masking generally decreases (and communication ranges generally increase) with </w:t>
      </w:r>
      <w:r>
        <w:t xml:space="preserve">growing </w:t>
      </w:r>
      <w:r w:rsidRPr="00EB454B">
        <w:t xml:space="preserve">distance from the airgun source. However, as the transmitted total (airgun) energy does not decline monotonously over distance to the source, </w:t>
      </w:r>
      <w:r>
        <w:t>the</w:t>
      </w:r>
      <w:r w:rsidRPr="00EB454B">
        <w:t xml:space="preserve"> models indicate local deviations from the general trend.</w:t>
      </w:r>
    </w:p>
    <w:p w14:paraId="458ADF2D" w14:textId="77777777" w:rsidR="00A046CC" w:rsidRDefault="00A046CC" w:rsidP="00A046CC"/>
    <w:p w14:paraId="7BA0950A" w14:textId="77777777" w:rsidR="00A046CC" w:rsidRDefault="00A046CC" w:rsidP="00A046CC">
      <w:r>
        <w:t xml:space="preserve">Results for numerous scenarios </w:t>
      </w:r>
      <w:r w:rsidRPr="00667E7E">
        <w:t xml:space="preserve">(5 different vocalisations, 2 ocean depth, </w:t>
      </w:r>
      <w:r>
        <w:t>3</w:t>
      </w:r>
      <w:r w:rsidRPr="00667E7E">
        <w:t xml:space="preserve"> receiver depth,</w:t>
      </w:r>
      <w:r>
        <w:t xml:space="preserve"> </w:t>
      </w:r>
      <w:r w:rsidRPr="00667E7E">
        <w:t xml:space="preserve">2 vocalisation depth, 6 ambient noise level </w:t>
      </w:r>
      <w:r>
        <w:t xml:space="preserve">and </w:t>
      </w:r>
      <w:r w:rsidRPr="00667E7E">
        <w:t>2 receiver models)</w:t>
      </w:r>
      <w:r>
        <w:t xml:space="preserve"> were modelled for the project. The models show that t</w:t>
      </w:r>
      <w:r w:rsidRPr="00D6140D">
        <w:t xml:space="preserve">ransmission loss </w:t>
      </w:r>
      <w:r>
        <w:t xml:space="preserve">depends on </w:t>
      </w:r>
      <w:r w:rsidRPr="00934199">
        <w:rPr>
          <w:b/>
        </w:rPr>
        <w:t>ocean depth</w:t>
      </w:r>
      <w:r>
        <w:t xml:space="preserve"> and</w:t>
      </w:r>
      <w:r w:rsidRPr="00D6140D">
        <w:t xml:space="preserve"> is distinctly higher in the deep ocean</w:t>
      </w:r>
      <w:r>
        <w:t xml:space="preserve"> scenarios</w:t>
      </w:r>
      <w:r w:rsidRPr="00D6140D">
        <w:t xml:space="preserve">. Consequently, the effect ranges of airguns in </w:t>
      </w:r>
      <w:r>
        <w:t>deep</w:t>
      </w:r>
      <w:r w:rsidRPr="00D6140D">
        <w:t xml:space="preserve"> ocean scenarios are generally </w:t>
      </w:r>
      <w:r>
        <w:t>higher</w:t>
      </w:r>
      <w:r w:rsidRPr="00D6140D">
        <w:t xml:space="preserve"> than in the </w:t>
      </w:r>
      <w:r>
        <w:t>shallow</w:t>
      </w:r>
      <w:r w:rsidRPr="00D6140D">
        <w:t xml:space="preserve"> ocean</w:t>
      </w:r>
      <w:r>
        <w:t>. D</w:t>
      </w:r>
      <w:r w:rsidRPr="00132109">
        <w:t xml:space="preserve">ifferent </w:t>
      </w:r>
      <w:r w:rsidRPr="00934199">
        <w:rPr>
          <w:b/>
        </w:rPr>
        <w:t>receiver depths</w:t>
      </w:r>
      <w:r w:rsidRPr="00132109">
        <w:t xml:space="preserve"> </w:t>
      </w:r>
      <w:r>
        <w:t xml:space="preserve">produce </w:t>
      </w:r>
      <w:r w:rsidRPr="00132109">
        <w:t xml:space="preserve">striking differences between the respective sound propagations </w:t>
      </w:r>
      <w:r>
        <w:t xml:space="preserve">due to the </w:t>
      </w:r>
      <w:r w:rsidRPr="00132109">
        <w:t>influence of surface effects</w:t>
      </w:r>
      <w:r>
        <w:t xml:space="preserve">. This </w:t>
      </w:r>
      <w:r w:rsidRPr="00132109">
        <w:t>cause</w:t>
      </w:r>
      <w:r>
        <w:t>s</w:t>
      </w:r>
      <w:r w:rsidRPr="00132109">
        <w:t xml:space="preserve"> larger irregularities in propagation close to the source at shallow receiver depths</w:t>
      </w:r>
      <w:r>
        <w:t xml:space="preserve">. </w:t>
      </w:r>
      <w:r w:rsidRPr="00132109">
        <w:t xml:space="preserve">The effect ranges of airguns for 200 m receiver depth are distinctly higher than for 10 m or 50 m receiver depth for </w:t>
      </w:r>
      <w:proofErr w:type="gramStart"/>
      <w:r>
        <w:t>e.g.</w:t>
      </w:r>
      <w:proofErr w:type="gramEnd"/>
      <w:r>
        <w:t xml:space="preserve"> </w:t>
      </w:r>
      <w:r w:rsidRPr="00132109">
        <w:t>communication distances of blue whales and fin whales</w:t>
      </w:r>
      <w:r>
        <w:t xml:space="preserve">. </w:t>
      </w:r>
      <w:r w:rsidRPr="00234B9E">
        <w:t xml:space="preserve">The level of the propagated sound originating from a depth of 5 m, is more attenuated than the sound originating from a </w:t>
      </w:r>
      <w:r w:rsidRPr="00934199">
        <w:rPr>
          <w:b/>
        </w:rPr>
        <w:t>vocalization depth</w:t>
      </w:r>
      <w:r w:rsidRPr="00234B9E">
        <w:t xml:space="preserve"> of 50 m for the low-frequency transmission loss at long ranges. Thus, an increase in communication ranges is expected for blue and fin whale</w:t>
      </w:r>
      <w:r>
        <w:t>s</w:t>
      </w:r>
      <w:r w:rsidRPr="00234B9E">
        <w:t xml:space="preserve"> if these species vocalize at greater depths (50 m versus 5 m sender depth).</w:t>
      </w:r>
      <w:r>
        <w:t xml:space="preserve"> </w:t>
      </w:r>
      <w:r w:rsidRPr="008544BE">
        <w:t xml:space="preserve">As expected, the </w:t>
      </w:r>
      <w:r>
        <w:t xml:space="preserve">effect </w:t>
      </w:r>
      <w:r w:rsidRPr="008544BE">
        <w:t xml:space="preserve">range </w:t>
      </w:r>
      <w:r>
        <w:t xml:space="preserve">of airguns are </w:t>
      </w:r>
      <w:r w:rsidRPr="008544BE">
        <w:t xml:space="preserve">generally larger in low </w:t>
      </w:r>
      <w:r w:rsidRPr="00934199">
        <w:rPr>
          <w:b/>
        </w:rPr>
        <w:t>ambient ocean noise</w:t>
      </w:r>
      <w:r w:rsidRPr="008544BE">
        <w:t xml:space="preserve"> scenarios than in higher ocean noise scenarios</w:t>
      </w:r>
      <w:r>
        <w:t xml:space="preserve">. Equally, </w:t>
      </w:r>
      <w:r w:rsidRPr="000F2EBE">
        <w:t xml:space="preserve">predicted </w:t>
      </w:r>
      <w:r>
        <w:t xml:space="preserve">animal </w:t>
      </w:r>
      <w:r w:rsidRPr="000F2EBE">
        <w:t>communication range</w:t>
      </w:r>
      <w:r>
        <w:t xml:space="preserve">s </w:t>
      </w:r>
      <w:r w:rsidRPr="000F2EBE">
        <w:t>rapidly decreases as ambient noise level increases.</w:t>
      </w:r>
    </w:p>
    <w:p w14:paraId="5A829CB6" w14:textId="77777777" w:rsidR="00A046CC" w:rsidRDefault="00A046CC" w:rsidP="00A046CC"/>
    <w:p w14:paraId="5FC2EA86" w14:textId="77777777" w:rsidR="00A046CC" w:rsidRPr="00EB454B" w:rsidRDefault="00A046CC" w:rsidP="00A046CC">
      <w:r w:rsidRPr="003E1952">
        <w:t xml:space="preserve">The </w:t>
      </w:r>
      <w:r>
        <w:t xml:space="preserve">model </w:t>
      </w:r>
      <w:r w:rsidRPr="003E1952">
        <w:t>results indicate that seismic airgun sounds can lead to a significant loss (</w:t>
      </w:r>
      <w:r>
        <w:t>close</w:t>
      </w:r>
      <w:r w:rsidRPr="003E1952">
        <w:t xml:space="preserve"> to 100 %) in communication range for blue and fin whales up to 2,000 km from the source.</w:t>
      </w:r>
      <w:r>
        <w:t xml:space="preserve"> </w:t>
      </w:r>
      <w:r w:rsidRPr="006A1CCB">
        <w:t xml:space="preserve">However, the intensity of the </w:t>
      </w:r>
      <w:r>
        <w:t>ambient</w:t>
      </w:r>
      <w:r w:rsidRPr="006A1CCB">
        <w:t xml:space="preserve"> noise is a relevant </w:t>
      </w:r>
      <w:r>
        <w:t xml:space="preserve">parameter. </w:t>
      </w:r>
      <w:r w:rsidRPr="00934199">
        <w:rPr>
          <w:lang w:val="en-US"/>
        </w:rPr>
        <w:t xml:space="preserve">While the model shows that </w:t>
      </w:r>
      <w:proofErr w:type="spellStart"/>
      <w:r w:rsidRPr="00934199">
        <w:rPr>
          <w:lang w:val="en-US"/>
        </w:rPr>
        <w:t>airgun</w:t>
      </w:r>
      <w:proofErr w:type="spellEnd"/>
      <w:r w:rsidRPr="00934199">
        <w:rPr>
          <w:lang w:val="en-US"/>
        </w:rPr>
        <w:t xml:space="preserve"> noise reduces communication ranges severely (&gt; 75 % loss) in low (80 dB) ambient noise scenarios, this impact is drastically reduced in </w:t>
      </w:r>
      <w:r w:rsidRPr="00934199">
        <w:rPr>
          <w:lang w:val="en-US"/>
        </w:rPr>
        <w:lastRenderedPageBreak/>
        <w:t>higher ambient noise scenarios (90-112 dB).</w:t>
      </w:r>
      <w:r>
        <w:rPr>
          <w:spacing w:val="-2"/>
          <w:sz w:val="20"/>
          <w:lang w:val="en-US"/>
        </w:rPr>
        <w:t xml:space="preserve"> </w:t>
      </w:r>
      <w:r w:rsidRPr="00934199">
        <w:t xml:space="preserve">Nevertheless, for medium distances from 50 – 200 km to the airgun, a significant number of scenarios still predict severe (&gt;75%) loss of communication ranges compared to natural communication </w:t>
      </w:r>
      <w:proofErr w:type="gramStart"/>
      <w:r w:rsidRPr="00934199">
        <w:t>range</w:t>
      </w:r>
      <w:proofErr w:type="gramEnd"/>
    </w:p>
    <w:p w14:paraId="53AC12E9" w14:textId="77777777" w:rsidR="00A046CC" w:rsidRDefault="00A046CC" w:rsidP="00A046CC">
      <w:pPr>
        <w:rPr>
          <w:i/>
          <w:iCs/>
          <w:color w:val="44546A" w:themeColor="text2"/>
          <w:sz w:val="18"/>
          <w:szCs w:val="18"/>
        </w:rPr>
      </w:pPr>
    </w:p>
    <w:p w14:paraId="0B5E54A2" w14:textId="77777777" w:rsidR="00A046CC" w:rsidRPr="00EB454B" w:rsidRDefault="00A046CC" w:rsidP="00A046CC">
      <w:pPr>
        <w:pStyle w:val="Descripcin"/>
        <w:keepLines w:val="0"/>
        <w:pBdr>
          <w:bottom w:val="none" w:sz="0" w:space="0" w:color="auto"/>
        </w:pBdr>
        <w:tabs>
          <w:tab w:val="clear" w:pos="1701"/>
        </w:tabs>
        <w:spacing w:before="0" w:after="200"/>
        <w:ind w:left="0" w:firstLine="0"/>
        <w:jc w:val="left"/>
        <w:rPr>
          <w:rFonts w:ascii="Times New Roman" w:eastAsia="Times New Roman" w:hAnsi="Times New Roman"/>
          <w:bCs w:val="0"/>
          <w:i/>
          <w:iCs/>
          <w:color w:val="44546A" w:themeColor="text2"/>
          <w:sz w:val="18"/>
          <w:szCs w:val="18"/>
          <w:lang w:val="en-GB" w:eastAsia="en-US"/>
        </w:rPr>
      </w:pPr>
      <w:r w:rsidRPr="00EB454B">
        <w:rPr>
          <w:rFonts w:ascii="Times New Roman" w:eastAsia="Times New Roman" w:hAnsi="Times New Roman"/>
          <w:bCs w:val="0"/>
          <w:i/>
          <w:iCs/>
          <w:color w:val="44546A" w:themeColor="text2"/>
          <w:sz w:val="18"/>
          <w:szCs w:val="18"/>
          <w:lang w:val="en-GB" w:eastAsia="en-US"/>
        </w:rPr>
        <w:t xml:space="preserve">Table </w:t>
      </w:r>
      <w:r w:rsidRPr="00EB454B">
        <w:rPr>
          <w:rFonts w:ascii="Times New Roman" w:eastAsia="Times New Roman" w:hAnsi="Times New Roman"/>
          <w:bCs w:val="0"/>
          <w:i/>
          <w:iCs/>
          <w:color w:val="44546A" w:themeColor="text2"/>
          <w:sz w:val="18"/>
          <w:szCs w:val="18"/>
          <w:lang w:val="en-GB" w:eastAsia="en-US"/>
        </w:rPr>
        <w:fldChar w:fldCharType="begin"/>
      </w:r>
      <w:r w:rsidRPr="00EB454B">
        <w:rPr>
          <w:rFonts w:ascii="Times New Roman" w:eastAsia="Times New Roman" w:hAnsi="Times New Roman"/>
          <w:bCs w:val="0"/>
          <w:i/>
          <w:iCs/>
          <w:color w:val="44546A" w:themeColor="text2"/>
          <w:sz w:val="18"/>
          <w:szCs w:val="18"/>
          <w:lang w:val="en-GB" w:eastAsia="en-US"/>
        </w:rPr>
        <w:instrText xml:space="preserve"> SEQ Table \* ARABIC </w:instrText>
      </w:r>
      <w:r w:rsidRPr="00EB454B">
        <w:rPr>
          <w:rFonts w:ascii="Times New Roman" w:eastAsia="Times New Roman" w:hAnsi="Times New Roman"/>
          <w:bCs w:val="0"/>
          <w:i/>
          <w:iCs/>
          <w:color w:val="44546A" w:themeColor="text2"/>
          <w:sz w:val="18"/>
          <w:szCs w:val="18"/>
          <w:lang w:val="en-GB" w:eastAsia="en-US"/>
        </w:rPr>
        <w:fldChar w:fldCharType="separate"/>
      </w:r>
      <w:r w:rsidRPr="00EB454B">
        <w:rPr>
          <w:rFonts w:ascii="Times New Roman" w:eastAsia="Times New Roman" w:hAnsi="Times New Roman"/>
          <w:bCs w:val="0"/>
          <w:i/>
          <w:iCs/>
          <w:color w:val="44546A" w:themeColor="text2"/>
          <w:sz w:val="18"/>
          <w:szCs w:val="18"/>
          <w:lang w:val="en-GB" w:eastAsia="en-US"/>
        </w:rPr>
        <w:t>1</w:t>
      </w:r>
      <w:r w:rsidRPr="00EB454B">
        <w:rPr>
          <w:rFonts w:ascii="Times New Roman" w:eastAsia="Times New Roman" w:hAnsi="Times New Roman"/>
          <w:bCs w:val="0"/>
          <w:i/>
          <w:iCs/>
          <w:color w:val="44546A" w:themeColor="text2"/>
          <w:sz w:val="18"/>
          <w:szCs w:val="18"/>
          <w:lang w:val="en-GB" w:eastAsia="en-US"/>
        </w:rPr>
        <w:fldChar w:fldCharType="end"/>
      </w:r>
      <w:r w:rsidRPr="00EB454B">
        <w:rPr>
          <w:rFonts w:ascii="Times New Roman" w:eastAsia="Times New Roman" w:hAnsi="Times New Roman"/>
          <w:bCs w:val="0"/>
          <w:i/>
          <w:iCs/>
          <w:color w:val="44546A" w:themeColor="text2"/>
          <w:sz w:val="18"/>
          <w:szCs w:val="18"/>
          <w:lang w:val="en-GB" w:eastAsia="en-US"/>
        </w:rPr>
        <w:t xml:space="preserve">: </w:t>
      </w:r>
      <w:r>
        <w:rPr>
          <w:rFonts w:ascii="Times New Roman" w:eastAsia="Times New Roman" w:hAnsi="Times New Roman"/>
          <w:bCs w:val="0"/>
          <w:i/>
          <w:iCs/>
          <w:color w:val="44546A" w:themeColor="text2"/>
          <w:sz w:val="18"/>
          <w:szCs w:val="18"/>
          <w:lang w:val="en-GB" w:eastAsia="en-US"/>
        </w:rPr>
        <w:t>Comparison of</w:t>
      </w:r>
      <w:r w:rsidRPr="00EB454B">
        <w:rPr>
          <w:rFonts w:ascii="Times New Roman" w:eastAsia="Times New Roman" w:hAnsi="Times New Roman"/>
          <w:bCs w:val="0"/>
          <w:i/>
          <w:iCs/>
          <w:color w:val="44546A" w:themeColor="text2"/>
          <w:sz w:val="18"/>
          <w:szCs w:val="18"/>
          <w:lang w:val="en-GB" w:eastAsia="en-US"/>
        </w:rPr>
        <w:t xml:space="preserve"> masking impact for several scenarios for the blue whale Z-call</w:t>
      </w:r>
      <w:r>
        <w:rPr>
          <w:rFonts w:ascii="Times New Roman" w:eastAsia="Times New Roman" w:hAnsi="Times New Roman"/>
          <w:bCs w:val="0"/>
          <w:i/>
          <w:iCs/>
          <w:color w:val="44546A" w:themeColor="text2"/>
          <w:sz w:val="18"/>
          <w:szCs w:val="18"/>
          <w:lang w:val="en-GB" w:eastAsia="en-US"/>
        </w:rPr>
        <w:t xml:space="preserve"> (vocalisation depth 50 m)</w:t>
      </w:r>
      <w:r w:rsidRPr="00EB454B">
        <w:rPr>
          <w:rFonts w:ascii="Times New Roman" w:eastAsia="Times New Roman" w:hAnsi="Times New Roman"/>
          <w:bCs w:val="0"/>
          <w:i/>
          <w:iCs/>
          <w:color w:val="44546A" w:themeColor="text2"/>
          <w:sz w:val="18"/>
          <w:szCs w:val="18"/>
          <w:lang w:val="en-GB" w:eastAsia="en-US"/>
        </w:rPr>
        <w:t xml:space="preserve"> for different water depth, receiver depth and distance between airgun and listener. Additionally, 4 different ambient noise condition</w:t>
      </w:r>
      <w:r>
        <w:rPr>
          <w:rFonts w:ascii="Times New Roman" w:eastAsia="Times New Roman" w:hAnsi="Times New Roman"/>
          <w:bCs w:val="0"/>
          <w:i/>
          <w:iCs/>
          <w:color w:val="44546A" w:themeColor="text2"/>
          <w:sz w:val="18"/>
          <w:szCs w:val="18"/>
          <w:lang w:val="en-GB" w:eastAsia="en-US"/>
        </w:rPr>
        <w:t>s</w:t>
      </w:r>
      <w:r w:rsidRPr="00EB454B">
        <w:rPr>
          <w:rFonts w:ascii="Times New Roman" w:eastAsia="Times New Roman" w:hAnsi="Times New Roman"/>
          <w:bCs w:val="0"/>
          <w:i/>
          <w:iCs/>
          <w:color w:val="44546A" w:themeColor="text2"/>
          <w:sz w:val="18"/>
          <w:szCs w:val="18"/>
          <w:lang w:val="en-GB" w:eastAsia="en-US"/>
        </w:rPr>
        <w:t xml:space="preserve"> are incorporated in the scenarios: quiet ambient noise conditions (80 dB), moderate ambient noise (94 dB), medium ambient noise (102 dB) and high ambient noise (112 dB). In phase I of the project only “quiet” ambient noise conditions (80 dB) where included in the model.</w:t>
      </w:r>
    </w:p>
    <w:tbl>
      <w:tblPr>
        <w:tblStyle w:val="UBATabellemitKopf"/>
        <w:tblW w:w="8959" w:type="dxa"/>
        <w:tblLayout w:type="fixed"/>
        <w:tblLook w:val="04A0" w:firstRow="1" w:lastRow="0" w:firstColumn="1" w:lastColumn="0" w:noHBand="0" w:noVBand="1"/>
      </w:tblPr>
      <w:tblGrid>
        <w:gridCol w:w="567"/>
        <w:gridCol w:w="567"/>
        <w:gridCol w:w="738"/>
        <w:gridCol w:w="963"/>
        <w:gridCol w:w="993"/>
        <w:gridCol w:w="1275"/>
        <w:gridCol w:w="1276"/>
        <w:gridCol w:w="1305"/>
        <w:gridCol w:w="1275"/>
      </w:tblGrid>
      <w:tr w:rsidR="00A046CC" w:rsidRPr="00667E7E" w14:paraId="41705BFB" w14:textId="77777777" w:rsidTr="000C6760">
        <w:trPr>
          <w:cnfStyle w:val="100000000000" w:firstRow="1" w:lastRow="0" w:firstColumn="0" w:lastColumn="0" w:oddVBand="0" w:evenVBand="0" w:oddHBand="0" w:evenHBand="0" w:firstRowFirstColumn="0" w:firstRowLastColumn="0" w:lastRowFirstColumn="0" w:lastRowLastColumn="0"/>
          <w:trHeight w:val="347"/>
        </w:trPr>
        <w:tc>
          <w:tcPr>
            <w:tcW w:w="567" w:type="dxa"/>
            <w:vMerge w:val="restart"/>
            <w:tcMar>
              <w:top w:w="0" w:type="dxa"/>
              <w:left w:w="57" w:type="dxa"/>
              <w:bottom w:w="0" w:type="dxa"/>
              <w:right w:w="57" w:type="dxa"/>
            </w:tcMar>
            <w:textDirection w:val="btLr"/>
            <w:vAlign w:val="center"/>
          </w:tcPr>
          <w:p w14:paraId="3CE1721D" w14:textId="77777777" w:rsidR="00A046CC" w:rsidRPr="00667E7E" w:rsidRDefault="00A046CC" w:rsidP="000C6760">
            <w:pPr>
              <w:pStyle w:val="TabellentextKopfzeile"/>
              <w:ind w:left="113" w:right="113"/>
              <w:jc w:val="center"/>
              <w:rPr>
                <w:sz w:val="18"/>
                <w:szCs w:val="18"/>
                <w:lang w:val="en-GB"/>
              </w:rPr>
            </w:pPr>
            <w:r w:rsidRPr="00667E7E">
              <w:rPr>
                <w:sz w:val="18"/>
                <w:szCs w:val="18"/>
                <w:lang w:val="en-GB"/>
              </w:rPr>
              <w:t xml:space="preserve">Water </w:t>
            </w:r>
          </w:p>
          <w:p w14:paraId="2FE3A345" w14:textId="77777777" w:rsidR="00A046CC" w:rsidRPr="00667E7E" w:rsidRDefault="00A046CC" w:rsidP="000C6760">
            <w:pPr>
              <w:pStyle w:val="TabellentextKopfzeile"/>
              <w:ind w:left="113" w:right="113"/>
              <w:jc w:val="center"/>
              <w:rPr>
                <w:sz w:val="18"/>
                <w:szCs w:val="18"/>
                <w:lang w:val="en-GB"/>
              </w:rPr>
            </w:pPr>
            <w:r w:rsidRPr="00667E7E">
              <w:rPr>
                <w:sz w:val="18"/>
                <w:szCs w:val="18"/>
                <w:lang w:val="en-GB"/>
              </w:rPr>
              <w:t>depth</w:t>
            </w:r>
          </w:p>
        </w:tc>
        <w:tc>
          <w:tcPr>
            <w:tcW w:w="567" w:type="dxa"/>
            <w:vMerge w:val="restart"/>
            <w:noWrap/>
            <w:tcMar>
              <w:top w:w="0" w:type="dxa"/>
              <w:left w:w="57" w:type="dxa"/>
              <w:bottom w:w="0" w:type="dxa"/>
              <w:right w:w="57" w:type="dxa"/>
            </w:tcMar>
            <w:textDirection w:val="btLr"/>
            <w:vAlign w:val="center"/>
            <w:hideMark/>
          </w:tcPr>
          <w:p w14:paraId="4AFB54A6" w14:textId="77777777" w:rsidR="00A046CC" w:rsidRPr="00667E7E" w:rsidRDefault="00A046CC" w:rsidP="000C6760">
            <w:pPr>
              <w:pStyle w:val="TabellentextKopfzeile"/>
              <w:ind w:left="113" w:right="113"/>
              <w:jc w:val="center"/>
              <w:rPr>
                <w:sz w:val="18"/>
                <w:szCs w:val="18"/>
                <w:lang w:val="en-GB"/>
              </w:rPr>
            </w:pPr>
            <w:r w:rsidRPr="00667E7E">
              <w:rPr>
                <w:sz w:val="18"/>
                <w:szCs w:val="18"/>
                <w:lang w:val="en-GB"/>
              </w:rPr>
              <w:t xml:space="preserve">Receiver </w:t>
            </w:r>
          </w:p>
          <w:p w14:paraId="26EB4231" w14:textId="77777777" w:rsidR="00A046CC" w:rsidRPr="00667E7E" w:rsidRDefault="00A046CC" w:rsidP="000C6760">
            <w:pPr>
              <w:pStyle w:val="TabellentextKopfzeile"/>
              <w:ind w:left="113" w:right="113"/>
              <w:jc w:val="center"/>
              <w:rPr>
                <w:sz w:val="18"/>
                <w:szCs w:val="18"/>
                <w:lang w:val="en-GB"/>
              </w:rPr>
            </w:pPr>
            <w:r w:rsidRPr="00667E7E">
              <w:rPr>
                <w:sz w:val="18"/>
                <w:szCs w:val="18"/>
                <w:lang w:val="en-GB"/>
              </w:rPr>
              <w:t>Depth [m]</w:t>
            </w:r>
          </w:p>
        </w:tc>
        <w:tc>
          <w:tcPr>
            <w:tcW w:w="738" w:type="dxa"/>
            <w:vMerge w:val="restart"/>
            <w:noWrap/>
            <w:tcMar>
              <w:top w:w="0" w:type="dxa"/>
              <w:left w:w="57" w:type="dxa"/>
              <w:bottom w:w="0" w:type="dxa"/>
              <w:right w:w="57" w:type="dxa"/>
            </w:tcMar>
            <w:textDirection w:val="btLr"/>
            <w:vAlign w:val="center"/>
            <w:hideMark/>
          </w:tcPr>
          <w:p w14:paraId="2A571C22" w14:textId="77777777" w:rsidR="00A046CC" w:rsidRPr="00667E7E" w:rsidRDefault="00A046CC" w:rsidP="000C6760">
            <w:pPr>
              <w:pStyle w:val="TabellentextKopfzeile"/>
              <w:ind w:left="113" w:right="113"/>
              <w:jc w:val="center"/>
              <w:rPr>
                <w:sz w:val="18"/>
                <w:szCs w:val="18"/>
                <w:lang w:val="en-GB"/>
              </w:rPr>
            </w:pPr>
            <w:r w:rsidRPr="00667E7E">
              <w:rPr>
                <w:sz w:val="18"/>
                <w:szCs w:val="18"/>
                <w:lang w:val="en-GB"/>
              </w:rPr>
              <w:t xml:space="preserve">Distance </w:t>
            </w:r>
          </w:p>
          <w:p w14:paraId="6ADEFF05" w14:textId="77777777" w:rsidR="00A046CC" w:rsidRPr="00667E7E" w:rsidRDefault="00A046CC" w:rsidP="000C6760">
            <w:pPr>
              <w:pStyle w:val="TabellentextKopfzeile"/>
              <w:ind w:left="113" w:right="113"/>
              <w:jc w:val="center"/>
              <w:rPr>
                <w:sz w:val="18"/>
                <w:szCs w:val="18"/>
                <w:lang w:val="en-GB"/>
              </w:rPr>
            </w:pPr>
            <w:r w:rsidRPr="00667E7E">
              <w:rPr>
                <w:sz w:val="18"/>
                <w:szCs w:val="18"/>
                <w:lang w:val="en-GB"/>
              </w:rPr>
              <w:t>Airgun-Rec</w:t>
            </w:r>
            <w:r>
              <w:rPr>
                <w:sz w:val="18"/>
                <w:szCs w:val="18"/>
                <w:lang w:val="en-GB"/>
              </w:rPr>
              <w:t>eiver</w:t>
            </w:r>
            <w:r w:rsidRPr="00667E7E">
              <w:rPr>
                <w:sz w:val="18"/>
                <w:szCs w:val="18"/>
                <w:lang w:val="en-GB"/>
              </w:rPr>
              <w:t xml:space="preserve"> [</w:t>
            </w:r>
            <w:r>
              <w:rPr>
                <w:sz w:val="18"/>
                <w:szCs w:val="18"/>
                <w:lang w:val="en-GB"/>
              </w:rPr>
              <w:t>k</w:t>
            </w:r>
            <w:r w:rsidRPr="00667E7E">
              <w:rPr>
                <w:sz w:val="18"/>
                <w:szCs w:val="18"/>
                <w:lang w:val="en-GB"/>
              </w:rPr>
              <w:t>m]</w:t>
            </w:r>
          </w:p>
        </w:tc>
        <w:tc>
          <w:tcPr>
            <w:tcW w:w="7087" w:type="dxa"/>
            <w:gridSpan w:val="6"/>
            <w:tcBorders>
              <w:bottom w:val="nil"/>
            </w:tcBorders>
            <w:noWrap/>
            <w:vAlign w:val="center"/>
            <w:hideMark/>
          </w:tcPr>
          <w:p w14:paraId="07EA4547" w14:textId="77777777" w:rsidR="00A046CC" w:rsidRPr="00667E7E" w:rsidRDefault="00A046CC" w:rsidP="000C6760">
            <w:pPr>
              <w:pStyle w:val="TabellentextKopfzeile"/>
              <w:rPr>
                <w:sz w:val="18"/>
                <w:szCs w:val="18"/>
                <w:lang w:val="en-GB"/>
              </w:rPr>
            </w:pPr>
            <w:r w:rsidRPr="00667E7E">
              <w:rPr>
                <w:sz w:val="18"/>
                <w:szCs w:val="18"/>
                <w:lang w:val="en-GB"/>
              </w:rPr>
              <w:t>Loss in acoustic communication distances [%]</w:t>
            </w:r>
          </w:p>
        </w:tc>
      </w:tr>
      <w:tr w:rsidR="00A046CC" w:rsidRPr="00A046CC" w14:paraId="6D6ABA43" w14:textId="77777777" w:rsidTr="000C6760">
        <w:trPr>
          <w:cnfStyle w:val="000000100000" w:firstRow="0" w:lastRow="0" w:firstColumn="0" w:lastColumn="0" w:oddVBand="0" w:evenVBand="0" w:oddHBand="1" w:evenHBand="0" w:firstRowFirstColumn="0" w:firstRowLastColumn="0" w:lastRowFirstColumn="0" w:lastRowLastColumn="0"/>
          <w:trHeight w:val="347"/>
        </w:trPr>
        <w:tc>
          <w:tcPr>
            <w:tcW w:w="567" w:type="dxa"/>
            <w:vMerge/>
          </w:tcPr>
          <w:p w14:paraId="0E8585F3" w14:textId="77777777" w:rsidR="00A046CC" w:rsidRPr="00667E7E" w:rsidRDefault="00A046CC" w:rsidP="000C6760">
            <w:pPr>
              <w:pStyle w:val="TabellentextKopfzeile"/>
              <w:rPr>
                <w:sz w:val="18"/>
                <w:szCs w:val="18"/>
                <w:lang w:val="en-GB"/>
              </w:rPr>
            </w:pPr>
          </w:p>
        </w:tc>
        <w:tc>
          <w:tcPr>
            <w:tcW w:w="567" w:type="dxa"/>
            <w:vMerge/>
            <w:hideMark/>
          </w:tcPr>
          <w:p w14:paraId="337085FB" w14:textId="77777777" w:rsidR="00A046CC" w:rsidRPr="00667E7E" w:rsidRDefault="00A046CC" w:rsidP="000C6760">
            <w:pPr>
              <w:pStyle w:val="TabellentextKopfzeile"/>
              <w:rPr>
                <w:sz w:val="18"/>
                <w:szCs w:val="18"/>
                <w:lang w:val="en-GB"/>
              </w:rPr>
            </w:pPr>
          </w:p>
        </w:tc>
        <w:tc>
          <w:tcPr>
            <w:tcW w:w="738" w:type="dxa"/>
            <w:vMerge/>
            <w:hideMark/>
          </w:tcPr>
          <w:p w14:paraId="7ED0CBB1" w14:textId="77777777" w:rsidR="00A046CC" w:rsidRPr="00667E7E" w:rsidRDefault="00A046CC" w:rsidP="000C6760">
            <w:pPr>
              <w:pStyle w:val="TabellentextKopfzeile"/>
              <w:rPr>
                <w:sz w:val="18"/>
                <w:szCs w:val="18"/>
                <w:lang w:val="en-GB"/>
              </w:rPr>
            </w:pPr>
          </w:p>
        </w:tc>
        <w:tc>
          <w:tcPr>
            <w:tcW w:w="3231" w:type="dxa"/>
            <w:gridSpan w:val="3"/>
            <w:shd w:val="clear" w:color="auto" w:fill="4A4B4E"/>
            <w:noWrap/>
            <w:hideMark/>
          </w:tcPr>
          <w:p w14:paraId="2B233984" w14:textId="77777777" w:rsidR="00A046CC" w:rsidRPr="00667E7E" w:rsidRDefault="00A046CC" w:rsidP="000C6760">
            <w:pPr>
              <w:pStyle w:val="TabellentextKopfzeile"/>
              <w:rPr>
                <w:sz w:val="18"/>
                <w:szCs w:val="18"/>
                <w:lang w:val="en-GB"/>
              </w:rPr>
            </w:pPr>
            <w:r w:rsidRPr="00667E7E">
              <w:rPr>
                <w:sz w:val="18"/>
                <w:szCs w:val="18"/>
                <w:lang w:val="en-GB"/>
              </w:rPr>
              <w:t>80 dB noise</w:t>
            </w:r>
          </w:p>
          <w:p w14:paraId="01624C4E" w14:textId="77777777" w:rsidR="00A046CC" w:rsidRPr="00667E7E" w:rsidRDefault="00A046CC" w:rsidP="000C6760">
            <w:pPr>
              <w:pStyle w:val="TabellentextKopfzeile"/>
              <w:rPr>
                <w:b w:val="0"/>
                <w:sz w:val="18"/>
                <w:szCs w:val="18"/>
                <w:lang w:val="en-GB"/>
              </w:rPr>
            </w:pPr>
            <w:r w:rsidRPr="00667E7E">
              <w:rPr>
                <w:b w:val="0"/>
                <w:sz w:val="18"/>
                <w:szCs w:val="18"/>
                <w:lang w:val="en-GB"/>
              </w:rPr>
              <w:t>= the noise situation modelled in phase I</w:t>
            </w:r>
          </w:p>
        </w:tc>
        <w:tc>
          <w:tcPr>
            <w:tcW w:w="1276" w:type="dxa"/>
            <w:shd w:val="clear" w:color="auto" w:fill="4A4B4E"/>
            <w:noWrap/>
            <w:hideMark/>
          </w:tcPr>
          <w:p w14:paraId="33160D86" w14:textId="77777777" w:rsidR="00A046CC" w:rsidRPr="00370739" w:rsidRDefault="00A046CC" w:rsidP="000C6760">
            <w:pPr>
              <w:pStyle w:val="TabellentextKopfzeile"/>
              <w:rPr>
                <w:sz w:val="18"/>
                <w:szCs w:val="18"/>
                <w:lang w:val="fr-FR"/>
              </w:rPr>
            </w:pPr>
            <w:r w:rsidRPr="00370739">
              <w:rPr>
                <w:sz w:val="18"/>
                <w:szCs w:val="18"/>
                <w:lang w:val="fr-FR"/>
              </w:rPr>
              <w:t>94 dB noise</w:t>
            </w:r>
            <w:r w:rsidRPr="00370739">
              <w:rPr>
                <w:sz w:val="18"/>
                <w:szCs w:val="18"/>
                <w:lang w:val="fr-FR"/>
              </w:rPr>
              <w:br/>
            </w:r>
            <w:r w:rsidRPr="00370739">
              <w:rPr>
                <w:b w:val="0"/>
                <w:sz w:val="18"/>
                <w:szCs w:val="18"/>
                <w:lang w:val="fr-FR"/>
              </w:rPr>
              <w:t xml:space="preserve">= </w:t>
            </w:r>
            <w:proofErr w:type="spellStart"/>
            <w:r w:rsidRPr="00370739">
              <w:rPr>
                <w:b w:val="0"/>
                <w:sz w:val="18"/>
                <w:szCs w:val="18"/>
                <w:lang w:val="fr-FR"/>
              </w:rPr>
              <w:t>moderate</w:t>
            </w:r>
            <w:proofErr w:type="spellEnd"/>
            <w:r w:rsidRPr="00370739">
              <w:rPr>
                <w:b w:val="0"/>
                <w:sz w:val="18"/>
                <w:szCs w:val="18"/>
                <w:lang w:val="fr-FR"/>
              </w:rPr>
              <w:t xml:space="preserve"> </w:t>
            </w:r>
            <w:proofErr w:type="spellStart"/>
            <w:r w:rsidRPr="00370739">
              <w:rPr>
                <w:b w:val="0"/>
                <w:sz w:val="18"/>
                <w:szCs w:val="18"/>
                <w:lang w:val="fr-FR"/>
              </w:rPr>
              <w:t>ocean</w:t>
            </w:r>
            <w:proofErr w:type="spellEnd"/>
            <w:r w:rsidRPr="00370739">
              <w:rPr>
                <w:b w:val="0"/>
                <w:sz w:val="18"/>
                <w:szCs w:val="18"/>
                <w:lang w:val="fr-FR"/>
              </w:rPr>
              <w:t xml:space="preserve"> noise </w:t>
            </w:r>
          </w:p>
        </w:tc>
        <w:tc>
          <w:tcPr>
            <w:tcW w:w="1305" w:type="dxa"/>
            <w:shd w:val="clear" w:color="auto" w:fill="4A4B4E"/>
            <w:noWrap/>
            <w:hideMark/>
          </w:tcPr>
          <w:p w14:paraId="7011A891" w14:textId="77777777" w:rsidR="00A046CC" w:rsidRPr="00370739" w:rsidRDefault="00A046CC" w:rsidP="000C6760">
            <w:pPr>
              <w:pStyle w:val="TabellentextKopfzeile"/>
              <w:rPr>
                <w:sz w:val="18"/>
                <w:szCs w:val="18"/>
                <w:lang w:val="fr-FR"/>
              </w:rPr>
            </w:pPr>
            <w:r w:rsidRPr="00370739">
              <w:rPr>
                <w:sz w:val="18"/>
                <w:szCs w:val="18"/>
                <w:lang w:val="fr-FR"/>
              </w:rPr>
              <w:t>102 dB noise</w:t>
            </w:r>
            <w:r w:rsidRPr="00370739">
              <w:rPr>
                <w:sz w:val="18"/>
                <w:szCs w:val="18"/>
                <w:lang w:val="fr-FR"/>
              </w:rPr>
              <w:br/>
            </w:r>
            <w:r w:rsidRPr="00370739">
              <w:rPr>
                <w:b w:val="0"/>
                <w:sz w:val="18"/>
                <w:szCs w:val="18"/>
                <w:lang w:val="fr-FR"/>
              </w:rPr>
              <w:t xml:space="preserve">= medium </w:t>
            </w:r>
            <w:r w:rsidRPr="00370739">
              <w:rPr>
                <w:b w:val="0"/>
                <w:sz w:val="18"/>
                <w:szCs w:val="18"/>
                <w:lang w:val="fr-FR"/>
              </w:rPr>
              <w:br/>
            </w:r>
            <w:proofErr w:type="spellStart"/>
            <w:r w:rsidRPr="00370739">
              <w:rPr>
                <w:b w:val="0"/>
                <w:sz w:val="18"/>
                <w:szCs w:val="18"/>
                <w:lang w:val="fr-FR"/>
              </w:rPr>
              <w:t>ocean</w:t>
            </w:r>
            <w:proofErr w:type="spellEnd"/>
            <w:r w:rsidRPr="00370739">
              <w:rPr>
                <w:b w:val="0"/>
                <w:sz w:val="18"/>
                <w:szCs w:val="18"/>
                <w:lang w:val="fr-FR"/>
              </w:rPr>
              <w:t xml:space="preserve"> noise</w:t>
            </w:r>
          </w:p>
        </w:tc>
        <w:tc>
          <w:tcPr>
            <w:tcW w:w="1275" w:type="dxa"/>
            <w:shd w:val="clear" w:color="auto" w:fill="4A4B4E"/>
            <w:noWrap/>
            <w:hideMark/>
          </w:tcPr>
          <w:p w14:paraId="707CB4AD" w14:textId="77777777" w:rsidR="00A046CC" w:rsidRPr="00370739" w:rsidRDefault="00A046CC" w:rsidP="000C6760">
            <w:pPr>
              <w:pStyle w:val="TabellentextKopfzeile"/>
              <w:rPr>
                <w:b w:val="0"/>
                <w:sz w:val="18"/>
                <w:szCs w:val="18"/>
                <w:lang w:val="fr-FR"/>
              </w:rPr>
            </w:pPr>
            <w:r w:rsidRPr="00370739">
              <w:rPr>
                <w:sz w:val="18"/>
                <w:szCs w:val="18"/>
                <w:lang w:val="fr-FR"/>
              </w:rPr>
              <w:t>112 dB noise</w:t>
            </w:r>
            <w:r w:rsidRPr="00370739">
              <w:rPr>
                <w:sz w:val="18"/>
                <w:szCs w:val="18"/>
                <w:lang w:val="fr-FR"/>
              </w:rPr>
              <w:br/>
            </w:r>
            <w:r w:rsidRPr="00370739">
              <w:rPr>
                <w:b w:val="0"/>
                <w:sz w:val="18"/>
                <w:szCs w:val="18"/>
                <w:lang w:val="fr-FR"/>
              </w:rPr>
              <w:t xml:space="preserve">= high </w:t>
            </w:r>
          </w:p>
          <w:p w14:paraId="7B2C4BF4" w14:textId="77777777" w:rsidR="00A046CC" w:rsidRPr="00370739" w:rsidRDefault="00A046CC" w:rsidP="000C6760">
            <w:pPr>
              <w:pStyle w:val="TabellentextKopfzeile"/>
              <w:rPr>
                <w:sz w:val="18"/>
                <w:szCs w:val="18"/>
                <w:lang w:val="fr-FR"/>
              </w:rPr>
            </w:pPr>
            <w:proofErr w:type="spellStart"/>
            <w:proofErr w:type="gramStart"/>
            <w:r w:rsidRPr="00370739">
              <w:rPr>
                <w:b w:val="0"/>
                <w:sz w:val="18"/>
                <w:szCs w:val="18"/>
                <w:lang w:val="fr-FR"/>
              </w:rPr>
              <w:t>ocean</w:t>
            </w:r>
            <w:proofErr w:type="spellEnd"/>
            <w:proofErr w:type="gramEnd"/>
            <w:r w:rsidRPr="00370739">
              <w:rPr>
                <w:b w:val="0"/>
                <w:sz w:val="18"/>
                <w:szCs w:val="18"/>
                <w:lang w:val="fr-FR"/>
              </w:rPr>
              <w:t xml:space="preserve"> noise</w:t>
            </w:r>
          </w:p>
        </w:tc>
      </w:tr>
      <w:tr w:rsidR="00A046CC" w:rsidRPr="00667E7E" w14:paraId="11C240AD" w14:textId="77777777" w:rsidTr="000C6760">
        <w:trPr>
          <w:trHeight w:val="347"/>
        </w:trPr>
        <w:tc>
          <w:tcPr>
            <w:tcW w:w="567" w:type="dxa"/>
            <w:vMerge/>
          </w:tcPr>
          <w:p w14:paraId="32788876" w14:textId="77777777" w:rsidR="00A046CC" w:rsidRPr="00370739" w:rsidRDefault="00A046CC" w:rsidP="000C6760">
            <w:pPr>
              <w:pStyle w:val="TabellentextKopfzeile"/>
              <w:rPr>
                <w:sz w:val="18"/>
                <w:szCs w:val="18"/>
                <w:lang w:val="fr-FR"/>
              </w:rPr>
            </w:pPr>
          </w:p>
        </w:tc>
        <w:tc>
          <w:tcPr>
            <w:tcW w:w="567" w:type="dxa"/>
            <w:vMerge/>
            <w:hideMark/>
          </w:tcPr>
          <w:p w14:paraId="5517F4E7" w14:textId="77777777" w:rsidR="00A046CC" w:rsidRPr="00370739" w:rsidRDefault="00A046CC" w:rsidP="000C6760">
            <w:pPr>
              <w:pStyle w:val="TabellentextKopfzeile"/>
              <w:rPr>
                <w:sz w:val="18"/>
                <w:szCs w:val="18"/>
                <w:lang w:val="fr-FR"/>
              </w:rPr>
            </w:pPr>
          </w:p>
        </w:tc>
        <w:tc>
          <w:tcPr>
            <w:tcW w:w="738" w:type="dxa"/>
            <w:vMerge/>
            <w:hideMark/>
          </w:tcPr>
          <w:p w14:paraId="131B1A30" w14:textId="77777777" w:rsidR="00A046CC" w:rsidRPr="00370739" w:rsidRDefault="00A046CC" w:rsidP="000C6760">
            <w:pPr>
              <w:pStyle w:val="TabellentextKopfzeile"/>
              <w:rPr>
                <w:sz w:val="18"/>
                <w:szCs w:val="18"/>
                <w:lang w:val="fr-FR"/>
              </w:rPr>
            </w:pPr>
          </w:p>
        </w:tc>
        <w:tc>
          <w:tcPr>
            <w:tcW w:w="963" w:type="dxa"/>
            <w:shd w:val="clear" w:color="auto" w:fill="4A4B4E"/>
            <w:noWrap/>
            <w:hideMark/>
          </w:tcPr>
          <w:p w14:paraId="11C855DE"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leaky integrator (phase I)</w:t>
            </w:r>
          </w:p>
        </w:tc>
        <w:tc>
          <w:tcPr>
            <w:tcW w:w="993" w:type="dxa"/>
            <w:shd w:val="clear" w:color="auto" w:fill="4A4B4E"/>
            <w:noWrap/>
            <w:hideMark/>
          </w:tcPr>
          <w:p w14:paraId="4D92E27D"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leaky integrator (phase II)</w:t>
            </w:r>
          </w:p>
        </w:tc>
        <w:tc>
          <w:tcPr>
            <w:tcW w:w="1275" w:type="dxa"/>
            <w:shd w:val="clear" w:color="auto" w:fill="4A4B4E"/>
            <w:noWrap/>
            <w:hideMark/>
          </w:tcPr>
          <w:p w14:paraId="1707C222"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 xml:space="preserve">spectrogram correlator </w:t>
            </w:r>
          </w:p>
          <w:p w14:paraId="1FAF5B56"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(phase II)</w:t>
            </w:r>
          </w:p>
        </w:tc>
        <w:tc>
          <w:tcPr>
            <w:tcW w:w="1276" w:type="dxa"/>
            <w:shd w:val="clear" w:color="auto" w:fill="4A4B4E"/>
            <w:noWrap/>
            <w:hideMark/>
          </w:tcPr>
          <w:p w14:paraId="254FA293"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 xml:space="preserve">spectrogram correlator </w:t>
            </w:r>
          </w:p>
          <w:p w14:paraId="7B1C9AF2"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(phase II)</w:t>
            </w:r>
          </w:p>
        </w:tc>
        <w:tc>
          <w:tcPr>
            <w:tcW w:w="1305" w:type="dxa"/>
            <w:shd w:val="clear" w:color="auto" w:fill="4A4B4E"/>
            <w:noWrap/>
            <w:hideMark/>
          </w:tcPr>
          <w:p w14:paraId="137122F0"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 xml:space="preserve">spectrogram correlator </w:t>
            </w:r>
          </w:p>
          <w:p w14:paraId="76560FC0"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(phase II)</w:t>
            </w:r>
          </w:p>
        </w:tc>
        <w:tc>
          <w:tcPr>
            <w:tcW w:w="1275" w:type="dxa"/>
            <w:shd w:val="clear" w:color="auto" w:fill="4A4B4E"/>
            <w:noWrap/>
            <w:hideMark/>
          </w:tcPr>
          <w:p w14:paraId="5EA72C4A"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 xml:space="preserve">spectrogram correlator </w:t>
            </w:r>
          </w:p>
          <w:p w14:paraId="4E5AF051" w14:textId="77777777" w:rsidR="00A046CC" w:rsidRPr="00667E7E" w:rsidRDefault="00A046CC" w:rsidP="000C6760">
            <w:pPr>
              <w:pStyle w:val="TabellentextKopfzeile"/>
              <w:spacing w:line="140" w:lineRule="atLeast"/>
              <w:rPr>
                <w:b w:val="0"/>
                <w:sz w:val="16"/>
                <w:szCs w:val="18"/>
                <w:lang w:val="en-GB"/>
              </w:rPr>
            </w:pPr>
            <w:r w:rsidRPr="00667E7E">
              <w:rPr>
                <w:b w:val="0"/>
                <w:sz w:val="16"/>
                <w:szCs w:val="18"/>
                <w:lang w:val="en-GB"/>
              </w:rPr>
              <w:t>(phase II)</w:t>
            </w:r>
          </w:p>
        </w:tc>
      </w:tr>
      <w:tr w:rsidR="00A046CC" w:rsidRPr="00667E7E" w14:paraId="1B927452" w14:textId="77777777" w:rsidTr="000C6760">
        <w:trPr>
          <w:cnfStyle w:val="000000100000" w:firstRow="0" w:lastRow="0" w:firstColumn="0" w:lastColumn="0" w:oddVBand="0" w:evenVBand="0" w:oddHBand="1" w:evenHBand="0" w:firstRowFirstColumn="0" w:firstRowLastColumn="0" w:lastRowFirstColumn="0" w:lastRowLastColumn="0"/>
          <w:cantSplit/>
          <w:trHeight w:val="244"/>
        </w:trPr>
        <w:tc>
          <w:tcPr>
            <w:tcW w:w="567" w:type="dxa"/>
            <w:vMerge w:val="restart"/>
            <w:textDirection w:val="btLr"/>
            <w:vAlign w:val="center"/>
          </w:tcPr>
          <w:p w14:paraId="6437D9E1" w14:textId="77777777" w:rsidR="00A046CC" w:rsidRPr="00667E7E" w:rsidRDefault="00A046CC" w:rsidP="000C6760">
            <w:pPr>
              <w:ind w:left="113" w:right="113"/>
              <w:jc w:val="center"/>
              <w:rPr>
                <w:rFonts w:ascii="Calibri" w:hAnsi="Calibri" w:cs="Calibri"/>
                <w:color w:val="000000"/>
                <w:sz w:val="24"/>
              </w:rPr>
            </w:pPr>
            <w:r w:rsidRPr="00667E7E">
              <w:rPr>
                <w:rFonts w:ascii="Calibri" w:eastAsia="Times New Roman" w:hAnsi="Calibri" w:cs="Calibri"/>
                <w:color w:val="000000"/>
                <w:sz w:val="24"/>
              </w:rPr>
              <w:t>4000 m</w:t>
            </w:r>
          </w:p>
        </w:tc>
        <w:tc>
          <w:tcPr>
            <w:tcW w:w="567" w:type="dxa"/>
            <w:noWrap/>
            <w:vAlign w:val="center"/>
            <w:hideMark/>
          </w:tcPr>
          <w:p w14:paraId="4DAE6CF2"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10</w:t>
            </w:r>
          </w:p>
        </w:tc>
        <w:tc>
          <w:tcPr>
            <w:tcW w:w="738" w:type="dxa"/>
            <w:noWrap/>
            <w:vAlign w:val="center"/>
            <w:hideMark/>
          </w:tcPr>
          <w:p w14:paraId="37966272"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500</w:t>
            </w:r>
          </w:p>
        </w:tc>
        <w:tc>
          <w:tcPr>
            <w:tcW w:w="963" w:type="dxa"/>
            <w:noWrap/>
            <w:vAlign w:val="center"/>
            <w:hideMark/>
          </w:tcPr>
          <w:p w14:paraId="1F4B83C9"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98 %</w:t>
            </w:r>
          </w:p>
        </w:tc>
        <w:tc>
          <w:tcPr>
            <w:tcW w:w="993" w:type="dxa"/>
            <w:noWrap/>
            <w:vAlign w:val="center"/>
            <w:hideMark/>
          </w:tcPr>
          <w:p w14:paraId="2F0B7DBA"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97 %</w:t>
            </w:r>
          </w:p>
        </w:tc>
        <w:tc>
          <w:tcPr>
            <w:tcW w:w="1275" w:type="dxa"/>
            <w:noWrap/>
            <w:vAlign w:val="center"/>
            <w:hideMark/>
          </w:tcPr>
          <w:p w14:paraId="66E31BE3"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w:t>
            </w:r>
            <w:r>
              <w:rPr>
                <w:rFonts w:asciiTheme="minorHAnsi" w:eastAsia="Times New Roman" w:hAnsiTheme="minorHAnsi" w:cstheme="minorHAnsi"/>
                <w:b/>
                <w:i/>
                <w:color w:val="C00000"/>
                <w:sz w:val="18"/>
                <w:szCs w:val="18"/>
              </w:rPr>
              <w:t>4</w:t>
            </w:r>
            <w:r w:rsidRPr="00667E7E">
              <w:rPr>
                <w:rFonts w:asciiTheme="minorHAnsi" w:eastAsia="Times New Roman" w:hAnsiTheme="minorHAnsi" w:cstheme="minorHAnsi"/>
                <w:b/>
                <w:i/>
                <w:color w:val="C00000"/>
                <w:sz w:val="18"/>
                <w:szCs w:val="18"/>
              </w:rPr>
              <w:t xml:space="preserve"> %</w:t>
            </w:r>
          </w:p>
        </w:tc>
        <w:tc>
          <w:tcPr>
            <w:tcW w:w="1276" w:type="dxa"/>
            <w:noWrap/>
            <w:vAlign w:val="center"/>
            <w:hideMark/>
          </w:tcPr>
          <w:p w14:paraId="31B1D312"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934199">
              <w:rPr>
                <w:rFonts w:asciiTheme="minorHAnsi" w:hAnsiTheme="minorHAnsi" w:cstheme="minorHAnsi"/>
                <w:b/>
                <w:i/>
                <w:color w:val="FFFF00"/>
                <w:sz w:val="18"/>
                <w:szCs w:val="18"/>
                <w14:textOutline w14:w="127" w14:cap="rnd" w14:cmpd="sng" w14:algn="ctr">
                  <w14:solidFill>
                    <w14:srgbClr w14:val="B4B000"/>
                  </w14:solidFill>
                  <w14:prstDash w14:val="solid"/>
                  <w14:bevel/>
                </w14:textOutline>
              </w:rPr>
              <w:t>36 %</w:t>
            </w:r>
          </w:p>
        </w:tc>
        <w:tc>
          <w:tcPr>
            <w:tcW w:w="1305" w:type="dxa"/>
            <w:noWrap/>
            <w:vAlign w:val="center"/>
            <w:hideMark/>
          </w:tcPr>
          <w:p w14:paraId="0DFB19D5"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423F76">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t>36 %</w:t>
            </w:r>
          </w:p>
        </w:tc>
        <w:tc>
          <w:tcPr>
            <w:tcW w:w="1275" w:type="dxa"/>
            <w:noWrap/>
            <w:vAlign w:val="center"/>
            <w:hideMark/>
          </w:tcPr>
          <w:p w14:paraId="751AAE02"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3C4ADC69" w14:textId="77777777" w:rsidTr="000C6760">
        <w:trPr>
          <w:cantSplit/>
          <w:trHeight w:val="244"/>
        </w:trPr>
        <w:tc>
          <w:tcPr>
            <w:tcW w:w="567" w:type="dxa"/>
            <w:vMerge/>
          </w:tcPr>
          <w:p w14:paraId="5C852F5A"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7C76670F"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10</w:t>
            </w:r>
          </w:p>
        </w:tc>
        <w:tc>
          <w:tcPr>
            <w:tcW w:w="738" w:type="dxa"/>
            <w:noWrap/>
            <w:vAlign w:val="center"/>
            <w:hideMark/>
          </w:tcPr>
          <w:p w14:paraId="655CA2B5"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2000</w:t>
            </w:r>
          </w:p>
        </w:tc>
        <w:tc>
          <w:tcPr>
            <w:tcW w:w="963" w:type="dxa"/>
            <w:noWrap/>
            <w:vAlign w:val="center"/>
            <w:hideMark/>
          </w:tcPr>
          <w:p w14:paraId="2DDAE820"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96 %</w:t>
            </w:r>
          </w:p>
        </w:tc>
        <w:tc>
          <w:tcPr>
            <w:tcW w:w="993" w:type="dxa"/>
            <w:noWrap/>
            <w:vAlign w:val="center"/>
            <w:hideMark/>
          </w:tcPr>
          <w:p w14:paraId="4207DC75"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84 %</w:t>
            </w:r>
          </w:p>
        </w:tc>
        <w:tc>
          <w:tcPr>
            <w:tcW w:w="1275" w:type="dxa"/>
            <w:noWrap/>
            <w:vAlign w:val="center"/>
            <w:hideMark/>
          </w:tcPr>
          <w:p w14:paraId="42A13D42"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8</w:t>
            </w:r>
            <w:r>
              <w:rPr>
                <w:rFonts w:asciiTheme="minorHAnsi" w:eastAsia="Times New Roman" w:hAnsiTheme="minorHAnsi" w:cstheme="minorHAnsi"/>
                <w:b/>
                <w:i/>
                <w:color w:val="C00000"/>
                <w:sz w:val="18"/>
                <w:szCs w:val="18"/>
              </w:rPr>
              <w:t>8</w:t>
            </w:r>
            <w:r w:rsidRPr="00B61502">
              <w:rPr>
                <w:rFonts w:asciiTheme="minorHAnsi" w:eastAsia="Times New Roman" w:hAnsiTheme="minorHAnsi" w:cstheme="minorHAnsi"/>
                <w:b/>
                <w:i/>
                <w:color w:val="C00000"/>
                <w:sz w:val="18"/>
                <w:szCs w:val="18"/>
              </w:rPr>
              <w:t xml:space="preserve"> %</w:t>
            </w:r>
          </w:p>
        </w:tc>
        <w:tc>
          <w:tcPr>
            <w:tcW w:w="1276" w:type="dxa"/>
            <w:noWrap/>
            <w:vAlign w:val="center"/>
            <w:hideMark/>
          </w:tcPr>
          <w:p w14:paraId="3EB7F521"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A21359">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t>36 %</w:t>
            </w:r>
          </w:p>
        </w:tc>
        <w:tc>
          <w:tcPr>
            <w:tcW w:w="1305" w:type="dxa"/>
            <w:noWrap/>
            <w:vAlign w:val="center"/>
            <w:hideMark/>
          </w:tcPr>
          <w:p w14:paraId="3243B8E6"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c>
          <w:tcPr>
            <w:tcW w:w="1275" w:type="dxa"/>
            <w:noWrap/>
            <w:vAlign w:val="center"/>
            <w:hideMark/>
          </w:tcPr>
          <w:p w14:paraId="6B191516"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649DF881" w14:textId="77777777" w:rsidTr="000C6760">
        <w:trPr>
          <w:cnfStyle w:val="000000100000" w:firstRow="0" w:lastRow="0" w:firstColumn="0" w:lastColumn="0" w:oddVBand="0" w:evenVBand="0" w:oddHBand="1" w:evenHBand="0" w:firstRowFirstColumn="0" w:firstRowLastColumn="0" w:lastRowFirstColumn="0" w:lastRowLastColumn="0"/>
          <w:cantSplit/>
          <w:trHeight w:val="244"/>
        </w:trPr>
        <w:tc>
          <w:tcPr>
            <w:tcW w:w="567" w:type="dxa"/>
            <w:vMerge/>
          </w:tcPr>
          <w:p w14:paraId="1EF685E2"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727AEB7E"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w:t>
            </w:r>
          </w:p>
        </w:tc>
        <w:tc>
          <w:tcPr>
            <w:tcW w:w="738" w:type="dxa"/>
            <w:noWrap/>
            <w:vAlign w:val="center"/>
            <w:hideMark/>
          </w:tcPr>
          <w:p w14:paraId="70A92A0C"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500</w:t>
            </w:r>
          </w:p>
        </w:tc>
        <w:tc>
          <w:tcPr>
            <w:tcW w:w="963" w:type="dxa"/>
            <w:noWrap/>
            <w:vAlign w:val="center"/>
            <w:hideMark/>
          </w:tcPr>
          <w:p w14:paraId="24BEF025"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99%</w:t>
            </w:r>
          </w:p>
        </w:tc>
        <w:tc>
          <w:tcPr>
            <w:tcW w:w="993" w:type="dxa"/>
            <w:noWrap/>
            <w:vAlign w:val="center"/>
            <w:hideMark/>
          </w:tcPr>
          <w:p w14:paraId="4C0F7091"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97 %</w:t>
            </w:r>
          </w:p>
        </w:tc>
        <w:tc>
          <w:tcPr>
            <w:tcW w:w="1275" w:type="dxa"/>
            <w:noWrap/>
            <w:vAlign w:val="center"/>
            <w:hideMark/>
          </w:tcPr>
          <w:p w14:paraId="075E3C34"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w:t>
            </w:r>
            <w:r>
              <w:rPr>
                <w:rFonts w:asciiTheme="minorHAnsi" w:eastAsia="Times New Roman" w:hAnsiTheme="minorHAnsi" w:cstheme="minorHAnsi"/>
                <w:b/>
                <w:i/>
                <w:color w:val="C00000"/>
                <w:sz w:val="18"/>
                <w:szCs w:val="18"/>
              </w:rPr>
              <w:t>2</w:t>
            </w:r>
            <w:r w:rsidRPr="00667E7E">
              <w:rPr>
                <w:rFonts w:asciiTheme="minorHAnsi" w:eastAsia="Times New Roman" w:hAnsiTheme="minorHAnsi" w:cstheme="minorHAnsi"/>
                <w:b/>
                <w:i/>
                <w:color w:val="C00000"/>
                <w:sz w:val="18"/>
                <w:szCs w:val="18"/>
              </w:rPr>
              <w:t xml:space="preserve"> %</w:t>
            </w:r>
          </w:p>
        </w:tc>
        <w:tc>
          <w:tcPr>
            <w:tcW w:w="1276" w:type="dxa"/>
            <w:noWrap/>
            <w:vAlign w:val="center"/>
            <w:hideMark/>
          </w:tcPr>
          <w:p w14:paraId="45383BFB" w14:textId="77777777" w:rsidR="00A046CC" w:rsidRPr="00934199" w:rsidRDefault="00A046CC" w:rsidP="000C6760">
            <w:pPr>
              <w:jc w:val="center"/>
              <w:rPr>
                <w:rFonts w:asciiTheme="minorHAnsi" w:eastAsia="Times New Roman" w:hAnsiTheme="minorHAnsi" w:cstheme="minorHAnsi"/>
                <w:b/>
                <w:i/>
                <w:color w:val="966F00"/>
                <w:sz w:val="18"/>
                <w:szCs w:val="18"/>
              </w:rPr>
            </w:pPr>
            <w:r w:rsidRPr="00934199">
              <w:rPr>
                <w:rFonts w:asciiTheme="minorHAnsi" w:hAnsiTheme="minorHAnsi" w:cstheme="minorHAnsi"/>
                <w:b/>
                <w:i/>
                <w:color w:val="966F00"/>
                <w:sz w:val="18"/>
                <w:szCs w:val="18"/>
              </w:rPr>
              <w:t>65 %</w:t>
            </w:r>
          </w:p>
        </w:tc>
        <w:tc>
          <w:tcPr>
            <w:tcW w:w="1305" w:type="dxa"/>
            <w:noWrap/>
            <w:vAlign w:val="center"/>
            <w:hideMark/>
          </w:tcPr>
          <w:p w14:paraId="1961E2A7" w14:textId="77777777" w:rsidR="00A046CC" w:rsidRPr="00667E7E" w:rsidRDefault="00A046CC" w:rsidP="000C6760">
            <w:pPr>
              <w:jc w:val="center"/>
              <w:rPr>
                <w:rFonts w:asciiTheme="minorHAnsi" w:eastAsia="Times New Roman" w:hAnsiTheme="minorHAnsi" w:cstheme="minorHAnsi"/>
                <w:b/>
                <w:i/>
                <w:color w:val="F26200"/>
                <w:sz w:val="18"/>
                <w:szCs w:val="18"/>
              </w:rPr>
            </w:pPr>
            <w:r w:rsidRPr="00B61502">
              <w:rPr>
                <w:rFonts w:asciiTheme="minorHAnsi" w:eastAsia="Times New Roman" w:hAnsiTheme="minorHAnsi" w:cstheme="minorHAnsi"/>
                <w:b/>
                <w:i/>
                <w:color w:val="C00000"/>
                <w:sz w:val="18"/>
                <w:szCs w:val="18"/>
              </w:rPr>
              <w:t>80 %</w:t>
            </w:r>
          </w:p>
        </w:tc>
        <w:tc>
          <w:tcPr>
            <w:tcW w:w="1275" w:type="dxa"/>
            <w:noWrap/>
            <w:vAlign w:val="center"/>
            <w:hideMark/>
          </w:tcPr>
          <w:p w14:paraId="5B40EBAB"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B61502">
              <w:rPr>
                <w:rFonts w:asciiTheme="minorHAnsi" w:eastAsia="Times New Roman" w:hAnsiTheme="minorHAnsi" w:cstheme="minorHAnsi"/>
                <w:b/>
                <w:i/>
                <w:color w:val="966F00"/>
                <w:sz w:val="18"/>
                <w:szCs w:val="18"/>
              </w:rPr>
              <w:t>61 %</w:t>
            </w:r>
          </w:p>
        </w:tc>
      </w:tr>
      <w:tr w:rsidR="00A046CC" w:rsidRPr="00667E7E" w14:paraId="206CC9BA" w14:textId="77777777" w:rsidTr="000C6760">
        <w:trPr>
          <w:cantSplit/>
          <w:trHeight w:val="244"/>
        </w:trPr>
        <w:tc>
          <w:tcPr>
            <w:tcW w:w="567" w:type="dxa"/>
            <w:vMerge/>
          </w:tcPr>
          <w:p w14:paraId="1B535098"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6647A7FD"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w:t>
            </w:r>
          </w:p>
        </w:tc>
        <w:tc>
          <w:tcPr>
            <w:tcW w:w="738" w:type="dxa"/>
            <w:noWrap/>
            <w:vAlign w:val="center"/>
            <w:hideMark/>
          </w:tcPr>
          <w:p w14:paraId="66048DC4"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2000</w:t>
            </w:r>
          </w:p>
        </w:tc>
        <w:tc>
          <w:tcPr>
            <w:tcW w:w="963" w:type="dxa"/>
            <w:noWrap/>
            <w:vAlign w:val="center"/>
            <w:hideMark/>
          </w:tcPr>
          <w:p w14:paraId="57BF97E1"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99%</w:t>
            </w:r>
          </w:p>
        </w:tc>
        <w:tc>
          <w:tcPr>
            <w:tcW w:w="993" w:type="dxa"/>
            <w:noWrap/>
            <w:vAlign w:val="center"/>
            <w:hideMark/>
          </w:tcPr>
          <w:p w14:paraId="6C32805B"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77 %</w:t>
            </w:r>
          </w:p>
        </w:tc>
        <w:tc>
          <w:tcPr>
            <w:tcW w:w="1275" w:type="dxa"/>
            <w:noWrap/>
            <w:vAlign w:val="center"/>
            <w:hideMark/>
          </w:tcPr>
          <w:p w14:paraId="6873194B"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8</w:t>
            </w:r>
            <w:r>
              <w:rPr>
                <w:rFonts w:asciiTheme="minorHAnsi" w:eastAsia="Times New Roman" w:hAnsiTheme="minorHAnsi" w:cstheme="minorHAnsi"/>
                <w:b/>
                <w:i/>
                <w:color w:val="C00000"/>
                <w:sz w:val="18"/>
                <w:szCs w:val="18"/>
              </w:rPr>
              <w:t>8</w:t>
            </w:r>
            <w:r w:rsidRPr="00B61502">
              <w:rPr>
                <w:rFonts w:asciiTheme="minorHAnsi" w:eastAsia="Times New Roman" w:hAnsiTheme="minorHAnsi" w:cstheme="minorHAnsi"/>
                <w:b/>
                <w:i/>
                <w:color w:val="C00000"/>
                <w:sz w:val="18"/>
                <w:szCs w:val="18"/>
              </w:rPr>
              <w:t xml:space="preserve"> %</w:t>
            </w:r>
          </w:p>
        </w:tc>
        <w:tc>
          <w:tcPr>
            <w:tcW w:w="1276" w:type="dxa"/>
            <w:noWrap/>
            <w:vAlign w:val="center"/>
            <w:hideMark/>
          </w:tcPr>
          <w:p w14:paraId="229E445D"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966F00"/>
                <w:sz w:val="18"/>
                <w:szCs w:val="18"/>
              </w:rPr>
              <w:t>65 %</w:t>
            </w:r>
          </w:p>
        </w:tc>
        <w:tc>
          <w:tcPr>
            <w:tcW w:w="1305" w:type="dxa"/>
            <w:noWrap/>
            <w:vAlign w:val="center"/>
            <w:hideMark/>
          </w:tcPr>
          <w:p w14:paraId="2CB16FC4"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B61502">
              <w:rPr>
                <w:rFonts w:asciiTheme="minorHAnsi" w:eastAsia="Times New Roman" w:hAnsiTheme="minorHAnsi" w:cstheme="minorHAnsi"/>
                <w:b/>
                <w:i/>
                <w:color w:val="966F00"/>
                <w:sz w:val="18"/>
                <w:szCs w:val="18"/>
              </w:rPr>
              <w:t>65 %</w:t>
            </w:r>
          </w:p>
        </w:tc>
        <w:tc>
          <w:tcPr>
            <w:tcW w:w="1275" w:type="dxa"/>
            <w:noWrap/>
            <w:vAlign w:val="center"/>
            <w:hideMark/>
          </w:tcPr>
          <w:p w14:paraId="2E196CB9"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B61502">
              <w:rPr>
                <w:rFonts w:asciiTheme="minorHAnsi" w:eastAsia="Times New Roman" w:hAnsiTheme="minorHAnsi" w:cstheme="minorHAnsi"/>
                <w:b/>
                <w:i/>
                <w:color w:val="966F00"/>
                <w:sz w:val="18"/>
                <w:szCs w:val="18"/>
              </w:rPr>
              <w:t>61 %</w:t>
            </w:r>
          </w:p>
        </w:tc>
      </w:tr>
      <w:tr w:rsidR="00A046CC" w:rsidRPr="00667E7E" w14:paraId="1C478BBB" w14:textId="77777777" w:rsidTr="000C6760">
        <w:trPr>
          <w:cnfStyle w:val="000000100000" w:firstRow="0" w:lastRow="0" w:firstColumn="0" w:lastColumn="0" w:oddVBand="0" w:evenVBand="0" w:oddHBand="1" w:evenHBand="0" w:firstRowFirstColumn="0" w:firstRowLastColumn="0" w:lastRowFirstColumn="0" w:lastRowLastColumn="0"/>
          <w:cantSplit/>
          <w:trHeight w:val="244"/>
        </w:trPr>
        <w:tc>
          <w:tcPr>
            <w:tcW w:w="567" w:type="dxa"/>
            <w:vMerge/>
          </w:tcPr>
          <w:p w14:paraId="0883BA38"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408B9B0F"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w:t>
            </w:r>
          </w:p>
        </w:tc>
        <w:tc>
          <w:tcPr>
            <w:tcW w:w="738" w:type="dxa"/>
            <w:noWrap/>
            <w:vAlign w:val="center"/>
            <w:hideMark/>
          </w:tcPr>
          <w:p w14:paraId="46C86870"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500</w:t>
            </w:r>
          </w:p>
        </w:tc>
        <w:tc>
          <w:tcPr>
            <w:tcW w:w="963" w:type="dxa"/>
            <w:noWrap/>
            <w:vAlign w:val="center"/>
            <w:hideMark/>
          </w:tcPr>
          <w:p w14:paraId="115B704D"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99%</w:t>
            </w:r>
          </w:p>
        </w:tc>
        <w:tc>
          <w:tcPr>
            <w:tcW w:w="993" w:type="dxa"/>
            <w:noWrap/>
            <w:vAlign w:val="center"/>
            <w:hideMark/>
          </w:tcPr>
          <w:p w14:paraId="7BEFE4C1"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97 %</w:t>
            </w:r>
          </w:p>
        </w:tc>
        <w:tc>
          <w:tcPr>
            <w:tcW w:w="1275" w:type="dxa"/>
            <w:noWrap/>
            <w:vAlign w:val="center"/>
            <w:hideMark/>
          </w:tcPr>
          <w:p w14:paraId="3D27B574" w14:textId="77777777" w:rsidR="00A046CC" w:rsidRPr="00667E7E" w:rsidRDefault="00A046CC" w:rsidP="000C6760">
            <w:pPr>
              <w:jc w:val="center"/>
              <w:rPr>
                <w:rFonts w:asciiTheme="minorHAnsi" w:eastAsia="Times New Roman" w:hAnsiTheme="minorHAnsi" w:cstheme="minorHAnsi"/>
                <w:b/>
                <w:i/>
                <w:color w:val="C00000"/>
                <w:sz w:val="18"/>
                <w:szCs w:val="18"/>
              </w:rPr>
            </w:pPr>
            <w:r>
              <w:rPr>
                <w:rFonts w:asciiTheme="minorHAnsi" w:eastAsia="Times New Roman" w:hAnsiTheme="minorHAnsi" w:cstheme="minorHAnsi"/>
                <w:b/>
                <w:i/>
                <w:color w:val="C00000"/>
                <w:sz w:val="18"/>
                <w:szCs w:val="18"/>
              </w:rPr>
              <w:t>88</w:t>
            </w:r>
            <w:r w:rsidRPr="00667E7E">
              <w:rPr>
                <w:rFonts w:asciiTheme="minorHAnsi" w:eastAsia="Times New Roman" w:hAnsiTheme="minorHAnsi" w:cstheme="minorHAnsi"/>
                <w:b/>
                <w:i/>
                <w:color w:val="C00000"/>
                <w:sz w:val="18"/>
                <w:szCs w:val="18"/>
              </w:rPr>
              <w:t>%</w:t>
            </w:r>
          </w:p>
        </w:tc>
        <w:tc>
          <w:tcPr>
            <w:tcW w:w="1276" w:type="dxa"/>
            <w:noWrap/>
            <w:vAlign w:val="center"/>
            <w:hideMark/>
          </w:tcPr>
          <w:p w14:paraId="3768E800"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934199">
              <w:rPr>
                <w:rFonts w:asciiTheme="minorHAnsi" w:hAnsiTheme="minorHAnsi" w:cstheme="minorHAnsi"/>
                <w:b/>
                <w:i/>
                <w:color w:val="966F00"/>
                <w:sz w:val="18"/>
                <w:szCs w:val="18"/>
              </w:rPr>
              <w:t>74 %</w:t>
            </w:r>
          </w:p>
        </w:tc>
        <w:tc>
          <w:tcPr>
            <w:tcW w:w="1305" w:type="dxa"/>
            <w:noWrap/>
            <w:vAlign w:val="center"/>
            <w:hideMark/>
          </w:tcPr>
          <w:p w14:paraId="4E991F11"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B61502">
              <w:rPr>
                <w:rFonts w:asciiTheme="minorHAnsi" w:eastAsia="Times New Roman" w:hAnsiTheme="minorHAnsi" w:cstheme="minorHAnsi"/>
                <w:b/>
                <w:i/>
                <w:color w:val="966F00"/>
                <w:sz w:val="18"/>
                <w:szCs w:val="18"/>
              </w:rPr>
              <w:t>75 %</w:t>
            </w:r>
          </w:p>
        </w:tc>
        <w:tc>
          <w:tcPr>
            <w:tcW w:w="1275" w:type="dxa"/>
            <w:noWrap/>
            <w:vAlign w:val="center"/>
            <w:hideMark/>
          </w:tcPr>
          <w:p w14:paraId="6349AB8F"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B61502">
              <w:rPr>
                <w:rFonts w:asciiTheme="minorHAnsi" w:eastAsia="Times New Roman" w:hAnsiTheme="minorHAnsi" w:cstheme="minorHAnsi"/>
                <w:b/>
                <w:i/>
                <w:color w:val="966F00"/>
                <w:sz w:val="18"/>
                <w:szCs w:val="18"/>
              </w:rPr>
              <w:t>68 %</w:t>
            </w:r>
          </w:p>
        </w:tc>
      </w:tr>
      <w:tr w:rsidR="00A046CC" w:rsidRPr="00667E7E" w14:paraId="3E6FF390" w14:textId="77777777" w:rsidTr="000C6760">
        <w:trPr>
          <w:cantSplit/>
          <w:trHeight w:val="244"/>
        </w:trPr>
        <w:tc>
          <w:tcPr>
            <w:tcW w:w="567" w:type="dxa"/>
            <w:vMerge/>
          </w:tcPr>
          <w:p w14:paraId="7FC8454B"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41174F93"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w:t>
            </w:r>
          </w:p>
        </w:tc>
        <w:tc>
          <w:tcPr>
            <w:tcW w:w="738" w:type="dxa"/>
            <w:noWrap/>
            <w:vAlign w:val="center"/>
            <w:hideMark/>
          </w:tcPr>
          <w:p w14:paraId="365481A9"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2000</w:t>
            </w:r>
          </w:p>
        </w:tc>
        <w:tc>
          <w:tcPr>
            <w:tcW w:w="963" w:type="dxa"/>
            <w:noWrap/>
            <w:vAlign w:val="center"/>
            <w:hideMark/>
          </w:tcPr>
          <w:p w14:paraId="62FF0044"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98%</w:t>
            </w:r>
          </w:p>
        </w:tc>
        <w:tc>
          <w:tcPr>
            <w:tcW w:w="993" w:type="dxa"/>
            <w:noWrap/>
            <w:vAlign w:val="center"/>
            <w:hideMark/>
          </w:tcPr>
          <w:p w14:paraId="6BBA22AB"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81 %</w:t>
            </w:r>
          </w:p>
        </w:tc>
        <w:tc>
          <w:tcPr>
            <w:tcW w:w="1275" w:type="dxa"/>
            <w:noWrap/>
            <w:vAlign w:val="center"/>
            <w:hideMark/>
          </w:tcPr>
          <w:p w14:paraId="5ED0DE86" w14:textId="77777777" w:rsidR="00A046CC" w:rsidRPr="00B61502" w:rsidRDefault="00A046CC" w:rsidP="000C6760">
            <w:pPr>
              <w:jc w:val="center"/>
              <w:rPr>
                <w:rFonts w:asciiTheme="minorHAnsi" w:eastAsia="Times New Roman" w:hAnsiTheme="minorHAnsi" w:cstheme="minorHAnsi"/>
                <w:b/>
                <w:i/>
                <w:color w:val="966F00"/>
                <w:sz w:val="18"/>
                <w:szCs w:val="18"/>
              </w:rPr>
            </w:pPr>
            <w:r>
              <w:rPr>
                <w:rFonts w:asciiTheme="minorHAnsi" w:eastAsia="Times New Roman" w:hAnsiTheme="minorHAnsi" w:cstheme="minorHAnsi"/>
                <w:b/>
                <w:i/>
                <w:color w:val="966F00"/>
                <w:sz w:val="18"/>
                <w:szCs w:val="18"/>
              </w:rPr>
              <w:t>65</w:t>
            </w:r>
            <w:r w:rsidRPr="00B61502">
              <w:rPr>
                <w:rFonts w:asciiTheme="minorHAnsi" w:eastAsia="Times New Roman" w:hAnsiTheme="minorHAnsi" w:cstheme="minorHAnsi"/>
                <w:b/>
                <w:i/>
                <w:color w:val="966F00"/>
                <w:sz w:val="18"/>
                <w:szCs w:val="18"/>
              </w:rPr>
              <w:t xml:space="preserve"> %</w:t>
            </w:r>
          </w:p>
        </w:tc>
        <w:tc>
          <w:tcPr>
            <w:tcW w:w="1276" w:type="dxa"/>
            <w:noWrap/>
            <w:vAlign w:val="center"/>
            <w:hideMark/>
          </w:tcPr>
          <w:p w14:paraId="0DF5A3CF" w14:textId="77777777" w:rsidR="00A046CC" w:rsidRPr="00667E7E" w:rsidRDefault="00A046CC" w:rsidP="000C6760">
            <w:pPr>
              <w:jc w:val="center"/>
              <w:rPr>
                <w:rFonts w:asciiTheme="minorHAnsi" w:eastAsia="Times New Roman" w:hAnsiTheme="minorHAnsi" w:cstheme="minorHAnsi"/>
                <w:b/>
                <w:i/>
                <w:color w:val="C00000"/>
                <w:sz w:val="18"/>
                <w:szCs w:val="18"/>
              </w:rPr>
            </w:pPr>
            <w:r>
              <w:rPr>
                <w:rFonts w:asciiTheme="minorHAnsi" w:eastAsia="Times New Roman" w:hAnsiTheme="minorHAnsi" w:cstheme="minorHAnsi"/>
                <w:b/>
                <w:i/>
                <w:color w:val="C00000"/>
                <w:sz w:val="18"/>
                <w:szCs w:val="18"/>
              </w:rPr>
              <w:t>68</w:t>
            </w:r>
            <w:r w:rsidRPr="00667E7E">
              <w:rPr>
                <w:rFonts w:asciiTheme="minorHAnsi" w:eastAsia="Times New Roman" w:hAnsiTheme="minorHAnsi" w:cstheme="minorHAnsi"/>
                <w:b/>
                <w:i/>
                <w:color w:val="C00000"/>
                <w:sz w:val="18"/>
                <w:szCs w:val="18"/>
              </w:rPr>
              <w:t xml:space="preserve"> %</w:t>
            </w:r>
          </w:p>
        </w:tc>
        <w:tc>
          <w:tcPr>
            <w:tcW w:w="1305" w:type="dxa"/>
            <w:noWrap/>
            <w:vAlign w:val="center"/>
            <w:hideMark/>
          </w:tcPr>
          <w:p w14:paraId="2399E99C"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B61502">
              <w:rPr>
                <w:rFonts w:asciiTheme="minorHAnsi" w:eastAsia="Times New Roman" w:hAnsiTheme="minorHAnsi" w:cstheme="minorHAnsi"/>
                <w:b/>
                <w:i/>
                <w:color w:val="966F00"/>
                <w:sz w:val="18"/>
                <w:szCs w:val="18"/>
              </w:rPr>
              <w:t>60 %</w:t>
            </w:r>
          </w:p>
        </w:tc>
        <w:tc>
          <w:tcPr>
            <w:tcW w:w="1275" w:type="dxa"/>
            <w:noWrap/>
            <w:vAlign w:val="center"/>
            <w:hideMark/>
          </w:tcPr>
          <w:p w14:paraId="62A3BBFE"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559F99E6" w14:textId="77777777" w:rsidTr="000C6760">
        <w:trPr>
          <w:cnfStyle w:val="000000100000" w:firstRow="0" w:lastRow="0" w:firstColumn="0" w:lastColumn="0" w:oddVBand="0" w:evenVBand="0" w:oddHBand="1" w:evenHBand="0" w:firstRowFirstColumn="0" w:firstRowLastColumn="0" w:lastRowFirstColumn="0" w:lastRowLastColumn="0"/>
          <w:cantSplit/>
          <w:trHeight w:val="244"/>
        </w:trPr>
        <w:tc>
          <w:tcPr>
            <w:tcW w:w="567" w:type="dxa"/>
            <w:vMerge w:val="restart"/>
            <w:textDirection w:val="btLr"/>
            <w:vAlign w:val="center"/>
          </w:tcPr>
          <w:p w14:paraId="67DFB18E" w14:textId="77777777" w:rsidR="00A046CC" w:rsidRPr="00667E7E" w:rsidRDefault="00A046CC" w:rsidP="000C6760">
            <w:pPr>
              <w:ind w:left="113" w:right="113"/>
              <w:jc w:val="center"/>
              <w:rPr>
                <w:rFonts w:ascii="Calibri" w:eastAsia="Times New Roman" w:hAnsi="Calibri" w:cs="Calibri"/>
                <w:color w:val="000000"/>
                <w:sz w:val="24"/>
              </w:rPr>
            </w:pPr>
            <w:r w:rsidRPr="00667E7E">
              <w:rPr>
                <w:rFonts w:ascii="Calibri" w:eastAsia="Times New Roman" w:hAnsi="Calibri" w:cs="Calibri"/>
                <w:color w:val="000000"/>
                <w:sz w:val="24"/>
              </w:rPr>
              <w:t>500 m</w:t>
            </w:r>
          </w:p>
        </w:tc>
        <w:tc>
          <w:tcPr>
            <w:tcW w:w="567" w:type="dxa"/>
            <w:noWrap/>
            <w:vAlign w:val="center"/>
            <w:hideMark/>
          </w:tcPr>
          <w:p w14:paraId="0BAB710D"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10</w:t>
            </w:r>
          </w:p>
        </w:tc>
        <w:tc>
          <w:tcPr>
            <w:tcW w:w="738" w:type="dxa"/>
            <w:noWrap/>
            <w:vAlign w:val="center"/>
            <w:hideMark/>
          </w:tcPr>
          <w:p w14:paraId="4B1CB8BE"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500</w:t>
            </w:r>
          </w:p>
        </w:tc>
        <w:tc>
          <w:tcPr>
            <w:tcW w:w="963" w:type="dxa"/>
            <w:noWrap/>
            <w:vAlign w:val="center"/>
            <w:hideMark/>
          </w:tcPr>
          <w:p w14:paraId="27E833A2"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97 %</w:t>
            </w:r>
          </w:p>
        </w:tc>
        <w:tc>
          <w:tcPr>
            <w:tcW w:w="993" w:type="dxa"/>
            <w:noWrap/>
            <w:vAlign w:val="center"/>
            <w:hideMark/>
          </w:tcPr>
          <w:p w14:paraId="121182D4"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89 %</w:t>
            </w:r>
          </w:p>
        </w:tc>
        <w:tc>
          <w:tcPr>
            <w:tcW w:w="1275" w:type="dxa"/>
            <w:noWrap/>
            <w:vAlign w:val="center"/>
            <w:hideMark/>
          </w:tcPr>
          <w:p w14:paraId="44D4C29A" w14:textId="77777777" w:rsidR="00A046CC" w:rsidRPr="00667E7E" w:rsidRDefault="00A046CC" w:rsidP="000C6760">
            <w:pPr>
              <w:jc w:val="center"/>
              <w:rPr>
                <w:rFonts w:asciiTheme="minorHAnsi" w:eastAsia="Times New Roman" w:hAnsiTheme="minorHAnsi" w:cstheme="minorHAnsi"/>
                <w:b/>
                <w:i/>
                <w:color w:val="F26200"/>
                <w:sz w:val="18"/>
                <w:szCs w:val="18"/>
              </w:rPr>
            </w:pPr>
            <w:r>
              <w:rPr>
                <w:rFonts w:asciiTheme="minorHAnsi" w:eastAsia="Times New Roman" w:hAnsiTheme="minorHAnsi" w:cstheme="minorHAnsi"/>
                <w:b/>
                <w:i/>
                <w:color w:val="C00000"/>
                <w:sz w:val="18"/>
                <w:szCs w:val="18"/>
              </w:rPr>
              <w:t>79</w:t>
            </w:r>
            <w:r w:rsidRPr="00B61502">
              <w:rPr>
                <w:rFonts w:asciiTheme="minorHAnsi" w:eastAsia="Times New Roman" w:hAnsiTheme="minorHAnsi" w:cstheme="minorHAnsi"/>
                <w:b/>
                <w:i/>
                <w:color w:val="C00000"/>
                <w:sz w:val="18"/>
                <w:szCs w:val="18"/>
              </w:rPr>
              <w:t xml:space="preserve"> %</w:t>
            </w:r>
          </w:p>
        </w:tc>
        <w:tc>
          <w:tcPr>
            <w:tcW w:w="1276" w:type="dxa"/>
            <w:noWrap/>
            <w:vAlign w:val="center"/>
            <w:hideMark/>
          </w:tcPr>
          <w:p w14:paraId="313A61A4"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00B050"/>
                <w:sz w:val="18"/>
                <w:szCs w:val="18"/>
              </w:rPr>
              <w:t>0 %</w:t>
            </w:r>
          </w:p>
        </w:tc>
        <w:tc>
          <w:tcPr>
            <w:tcW w:w="1305" w:type="dxa"/>
            <w:noWrap/>
            <w:vAlign w:val="center"/>
            <w:hideMark/>
          </w:tcPr>
          <w:p w14:paraId="27C0A64C"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c>
          <w:tcPr>
            <w:tcW w:w="1275" w:type="dxa"/>
            <w:noWrap/>
            <w:vAlign w:val="center"/>
            <w:hideMark/>
          </w:tcPr>
          <w:p w14:paraId="24B883A8"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0C5D2259" w14:textId="77777777" w:rsidTr="000C6760">
        <w:trPr>
          <w:cantSplit/>
          <w:trHeight w:val="244"/>
        </w:trPr>
        <w:tc>
          <w:tcPr>
            <w:tcW w:w="567" w:type="dxa"/>
            <w:vMerge/>
          </w:tcPr>
          <w:p w14:paraId="66DFEC89"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378237C2"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10</w:t>
            </w:r>
          </w:p>
        </w:tc>
        <w:tc>
          <w:tcPr>
            <w:tcW w:w="738" w:type="dxa"/>
            <w:noWrap/>
            <w:vAlign w:val="center"/>
            <w:hideMark/>
          </w:tcPr>
          <w:p w14:paraId="19A1EE36"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2000</w:t>
            </w:r>
          </w:p>
        </w:tc>
        <w:tc>
          <w:tcPr>
            <w:tcW w:w="963" w:type="dxa"/>
            <w:noWrap/>
            <w:vAlign w:val="center"/>
            <w:hideMark/>
          </w:tcPr>
          <w:p w14:paraId="743C5432"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89 %</w:t>
            </w:r>
          </w:p>
        </w:tc>
        <w:tc>
          <w:tcPr>
            <w:tcW w:w="993" w:type="dxa"/>
            <w:noWrap/>
            <w:vAlign w:val="center"/>
            <w:hideMark/>
          </w:tcPr>
          <w:p w14:paraId="4977066A"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B61502">
              <w:rPr>
                <w:rFonts w:asciiTheme="minorHAnsi" w:eastAsia="Times New Roman" w:hAnsiTheme="minorHAnsi" w:cstheme="minorHAnsi"/>
                <w:b/>
                <w:i/>
                <w:color w:val="966F00"/>
                <w:sz w:val="18"/>
                <w:szCs w:val="18"/>
              </w:rPr>
              <w:t>67 %</w:t>
            </w:r>
          </w:p>
        </w:tc>
        <w:tc>
          <w:tcPr>
            <w:tcW w:w="1275" w:type="dxa"/>
            <w:noWrap/>
            <w:vAlign w:val="center"/>
            <w:hideMark/>
          </w:tcPr>
          <w:p w14:paraId="763DDAE9"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934199">
              <w:rPr>
                <w:rFonts w:asciiTheme="minorHAnsi" w:hAnsiTheme="minorHAnsi" w:cstheme="minorHAnsi"/>
                <w:b/>
                <w:i/>
                <w:color w:val="FFFF00"/>
                <w:sz w:val="18"/>
                <w:szCs w:val="18"/>
                <w14:textOutline w14:w="127" w14:cap="rnd" w14:cmpd="sng" w14:algn="ctr">
                  <w14:solidFill>
                    <w14:srgbClr w14:val="B4B000"/>
                  </w14:solidFill>
                  <w14:prstDash w14:val="solid"/>
                  <w14:bevel/>
                </w14:textOutline>
              </w:rPr>
              <w:t>50 %</w:t>
            </w:r>
          </w:p>
        </w:tc>
        <w:tc>
          <w:tcPr>
            <w:tcW w:w="1276" w:type="dxa"/>
            <w:noWrap/>
            <w:vAlign w:val="center"/>
            <w:hideMark/>
          </w:tcPr>
          <w:p w14:paraId="3E0404A5" w14:textId="77777777" w:rsidR="00A046CC" w:rsidRPr="00934199" w:rsidRDefault="00A046CC" w:rsidP="000C6760">
            <w:pPr>
              <w:jc w:val="center"/>
              <w:rPr>
                <w:rFonts w:asciiTheme="minorHAnsi" w:eastAsia="Times New Roman" w:hAnsiTheme="minorHAnsi" w:cstheme="minorHAnsi"/>
                <w:b/>
                <w:i/>
                <w:color w:val="00B050"/>
                <w:sz w:val="18"/>
                <w:szCs w:val="18"/>
              </w:rPr>
            </w:pPr>
            <w:r w:rsidRPr="00934199">
              <w:rPr>
                <w:rFonts w:asciiTheme="minorHAnsi" w:hAnsiTheme="minorHAnsi" w:cstheme="minorHAnsi"/>
                <w:b/>
                <w:i/>
                <w:color w:val="00B050"/>
                <w:sz w:val="18"/>
                <w:szCs w:val="18"/>
              </w:rPr>
              <w:t>0 %</w:t>
            </w:r>
          </w:p>
        </w:tc>
        <w:tc>
          <w:tcPr>
            <w:tcW w:w="1305" w:type="dxa"/>
            <w:noWrap/>
            <w:vAlign w:val="center"/>
            <w:hideMark/>
          </w:tcPr>
          <w:p w14:paraId="3B330C47"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c>
          <w:tcPr>
            <w:tcW w:w="1275" w:type="dxa"/>
            <w:noWrap/>
            <w:vAlign w:val="center"/>
            <w:hideMark/>
          </w:tcPr>
          <w:p w14:paraId="306ACD92"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01D4769D" w14:textId="77777777" w:rsidTr="000C6760">
        <w:trPr>
          <w:cnfStyle w:val="000000100000" w:firstRow="0" w:lastRow="0" w:firstColumn="0" w:lastColumn="0" w:oddVBand="0" w:evenVBand="0" w:oddHBand="1" w:evenHBand="0" w:firstRowFirstColumn="0" w:firstRowLastColumn="0" w:lastRowFirstColumn="0" w:lastRowLastColumn="0"/>
          <w:cantSplit/>
          <w:trHeight w:val="244"/>
        </w:trPr>
        <w:tc>
          <w:tcPr>
            <w:tcW w:w="567" w:type="dxa"/>
            <w:vMerge/>
          </w:tcPr>
          <w:p w14:paraId="6BFB6EAC"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27D19B1F"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w:t>
            </w:r>
          </w:p>
        </w:tc>
        <w:tc>
          <w:tcPr>
            <w:tcW w:w="738" w:type="dxa"/>
            <w:noWrap/>
            <w:vAlign w:val="center"/>
            <w:hideMark/>
          </w:tcPr>
          <w:p w14:paraId="2F38B7A0"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500</w:t>
            </w:r>
          </w:p>
        </w:tc>
        <w:tc>
          <w:tcPr>
            <w:tcW w:w="963" w:type="dxa"/>
            <w:noWrap/>
            <w:vAlign w:val="center"/>
            <w:hideMark/>
          </w:tcPr>
          <w:p w14:paraId="2DE933EB"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99 %</w:t>
            </w:r>
          </w:p>
        </w:tc>
        <w:tc>
          <w:tcPr>
            <w:tcW w:w="993" w:type="dxa"/>
            <w:noWrap/>
            <w:vAlign w:val="center"/>
            <w:hideMark/>
          </w:tcPr>
          <w:p w14:paraId="66797A16" w14:textId="77777777" w:rsidR="00A046CC" w:rsidRPr="00667E7E" w:rsidRDefault="00A046CC" w:rsidP="000C6760">
            <w:pPr>
              <w:jc w:val="center"/>
              <w:rPr>
                <w:rFonts w:asciiTheme="minorHAnsi" w:eastAsia="Times New Roman" w:hAnsiTheme="minorHAnsi" w:cstheme="minorHAnsi"/>
                <w:b/>
                <w:i/>
                <w:color w:val="000000"/>
                <w:sz w:val="18"/>
                <w:szCs w:val="18"/>
              </w:rPr>
            </w:pPr>
            <w:r w:rsidRPr="00934199">
              <w:rPr>
                <w:rFonts w:asciiTheme="minorHAnsi" w:hAnsiTheme="minorHAnsi" w:cstheme="minorHAnsi"/>
                <w:b/>
                <w:i/>
                <w:color w:val="966F00"/>
                <w:sz w:val="18"/>
                <w:szCs w:val="18"/>
              </w:rPr>
              <w:t>70 %</w:t>
            </w:r>
          </w:p>
        </w:tc>
        <w:tc>
          <w:tcPr>
            <w:tcW w:w="1275" w:type="dxa"/>
            <w:noWrap/>
            <w:vAlign w:val="center"/>
            <w:hideMark/>
          </w:tcPr>
          <w:p w14:paraId="5D4D9547" w14:textId="77777777" w:rsidR="00A046CC" w:rsidRPr="00B61502" w:rsidRDefault="00A046CC" w:rsidP="000C6760">
            <w:pPr>
              <w:jc w:val="center"/>
              <w:rPr>
                <w:rFonts w:asciiTheme="minorHAnsi" w:eastAsia="Times New Roman" w:hAnsiTheme="minorHAnsi" w:cstheme="minorHAnsi"/>
                <w:b/>
                <w:i/>
                <w:color w:val="966F00"/>
                <w:sz w:val="18"/>
                <w:szCs w:val="18"/>
              </w:rPr>
            </w:pPr>
            <w:r>
              <w:rPr>
                <w:rFonts w:asciiTheme="minorHAnsi" w:eastAsia="Times New Roman" w:hAnsiTheme="minorHAnsi" w:cstheme="minorHAnsi"/>
                <w:b/>
                <w:i/>
                <w:color w:val="966F00"/>
                <w:sz w:val="18"/>
                <w:szCs w:val="18"/>
              </w:rPr>
              <w:t>8</w:t>
            </w:r>
            <w:r w:rsidRPr="00B61502">
              <w:rPr>
                <w:rFonts w:asciiTheme="minorHAnsi" w:eastAsia="Times New Roman" w:hAnsiTheme="minorHAnsi" w:cstheme="minorHAnsi"/>
                <w:b/>
                <w:i/>
                <w:color w:val="966F00"/>
                <w:sz w:val="18"/>
                <w:szCs w:val="18"/>
              </w:rPr>
              <w:t>7 %</w:t>
            </w:r>
          </w:p>
        </w:tc>
        <w:tc>
          <w:tcPr>
            <w:tcW w:w="1276" w:type="dxa"/>
            <w:noWrap/>
            <w:vAlign w:val="center"/>
            <w:hideMark/>
          </w:tcPr>
          <w:p w14:paraId="0464A53B"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934199">
              <w:rPr>
                <w:rFonts w:asciiTheme="minorHAnsi" w:hAnsiTheme="minorHAnsi" w:cstheme="minorHAnsi"/>
                <w:b/>
                <w:i/>
                <w:color w:val="FFFF00"/>
                <w:sz w:val="18"/>
                <w:szCs w:val="18"/>
                <w14:textOutline w14:w="127" w14:cap="rnd" w14:cmpd="sng" w14:algn="ctr">
                  <w14:solidFill>
                    <w14:srgbClr w14:val="B4B000"/>
                  </w14:solidFill>
                  <w14:prstDash w14:val="solid"/>
                  <w14:bevel/>
                </w14:textOutline>
              </w:rPr>
              <w:t>29 %</w:t>
            </w:r>
          </w:p>
        </w:tc>
        <w:tc>
          <w:tcPr>
            <w:tcW w:w="1305" w:type="dxa"/>
            <w:noWrap/>
            <w:vAlign w:val="center"/>
            <w:hideMark/>
          </w:tcPr>
          <w:p w14:paraId="24237325" w14:textId="77777777" w:rsidR="00A046CC" w:rsidRPr="00423F76" w:rsidRDefault="00A046CC" w:rsidP="000C6760">
            <w:pPr>
              <w:jc w:val="center"/>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pPr>
            <w:r w:rsidRPr="00423F76">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t>38 %</w:t>
            </w:r>
          </w:p>
        </w:tc>
        <w:tc>
          <w:tcPr>
            <w:tcW w:w="1275" w:type="dxa"/>
            <w:noWrap/>
            <w:vAlign w:val="center"/>
            <w:hideMark/>
          </w:tcPr>
          <w:p w14:paraId="7F051A72"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15EAA7D8" w14:textId="77777777" w:rsidTr="000C6760">
        <w:trPr>
          <w:cantSplit/>
          <w:trHeight w:val="244"/>
        </w:trPr>
        <w:tc>
          <w:tcPr>
            <w:tcW w:w="567" w:type="dxa"/>
            <w:vMerge/>
          </w:tcPr>
          <w:p w14:paraId="4ED7076D"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2A44C8C1"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w:t>
            </w:r>
          </w:p>
        </w:tc>
        <w:tc>
          <w:tcPr>
            <w:tcW w:w="738" w:type="dxa"/>
            <w:noWrap/>
            <w:vAlign w:val="center"/>
            <w:hideMark/>
          </w:tcPr>
          <w:p w14:paraId="2BD64AAA"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2000</w:t>
            </w:r>
          </w:p>
        </w:tc>
        <w:tc>
          <w:tcPr>
            <w:tcW w:w="963" w:type="dxa"/>
            <w:noWrap/>
            <w:vAlign w:val="center"/>
            <w:hideMark/>
          </w:tcPr>
          <w:p w14:paraId="56FB1839"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97 %</w:t>
            </w:r>
          </w:p>
        </w:tc>
        <w:tc>
          <w:tcPr>
            <w:tcW w:w="993" w:type="dxa"/>
            <w:noWrap/>
            <w:vAlign w:val="center"/>
            <w:hideMark/>
          </w:tcPr>
          <w:p w14:paraId="79DD32F2" w14:textId="77777777" w:rsidR="00A046CC" w:rsidRPr="00B61502" w:rsidRDefault="00A046CC" w:rsidP="000C6760">
            <w:pPr>
              <w:jc w:val="center"/>
              <w:rPr>
                <w:rFonts w:asciiTheme="minorHAnsi" w:eastAsia="Times New Roman" w:hAnsiTheme="minorHAnsi" w:cstheme="minorHAnsi"/>
                <w:b/>
                <w:i/>
                <w:color w:val="966F00"/>
                <w:sz w:val="18"/>
                <w:szCs w:val="18"/>
              </w:rPr>
            </w:pPr>
            <w:r w:rsidRPr="00934199">
              <w:rPr>
                <w:rFonts w:asciiTheme="minorHAnsi" w:hAnsiTheme="minorHAnsi" w:cstheme="minorHAnsi"/>
                <w:b/>
                <w:i/>
                <w:color w:val="C00000"/>
                <w:sz w:val="18"/>
                <w:szCs w:val="18"/>
              </w:rPr>
              <w:t>91 %</w:t>
            </w:r>
          </w:p>
        </w:tc>
        <w:tc>
          <w:tcPr>
            <w:tcW w:w="1275" w:type="dxa"/>
            <w:noWrap/>
            <w:vAlign w:val="center"/>
            <w:hideMark/>
          </w:tcPr>
          <w:p w14:paraId="35F871DD" w14:textId="77777777" w:rsidR="00A046CC" w:rsidRPr="00423F76" w:rsidRDefault="00A046CC" w:rsidP="000C6760">
            <w:pPr>
              <w:jc w:val="center"/>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pPr>
            <w:r w:rsidRPr="00423F76">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t>27 %</w:t>
            </w:r>
          </w:p>
        </w:tc>
        <w:tc>
          <w:tcPr>
            <w:tcW w:w="1276" w:type="dxa"/>
            <w:noWrap/>
            <w:vAlign w:val="center"/>
            <w:hideMark/>
          </w:tcPr>
          <w:p w14:paraId="1735002F"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934199">
              <w:rPr>
                <w:rFonts w:asciiTheme="minorHAnsi" w:hAnsiTheme="minorHAnsi" w:cstheme="minorHAnsi"/>
                <w:b/>
                <w:i/>
                <w:color w:val="00B050"/>
                <w:sz w:val="18"/>
                <w:szCs w:val="18"/>
              </w:rPr>
              <w:t>0 %</w:t>
            </w:r>
          </w:p>
        </w:tc>
        <w:tc>
          <w:tcPr>
            <w:tcW w:w="1305" w:type="dxa"/>
            <w:noWrap/>
            <w:vAlign w:val="center"/>
            <w:hideMark/>
          </w:tcPr>
          <w:p w14:paraId="6754B6D5"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13 %</w:t>
            </w:r>
          </w:p>
        </w:tc>
        <w:tc>
          <w:tcPr>
            <w:tcW w:w="1275" w:type="dxa"/>
            <w:noWrap/>
            <w:vAlign w:val="center"/>
            <w:hideMark/>
          </w:tcPr>
          <w:p w14:paraId="37F6E637"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3E5C3819" w14:textId="77777777" w:rsidTr="000C6760">
        <w:trPr>
          <w:cnfStyle w:val="000000100000" w:firstRow="0" w:lastRow="0" w:firstColumn="0" w:lastColumn="0" w:oddVBand="0" w:evenVBand="0" w:oddHBand="1" w:evenHBand="0" w:firstRowFirstColumn="0" w:firstRowLastColumn="0" w:lastRowFirstColumn="0" w:lastRowLastColumn="0"/>
          <w:cantSplit/>
          <w:trHeight w:val="244"/>
        </w:trPr>
        <w:tc>
          <w:tcPr>
            <w:tcW w:w="567" w:type="dxa"/>
            <w:vMerge/>
          </w:tcPr>
          <w:p w14:paraId="6635D778"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3A97F3CE"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w:t>
            </w:r>
          </w:p>
        </w:tc>
        <w:tc>
          <w:tcPr>
            <w:tcW w:w="738" w:type="dxa"/>
            <w:noWrap/>
            <w:vAlign w:val="center"/>
            <w:hideMark/>
          </w:tcPr>
          <w:p w14:paraId="7270FE2C"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500</w:t>
            </w:r>
          </w:p>
        </w:tc>
        <w:tc>
          <w:tcPr>
            <w:tcW w:w="963" w:type="dxa"/>
            <w:noWrap/>
            <w:vAlign w:val="center"/>
            <w:hideMark/>
          </w:tcPr>
          <w:p w14:paraId="73D3E41A"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99 %</w:t>
            </w:r>
          </w:p>
        </w:tc>
        <w:tc>
          <w:tcPr>
            <w:tcW w:w="993" w:type="dxa"/>
            <w:noWrap/>
            <w:vAlign w:val="center"/>
            <w:hideMark/>
          </w:tcPr>
          <w:p w14:paraId="22E2BF0B" w14:textId="77777777" w:rsidR="00A046CC" w:rsidRPr="00667E7E" w:rsidRDefault="00A046CC" w:rsidP="000C6760">
            <w:pPr>
              <w:jc w:val="center"/>
              <w:rPr>
                <w:rFonts w:asciiTheme="minorHAnsi" w:eastAsia="Times New Roman" w:hAnsiTheme="minorHAnsi" w:cstheme="minorHAnsi"/>
                <w:b/>
                <w:i/>
                <w:color w:val="000000"/>
                <w:sz w:val="18"/>
                <w:szCs w:val="18"/>
              </w:rPr>
            </w:pPr>
            <w:r w:rsidRPr="00667E7E">
              <w:rPr>
                <w:rFonts w:asciiTheme="minorHAnsi" w:eastAsia="Times New Roman" w:hAnsiTheme="minorHAnsi" w:cstheme="minorHAnsi"/>
                <w:b/>
                <w:i/>
                <w:color w:val="C00000"/>
                <w:sz w:val="18"/>
                <w:szCs w:val="18"/>
              </w:rPr>
              <w:t>98 %</w:t>
            </w:r>
          </w:p>
        </w:tc>
        <w:tc>
          <w:tcPr>
            <w:tcW w:w="1275" w:type="dxa"/>
            <w:noWrap/>
            <w:vAlign w:val="center"/>
            <w:hideMark/>
          </w:tcPr>
          <w:p w14:paraId="6FC7DDBD" w14:textId="77777777" w:rsidR="00A046CC" w:rsidRPr="00B61502" w:rsidRDefault="00A046CC" w:rsidP="000C6760">
            <w:pPr>
              <w:jc w:val="center"/>
              <w:rPr>
                <w:rFonts w:asciiTheme="minorHAnsi" w:eastAsia="Times New Roman" w:hAnsiTheme="minorHAnsi" w:cstheme="minorHAnsi"/>
                <w:b/>
                <w:i/>
                <w:color w:val="BF8F00" w:themeColor="accent4" w:themeShade="BF"/>
                <w:sz w:val="18"/>
                <w:szCs w:val="18"/>
              </w:rPr>
            </w:pPr>
            <w:r w:rsidRPr="00B61502">
              <w:rPr>
                <w:rFonts w:asciiTheme="minorHAnsi" w:eastAsia="Times New Roman" w:hAnsiTheme="minorHAnsi" w:cstheme="minorHAnsi"/>
                <w:b/>
                <w:i/>
                <w:color w:val="BF8F00" w:themeColor="accent4" w:themeShade="BF"/>
                <w:sz w:val="18"/>
                <w:szCs w:val="18"/>
              </w:rPr>
              <w:t>53 %</w:t>
            </w:r>
          </w:p>
        </w:tc>
        <w:tc>
          <w:tcPr>
            <w:tcW w:w="1276" w:type="dxa"/>
            <w:noWrap/>
            <w:vAlign w:val="center"/>
            <w:hideMark/>
          </w:tcPr>
          <w:p w14:paraId="61928635"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934199">
              <w:rPr>
                <w:rFonts w:asciiTheme="minorHAnsi" w:hAnsiTheme="minorHAnsi" w:cstheme="minorHAnsi"/>
                <w:b/>
                <w:i/>
                <w:color w:val="00B050"/>
                <w:sz w:val="18"/>
                <w:szCs w:val="18"/>
              </w:rPr>
              <w:t>0 %</w:t>
            </w:r>
          </w:p>
        </w:tc>
        <w:tc>
          <w:tcPr>
            <w:tcW w:w="1305" w:type="dxa"/>
            <w:noWrap/>
            <w:vAlign w:val="center"/>
            <w:hideMark/>
          </w:tcPr>
          <w:p w14:paraId="4D33847B"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934199">
              <w:rPr>
                <w:rFonts w:asciiTheme="minorHAnsi" w:hAnsiTheme="minorHAnsi" w:cstheme="minorHAnsi"/>
                <w:b/>
                <w:i/>
                <w:color w:val="FFFF00"/>
                <w:sz w:val="18"/>
                <w:szCs w:val="18"/>
                <w14:textOutline w14:w="127" w14:cap="rnd" w14:cmpd="sng" w14:algn="ctr">
                  <w14:solidFill>
                    <w14:srgbClr w14:val="B4B000"/>
                  </w14:solidFill>
                  <w14:prstDash w14:val="solid"/>
                  <w14:bevel/>
                </w14:textOutline>
              </w:rPr>
              <w:t>44 %</w:t>
            </w:r>
          </w:p>
        </w:tc>
        <w:tc>
          <w:tcPr>
            <w:tcW w:w="1275" w:type="dxa"/>
            <w:noWrap/>
            <w:vAlign w:val="center"/>
            <w:hideMark/>
          </w:tcPr>
          <w:p w14:paraId="4C6E4BBC"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r w:rsidR="00A046CC" w:rsidRPr="00667E7E" w14:paraId="3E0D0D1F" w14:textId="77777777" w:rsidTr="000C6760">
        <w:trPr>
          <w:cantSplit/>
          <w:trHeight w:val="244"/>
        </w:trPr>
        <w:tc>
          <w:tcPr>
            <w:tcW w:w="567" w:type="dxa"/>
            <w:vMerge/>
          </w:tcPr>
          <w:p w14:paraId="72E0F7E3" w14:textId="77777777" w:rsidR="00A046CC" w:rsidRPr="00667E7E" w:rsidRDefault="00A046CC" w:rsidP="000C6760">
            <w:pPr>
              <w:jc w:val="right"/>
              <w:rPr>
                <w:rFonts w:ascii="Calibri" w:hAnsi="Calibri" w:cs="Calibri"/>
                <w:color w:val="000000"/>
                <w:sz w:val="16"/>
                <w:szCs w:val="22"/>
              </w:rPr>
            </w:pPr>
          </w:p>
        </w:tc>
        <w:tc>
          <w:tcPr>
            <w:tcW w:w="567" w:type="dxa"/>
            <w:noWrap/>
            <w:vAlign w:val="center"/>
            <w:hideMark/>
          </w:tcPr>
          <w:p w14:paraId="3B92B361"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w:t>
            </w:r>
          </w:p>
        </w:tc>
        <w:tc>
          <w:tcPr>
            <w:tcW w:w="738" w:type="dxa"/>
            <w:noWrap/>
            <w:vAlign w:val="center"/>
            <w:hideMark/>
          </w:tcPr>
          <w:p w14:paraId="05F86A15" w14:textId="77777777" w:rsidR="00A046CC" w:rsidRPr="00667E7E" w:rsidRDefault="00A046CC" w:rsidP="000C6760">
            <w:pPr>
              <w:jc w:val="center"/>
              <w:rPr>
                <w:rFonts w:asciiTheme="minorHAnsi" w:eastAsia="Times New Roman" w:hAnsiTheme="minorHAnsi" w:cstheme="minorHAnsi"/>
                <w:color w:val="000000"/>
                <w:sz w:val="18"/>
                <w:szCs w:val="18"/>
              </w:rPr>
            </w:pPr>
            <w:r w:rsidRPr="00667E7E">
              <w:rPr>
                <w:rFonts w:asciiTheme="minorHAnsi" w:eastAsia="Times New Roman" w:hAnsiTheme="minorHAnsi" w:cstheme="minorHAnsi"/>
                <w:color w:val="000000"/>
                <w:sz w:val="18"/>
                <w:szCs w:val="18"/>
              </w:rPr>
              <w:t>2000</w:t>
            </w:r>
          </w:p>
        </w:tc>
        <w:tc>
          <w:tcPr>
            <w:tcW w:w="963" w:type="dxa"/>
            <w:noWrap/>
            <w:vAlign w:val="center"/>
            <w:hideMark/>
          </w:tcPr>
          <w:p w14:paraId="260A52F0" w14:textId="77777777" w:rsidR="00A046CC" w:rsidRPr="00667E7E" w:rsidRDefault="00A046CC" w:rsidP="000C6760">
            <w:pPr>
              <w:jc w:val="center"/>
              <w:rPr>
                <w:rFonts w:asciiTheme="minorHAnsi" w:eastAsia="Times New Roman" w:hAnsiTheme="minorHAnsi" w:cstheme="minorHAnsi"/>
                <w:b/>
                <w:i/>
                <w:color w:val="C00000"/>
                <w:sz w:val="18"/>
                <w:szCs w:val="18"/>
              </w:rPr>
            </w:pPr>
            <w:r w:rsidRPr="00667E7E">
              <w:rPr>
                <w:rFonts w:asciiTheme="minorHAnsi" w:eastAsia="Times New Roman" w:hAnsiTheme="minorHAnsi" w:cstheme="minorHAnsi"/>
                <w:b/>
                <w:i/>
                <w:color w:val="C00000"/>
                <w:sz w:val="18"/>
                <w:szCs w:val="18"/>
              </w:rPr>
              <w:t>97 %</w:t>
            </w:r>
          </w:p>
        </w:tc>
        <w:tc>
          <w:tcPr>
            <w:tcW w:w="993" w:type="dxa"/>
            <w:noWrap/>
            <w:vAlign w:val="center"/>
            <w:hideMark/>
          </w:tcPr>
          <w:p w14:paraId="751C9A93" w14:textId="77777777" w:rsidR="00A046CC" w:rsidRPr="00B61502" w:rsidRDefault="00A046CC" w:rsidP="000C6760">
            <w:pPr>
              <w:jc w:val="center"/>
              <w:rPr>
                <w:rFonts w:asciiTheme="minorHAnsi" w:eastAsia="Times New Roman" w:hAnsiTheme="minorHAnsi" w:cstheme="minorHAnsi"/>
                <w:b/>
                <w:i/>
                <w:color w:val="C00000"/>
                <w:sz w:val="18"/>
                <w:szCs w:val="18"/>
              </w:rPr>
            </w:pPr>
            <w:r w:rsidRPr="00B61502">
              <w:rPr>
                <w:rFonts w:asciiTheme="minorHAnsi" w:eastAsia="Times New Roman" w:hAnsiTheme="minorHAnsi" w:cstheme="minorHAnsi"/>
                <w:b/>
                <w:i/>
                <w:color w:val="C00000"/>
                <w:sz w:val="18"/>
                <w:szCs w:val="18"/>
              </w:rPr>
              <w:t>77 %</w:t>
            </w:r>
          </w:p>
        </w:tc>
        <w:tc>
          <w:tcPr>
            <w:tcW w:w="1275" w:type="dxa"/>
            <w:noWrap/>
            <w:vAlign w:val="center"/>
            <w:hideMark/>
          </w:tcPr>
          <w:p w14:paraId="6562EDFD" w14:textId="77777777" w:rsidR="00A046CC" w:rsidRPr="00423F76" w:rsidRDefault="00A046CC" w:rsidP="000C6760">
            <w:pPr>
              <w:jc w:val="center"/>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pPr>
            <w:r w:rsidRPr="00423F76">
              <w:rPr>
                <w:rFonts w:asciiTheme="minorHAnsi" w:eastAsia="Times New Roman" w:hAnsiTheme="minorHAnsi" w:cstheme="minorHAnsi"/>
                <w:b/>
                <w:i/>
                <w:color w:val="FFFF00"/>
                <w:sz w:val="18"/>
                <w:szCs w:val="18"/>
                <w14:textOutline w14:w="127" w14:cap="rnd" w14:cmpd="sng" w14:algn="ctr">
                  <w14:solidFill>
                    <w14:srgbClr w14:val="B4B000"/>
                  </w14:solidFill>
                  <w14:prstDash w14:val="solid"/>
                  <w14:bevel/>
                </w14:textOutline>
              </w:rPr>
              <w:t>27 %</w:t>
            </w:r>
          </w:p>
        </w:tc>
        <w:tc>
          <w:tcPr>
            <w:tcW w:w="1276" w:type="dxa"/>
            <w:noWrap/>
            <w:vAlign w:val="center"/>
            <w:hideMark/>
          </w:tcPr>
          <w:p w14:paraId="1F50F507" w14:textId="77777777" w:rsidR="00A046CC" w:rsidRPr="00934199"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c>
          <w:tcPr>
            <w:tcW w:w="1305" w:type="dxa"/>
            <w:noWrap/>
            <w:vAlign w:val="center"/>
            <w:hideMark/>
          </w:tcPr>
          <w:p w14:paraId="7FD4D984"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c>
          <w:tcPr>
            <w:tcW w:w="1275" w:type="dxa"/>
            <w:noWrap/>
            <w:vAlign w:val="center"/>
            <w:hideMark/>
          </w:tcPr>
          <w:p w14:paraId="23A9A433" w14:textId="77777777" w:rsidR="00A046CC" w:rsidRPr="00667E7E" w:rsidRDefault="00A046CC" w:rsidP="000C6760">
            <w:pPr>
              <w:jc w:val="center"/>
              <w:rPr>
                <w:rFonts w:asciiTheme="minorHAnsi" w:eastAsia="Times New Roman" w:hAnsiTheme="minorHAnsi" w:cstheme="minorHAnsi"/>
                <w:b/>
                <w:i/>
                <w:color w:val="00B050"/>
                <w:sz w:val="18"/>
                <w:szCs w:val="18"/>
              </w:rPr>
            </w:pPr>
            <w:r w:rsidRPr="00667E7E">
              <w:rPr>
                <w:rFonts w:asciiTheme="minorHAnsi" w:eastAsia="Times New Roman" w:hAnsiTheme="minorHAnsi" w:cstheme="minorHAnsi"/>
                <w:b/>
                <w:i/>
                <w:color w:val="00B050"/>
                <w:sz w:val="18"/>
                <w:szCs w:val="18"/>
              </w:rPr>
              <w:t>0 %</w:t>
            </w:r>
          </w:p>
        </w:tc>
      </w:tr>
    </w:tbl>
    <w:p w14:paraId="15BD3AE0" w14:textId="77777777" w:rsidR="00A046CC" w:rsidRDefault="00A046CC" w:rsidP="00A046CC">
      <w:pPr>
        <w:pStyle w:val="ATSNormal"/>
        <w:spacing w:before="0" w:after="0"/>
      </w:pPr>
    </w:p>
    <w:p w14:paraId="17886A56" w14:textId="77777777" w:rsidR="00A046CC" w:rsidRDefault="00A046CC" w:rsidP="00A046CC">
      <w:pPr>
        <w:pStyle w:val="ATSNormal"/>
        <w:spacing w:before="0"/>
      </w:pPr>
      <w:r w:rsidRPr="00667E7E">
        <w:t xml:space="preserve">For better visualization the output of the models for all scenarios (5 vocalisations, 2 ocean depth, </w:t>
      </w:r>
      <w:r>
        <w:t>3</w:t>
      </w:r>
      <w:r w:rsidRPr="00667E7E">
        <w:t xml:space="preserve"> receiver depth,</w:t>
      </w:r>
      <w:r>
        <w:t xml:space="preserve"> </w:t>
      </w:r>
      <w:r w:rsidRPr="00667E7E">
        <w:t xml:space="preserve">2 vocalisation depth, 6 ambient noise level </w:t>
      </w:r>
      <w:r>
        <w:t xml:space="preserve">and </w:t>
      </w:r>
      <w:r w:rsidRPr="00667E7E">
        <w:t xml:space="preserve">2 receiver models) have been visualized with an interactive multimedia </w:t>
      </w:r>
      <w:r>
        <w:t>tool</w:t>
      </w:r>
      <w:r w:rsidRPr="00667E7E">
        <w:t xml:space="preserve"> which provides a summary overview, explanations and individual illustrations (</w:t>
      </w:r>
      <w:hyperlink r:id="rId12" w:history="1">
        <w:r w:rsidRPr="00667E7E">
          <w:rPr>
            <w:rStyle w:val="Hipervnculo"/>
          </w:rPr>
          <w:t>https://tschaffeld.shinyapps.io/UBA_mask</w:t>
        </w:r>
      </w:hyperlink>
      <w:r w:rsidRPr="00667E7E">
        <w:t>).</w:t>
      </w:r>
      <w:r>
        <w:t xml:space="preserve"> The tool provides overviews like in figure 1 below.</w:t>
      </w:r>
    </w:p>
    <w:p w14:paraId="6764193E" w14:textId="77777777" w:rsidR="00A046CC" w:rsidRDefault="00A046CC" w:rsidP="00A046CC">
      <w:pPr>
        <w:pStyle w:val="ATSNormal"/>
        <w:keepNext/>
      </w:pPr>
      <w:r w:rsidRPr="00D96CD9">
        <w:rPr>
          <w:noProof/>
          <w:szCs w:val="22"/>
        </w:rPr>
        <w:drawing>
          <wp:inline distT="0" distB="0" distL="0" distR="0" wp14:anchorId="54B09105" wp14:editId="14B85A37">
            <wp:extent cx="5540213" cy="2962275"/>
            <wp:effectExtent l="0" t="0" r="3810" b="0"/>
            <wp:docPr id="5" name="Picture 5" descr="Overview illustrations showing masking of Antarctic blue whale z-calls by airgun noise. Graphs show the percentage loss in communication distance relative to equivalent scenarios with no airgun present and apply to medium ambient noise levels of 102 dB. The effect ranges of airguns in the shallow ocean scenarios are generally lower than in the deep ocean scenario." title="Overview illustrations showing masking of Antarctic blue whale z-calls by airgun noi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t="7002"/>
                    <a:stretch/>
                  </pic:blipFill>
                  <pic:spPr bwMode="auto">
                    <a:xfrm>
                      <a:off x="0" y="0"/>
                      <a:ext cx="5561459" cy="2973635"/>
                    </a:xfrm>
                    <a:prstGeom prst="rect">
                      <a:avLst/>
                    </a:prstGeom>
                    <a:ln>
                      <a:noFill/>
                    </a:ln>
                    <a:extLst>
                      <a:ext uri="{53640926-AAD7-44D8-BBD7-CCE9431645EC}">
                        <a14:shadowObscured xmlns:a14="http://schemas.microsoft.com/office/drawing/2010/main"/>
                      </a:ext>
                    </a:extLst>
                  </pic:spPr>
                </pic:pic>
              </a:graphicData>
            </a:graphic>
          </wp:inline>
        </w:drawing>
      </w:r>
    </w:p>
    <w:p w14:paraId="06293B9D" w14:textId="77777777" w:rsidR="00A046CC" w:rsidRPr="00026DC4" w:rsidRDefault="00A046CC" w:rsidP="00A046CC">
      <w:pPr>
        <w:pStyle w:val="Descripcin"/>
        <w:keepNext w:val="0"/>
        <w:keepLines w:val="0"/>
        <w:pBdr>
          <w:bottom w:val="none" w:sz="0" w:space="0" w:color="auto"/>
        </w:pBdr>
        <w:tabs>
          <w:tab w:val="clear" w:pos="1701"/>
        </w:tabs>
        <w:spacing w:before="0" w:after="200"/>
        <w:ind w:left="0" w:firstLine="0"/>
        <w:jc w:val="left"/>
        <w:rPr>
          <w:rFonts w:ascii="Times New Roman" w:eastAsia="Times New Roman" w:hAnsi="Times New Roman"/>
          <w:bCs w:val="0"/>
          <w:i/>
          <w:iCs/>
          <w:color w:val="44546A" w:themeColor="text2"/>
          <w:sz w:val="18"/>
          <w:szCs w:val="18"/>
          <w:lang w:val="en-GB" w:eastAsia="en-US"/>
        </w:rPr>
      </w:pPr>
      <w:r w:rsidRPr="00026DC4">
        <w:rPr>
          <w:rFonts w:ascii="Times New Roman" w:eastAsia="Times New Roman" w:hAnsi="Times New Roman"/>
          <w:bCs w:val="0"/>
          <w:i/>
          <w:iCs/>
          <w:color w:val="44546A" w:themeColor="text2"/>
          <w:sz w:val="18"/>
          <w:szCs w:val="18"/>
          <w:lang w:val="en-GB" w:eastAsia="en-US"/>
        </w:rPr>
        <w:t xml:space="preserve">Figure </w:t>
      </w:r>
      <w:r w:rsidRPr="00026DC4">
        <w:rPr>
          <w:rFonts w:ascii="Times New Roman" w:eastAsia="Times New Roman" w:hAnsi="Times New Roman"/>
          <w:bCs w:val="0"/>
          <w:i/>
          <w:iCs/>
          <w:color w:val="44546A" w:themeColor="text2"/>
          <w:sz w:val="18"/>
          <w:szCs w:val="18"/>
          <w:lang w:val="en-GB" w:eastAsia="en-US"/>
        </w:rPr>
        <w:fldChar w:fldCharType="begin"/>
      </w:r>
      <w:r w:rsidRPr="00026DC4">
        <w:rPr>
          <w:rFonts w:ascii="Times New Roman" w:eastAsia="Times New Roman" w:hAnsi="Times New Roman"/>
          <w:bCs w:val="0"/>
          <w:i/>
          <w:iCs/>
          <w:color w:val="44546A" w:themeColor="text2"/>
          <w:sz w:val="18"/>
          <w:szCs w:val="18"/>
          <w:lang w:val="en-GB" w:eastAsia="en-US"/>
        </w:rPr>
        <w:instrText xml:space="preserve"> SEQ Figure \* ARABIC </w:instrText>
      </w:r>
      <w:r w:rsidRPr="00026DC4">
        <w:rPr>
          <w:rFonts w:ascii="Times New Roman" w:eastAsia="Times New Roman" w:hAnsi="Times New Roman"/>
          <w:bCs w:val="0"/>
          <w:i/>
          <w:iCs/>
          <w:color w:val="44546A" w:themeColor="text2"/>
          <w:sz w:val="18"/>
          <w:szCs w:val="18"/>
          <w:lang w:val="en-GB" w:eastAsia="en-US"/>
        </w:rPr>
        <w:fldChar w:fldCharType="separate"/>
      </w:r>
      <w:r w:rsidRPr="00026DC4">
        <w:rPr>
          <w:rFonts w:ascii="Times New Roman" w:eastAsia="Times New Roman" w:hAnsi="Times New Roman"/>
          <w:bCs w:val="0"/>
          <w:i/>
          <w:iCs/>
          <w:color w:val="44546A" w:themeColor="text2"/>
          <w:sz w:val="18"/>
          <w:szCs w:val="18"/>
          <w:lang w:val="en-GB" w:eastAsia="en-US"/>
        </w:rPr>
        <w:t>1</w:t>
      </w:r>
      <w:r w:rsidRPr="00026DC4">
        <w:rPr>
          <w:rFonts w:ascii="Times New Roman" w:eastAsia="Times New Roman" w:hAnsi="Times New Roman"/>
          <w:bCs w:val="0"/>
          <w:i/>
          <w:iCs/>
          <w:color w:val="44546A" w:themeColor="text2"/>
          <w:sz w:val="18"/>
          <w:szCs w:val="18"/>
          <w:lang w:val="en-GB" w:eastAsia="en-US"/>
        </w:rPr>
        <w:fldChar w:fldCharType="end"/>
      </w:r>
      <w:r>
        <w:rPr>
          <w:rFonts w:ascii="Times New Roman" w:eastAsia="Times New Roman" w:hAnsi="Times New Roman"/>
          <w:bCs w:val="0"/>
          <w:i/>
          <w:iCs/>
          <w:color w:val="44546A" w:themeColor="text2"/>
          <w:sz w:val="18"/>
          <w:szCs w:val="18"/>
          <w:lang w:val="en-GB" w:eastAsia="en-US"/>
        </w:rPr>
        <w:t>:</w:t>
      </w:r>
      <w:r w:rsidRPr="00026DC4">
        <w:rPr>
          <w:rFonts w:ascii="Times New Roman" w:eastAsia="Times New Roman" w:hAnsi="Times New Roman"/>
          <w:bCs w:val="0"/>
          <w:i/>
          <w:iCs/>
          <w:color w:val="44546A" w:themeColor="text2"/>
          <w:sz w:val="18"/>
          <w:szCs w:val="18"/>
          <w:lang w:val="en-GB" w:eastAsia="en-US"/>
        </w:rPr>
        <w:t xml:space="preserve"> Overview illustrations showing masking of Antarctic blue whale z-calls by airgun noise. Graphs show the percentage loss in communication distance relative to equivalent scenarios with no airgun present and apply to medium ambient noise levels of 102 dB</w:t>
      </w:r>
      <w:r>
        <w:rPr>
          <w:rFonts w:ascii="Times New Roman" w:eastAsia="Times New Roman" w:hAnsi="Times New Roman"/>
          <w:bCs w:val="0"/>
          <w:i/>
          <w:iCs/>
          <w:color w:val="44546A" w:themeColor="text2"/>
          <w:sz w:val="18"/>
          <w:szCs w:val="18"/>
          <w:lang w:val="en-GB" w:eastAsia="en-US"/>
        </w:rPr>
        <w:t xml:space="preserve"> (calling and listening animal at 50 m depth)</w:t>
      </w:r>
      <w:r w:rsidRPr="00026DC4">
        <w:rPr>
          <w:rFonts w:ascii="Times New Roman" w:eastAsia="Times New Roman" w:hAnsi="Times New Roman"/>
          <w:bCs w:val="0"/>
          <w:i/>
          <w:iCs/>
          <w:color w:val="44546A" w:themeColor="text2"/>
          <w:sz w:val="18"/>
          <w:szCs w:val="18"/>
          <w:lang w:val="en-GB" w:eastAsia="en-US"/>
        </w:rPr>
        <w:t>. The effect ranges of airguns in the shallow ocean scenarios are generally lower than in the deep ocean scenario.</w:t>
      </w:r>
    </w:p>
    <w:p w14:paraId="76E0B293" w14:textId="77777777" w:rsidR="00A046CC" w:rsidRPr="00606677" w:rsidRDefault="00A046CC" w:rsidP="00A046CC">
      <w:pPr>
        <w:pStyle w:val="ATSNormal"/>
      </w:pPr>
      <w:r>
        <w:lastRenderedPageBreak/>
        <w:t>Marine mammals have evolved to use sound as their primary sensory modality. While there have been several other studies modelling the propagation of airgun signals over large distances (</w:t>
      </w:r>
      <w:proofErr w:type="gramStart"/>
      <w:r>
        <w:t>e.g.</w:t>
      </w:r>
      <w:proofErr w:type="gramEnd"/>
      <w:r>
        <w:t xml:space="preserve"> </w:t>
      </w:r>
      <w:proofErr w:type="spellStart"/>
      <w:r>
        <w:t>Kyhn</w:t>
      </w:r>
      <w:proofErr w:type="spellEnd"/>
      <w:r>
        <w:t xml:space="preserve"> et al. 2019) similar to this study, the masking model is unique and allows for a more detailed evaluation of masking impact. Any interference of acoustic communication can have severe effects on both sender and receiver leading to impacts on fitness, for example if masking impedes signal detection (</w:t>
      </w:r>
      <w:proofErr w:type="gramStart"/>
      <w:r>
        <w:t>e.g.</w:t>
      </w:r>
      <w:proofErr w:type="gramEnd"/>
      <w:r>
        <w:t xml:space="preserve"> </w:t>
      </w:r>
      <w:proofErr w:type="spellStart"/>
      <w:r>
        <w:t>Branstetter</w:t>
      </w:r>
      <w:proofErr w:type="spellEnd"/>
      <w:r>
        <w:t xml:space="preserve"> et al. 2016). Behavioural responses can be highly variable and may not be fully predictable with simple acoustic exposure metrics </w:t>
      </w:r>
      <w:proofErr w:type="gramStart"/>
      <w:r>
        <w:t>e.g.</w:t>
      </w:r>
      <w:proofErr w:type="gramEnd"/>
      <w:r>
        <w:t xml:space="preserve"> like the received sound exposure level. While disturbance responses have been studied in the field, this is much more challenging with masking. Disturbance responses are often associated with sudden changes in behaviour which can be observed in the field. </w:t>
      </w:r>
      <w:proofErr w:type="gramStart"/>
      <w:r>
        <w:t>Masking</w:t>
      </w:r>
      <w:proofErr w:type="gramEnd"/>
      <w:r>
        <w:t xml:space="preserve"> however, may result in an observable anti-masking strategy (cf. Blackwell et al. 2015, </w:t>
      </w:r>
      <w:proofErr w:type="spellStart"/>
      <w:r>
        <w:t>Thode</w:t>
      </w:r>
      <w:proofErr w:type="spellEnd"/>
      <w:r>
        <w:t xml:space="preserve"> et al. 2020) as well as </w:t>
      </w:r>
      <w:r w:rsidRPr="00862B6E">
        <w:t xml:space="preserve">in a nonresponse due to </w:t>
      </w:r>
      <w:r>
        <w:t xml:space="preserve">a </w:t>
      </w:r>
      <w:r w:rsidRPr="00862B6E">
        <w:t>mask</w:t>
      </w:r>
      <w:r>
        <w:t>ed signal. Studying masking based on behavioural observations requires knowledge on how the animal behaves in the presence and absence of biological cues.</w:t>
      </w:r>
      <w:r w:rsidRPr="00862B6E">
        <w:t xml:space="preserve"> </w:t>
      </w:r>
      <w:r>
        <w:t xml:space="preserve">To validate the modelling results, further experimental studies on masking effects are </w:t>
      </w:r>
      <w:r w:rsidRPr="000C273D">
        <w:t>needed.</w:t>
      </w:r>
      <w:r w:rsidRPr="00934199">
        <w:t xml:space="preserve"> Nevertheless, the current results are already a valuable resource for the evaluation of acoustic masking effects </w:t>
      </w:r>
      <w:r w:rsidRPr="000C273D">
        <w:t xml:space="preserve">as they </w:t>
      </w:r>
      <w:r w:rsidRPr="00934199">
        <w:t>provide us with a better understanding of the relationship between various</w:t>
      </w:r>
      <w:r w:rsidRPr="000C273D">
        <w:t xml:space="preserve"> parameters and their </w:t>
      </w:r>
      <w:r w:rsidRPr="00934199">
        <w:t>influence on communication ranges of marine mammals in Antarctica</w:t>
      </w:r>
      <w:r w:rsidRPr="000C273D">
        <w:t>.</w:t>
      </w:r>
    </w:p>
    <w:p w14:paraId="252FA89D" w14:textId="77777777" w:rsidR="00A046CC" w:rsidRPr="00667E7E" w:rsidRDefault="00A046CC" w:rsidP="00A046CC">
      <w:pPr>
        <w:pStyle w:val="ATSHeading2"/>
        <w:numPr>
          <w:ilvl w:val="0"/>
          <w:numId w:val="21"/>
        </w:numPr>
        <w:outlineLvl w:val="0"/>
      </w:pPr>
      <w:r w:rsidRPr="00667E7E">
        <w:t>References</w:t>
      </w:r>
    </w:p>
    <w:p w14:paraId="30646893" w14:textId="77777777" w:rsidR="00A046CC" w:rsidRPr="00667E7E" w:rsidRDefault="00A046CC" w:rsidP="00A046CC">
      <w:pPr>
        <w:spacing w:before="120"/>
        <w:rPr>
          <w:i/>
        </w:rPr>
      </w:pPr>
      <w:r w:rsidRPr="00667E7E">
        <w:rPr>
          <w:i/>
        </w:rPr>
        <w:t>ATCM XXIX WP41, SCAR Report on Marine Acoustics and the Southern Ocean</w:t>
      </w:r>
      <w:r>
        <w:rPr>
          <w:i/>
        </w:rPr>
        <w:t>.</w:t>
      </w:r>
    </w:p>
    <w:p w14:paraId="170CAB91" w14:textId="77777777" w:rsidR="00A046CC" w:rsidRPr="00667E7E" w:rsidRDefault="00A046CC" w:rsidP="00A046CC">
      <w:pPr>
        <w:spacing w:before="120"/>
        <w:rPr>
          <w:i/>
        </w:rPr>
      </w:pPr>
      <w:r w:rsidRPr="00667E7E">
        <w:rPr>
          <w:i/>
        </w:rPr>
        <w:t xml:space="preserve">ATCM XXX IP80, </w:t>
      </w:r>
      <w:proofErr w:type="gramStart"/>
      <w:r w:rsidRPr="00667E7E">
        <w:rPr>
          <w:i/>
        </w:rPr>
        <w:t>Taking Action</w:t>
      </w:r>
      <w:proofErr w:type="gramEnd"/>
      <w:r w:rsidRPr="00667E7E">
        <w:rPr>
          <w:i/>
        </w:rPr>
        <w:t xml:space="preserve"> on Marine Noise in the Southern Ocean</w:t>
      </w:r>
      <w:r>
        <w:rPr>
          <w:i/>
        </w:rPr>
        <w:t>.</w:t>
      </w:r>
    </w:p>
    <w:p w14:paraId="5C1E9D2F" w14:textId="77777777" w:rsidR="00A046CC" w:rsidRPr="00667E7E" w:rsidRDefault="00A046CC" w:rsidP="00A046CC">
      <w:pPr>
        <w:spacing w:before="120"/>
        <w:rPr>
          <w:i/>
        </w:rPr>
      </w:pPr>
      <w:r w:rsidRPr="00667E7E">
        <w:rPr>
          <w:i/>
        </w:rPr>
        <w:t xml:space="preserve">ATCM XLII WP 68, Anthropogenic Noise in the Southern Ocean: </w:t>
      </w:r>
      <w:proofErr w:type="gramStart"/>
      <w:r w:rsidRPr="00667E7E">
        <w:rPr>
          <w:i/>
        </w:rPr>
        <w:t>an</w:t>
      </w:r>
      <w:proofErr w:type="gramEnd"/>
      <w:r w:rsidRPr="00667E7E">
        <w:rPr>
          <w:i/>
        </w:rPr>
        <w:t xml:space="preserve"> Update</w:t>
      </w:r>
      <w:r>
        <w:rPr>
          <w:i/>
        </w:rPr>
        <w:t>.</w:t>
      </w:r>
    </w:p>
    <w:p w14:paraId="1D81072B" w14:textId="77777777" w:rsidR="00A046CC" w:rsidRDefault="00A046CC" w:rsidP="00A046CC">
      <w:pPr>
        <w:spacing w:before="120"/>
        <w:rPr>
          <w:i/>
        </w:rPr>
      </w:pPr>
      <w:r w:rsidRPr="00667E7E">
        <w:rPr>
          <w:i/>
        </w:rPr>
        <w:t xml:space="preserve">ATCM XLII BP 03, Anthropogenic Noise in the Southern Ocean: </w:t>
      </w:r>
      <w:proofErr w:type="gramStart"/>
      <w:r w:rsidRPr="00667E7E">
        <w:rPr>
          <w:i/>
        </w:rPr>
        <w:t>an</w:t>
      </w:r>
      <w:proofErr w:type="gramEnd"/>
      <w:r w:rsidRPr="00667E7E">
        <w:rPr>
          <w:i/>
        </w:rPr>
        <w:t xml:space="preserve"> Update</w:t>
      </w:r>
      <w:r>
        <w:rPr>
          <w:i/>
        </w:rPr>
        <w:t>.</w:t>
      </w:r>
    </w:p>
    <w:p w14:paraId="79FCB018" w14:textId="77777777" w:rsidR="00A046CC" w:rsidRDefault="00A046CC" w:rsidP="00A046CC">
      <w:pPr>
        <w:spacing w:before="120"/>
        <w:rPr>
          <w:i/>
        </w:rPr>
      </w:pPr>
      <w:r w:rsidRPr="00B8243E">
        <w:rPr>
          <w:i/>
        </w:rPr>
        <w:t>B</w:t>
      </w:r>
      <w:r>
        <w:rPr>
          <w:i/>
        </w:rPr>
        <w:t>lackwell</w:t>
      </w:r>
      <w:r w:rsidRPr="00B8243E">
        <w:rPr>
          <w:i/>
        </w:rPr>
        <w:t>, S.B., N</w:t>
      </w:r>
      <w:r>
        <w:rPr>
          <w:i/>
        </w:rPr>
        <w:t>ations</w:t>
      </w:r>
      <w:r w:rsidRPr="00B8243E">
        <w:rPr>
          <w:i/>
        </w:rPr>
        <w:t>, C.S., M</w:t>
      </w:r>
      <w:r>
        <w:rPr>
          <w:i/>
        </w:rPr>
        <w:t>cDonald</w:t>
      </w:r>
      <w:r w:rsidRPr="00B8243E">
        <w:rPr>
          <w:i/>
        </w:rPr>
        <w:t xml:space="preserve">, T.L., </w:t>
      </w:r>
      <w:proofErr w:type="spellStart"/>
      <w:r w:rsidRPr="00B8243E">
        <w:rPr>
          <w:i/>
        </w:rPr>
        <w:t>T</w:t>
      </w:r>
      <w:r>
        <w:rPr>
          <w:i/>
        </w:rPr>
        <w:t>hode</w:t>
      </w:r>
      <w:proofErr w:type="spellEnd"/>
      <w:r w:rsidRPr="00B8243E">
        <w:rPr>
          <w:i/>
        </w:rPr>
        <w:t>, A.M., M</w:t>
      </w:r>
      <w:r>
        <w:rPr>
          <w:i/>
        </w:rPr>
        <w:t>athias</w:t>
      </w:r>
      <w:r w:rsidRPr="00B8243E">
        <w:rPr>
          <w:i/>
        </w:rPr>
        <w:t>, D., K</w:t>
      </w:r>
      <w:r>
        <w:rPr>
          <w:i/>
        </w:rPr>
        <w:t>im</w:t>
      </w:r>
      <w:r w:rsidRPr="00B8243E">
        <w:rPr>
          <w:i/>
        </w:rPr>
        <w:t xml:space="preserve">, K.H., . . . </w:t>
      </w:r>
      <w:proofErr w:type="spellStart"/>
      <w:r w:rsidRPr="00B8243E">
        <w:rPr>
          <w:i/>
        </w:rPr>
        <w:t>M</w:t>
      </w:r>
      <w:r>
        <w:rPr>
          <w:i/>
        </w:rPr>
        <w:t>acrander</w:t>
      </w:r>
      <w:proofErr w:type="spellEnd"/>
      <w:r w:rsidRPr="00B8243E">
        <w:rPr>
          <w:i/>
        </w:rPr>
        <w:t xml:space="preserve">, A.M. (2015). "Effects of airgun sounds on bowhead whale calling rates: evidence for two </w:t>
      </w:r>
      <w:proofErr w:type="spellStart"/>
      <w:r w:rsidRPr="00B8243E">
        <w:rPr>
          <w:i/>
        </w:rPr>
        <w:t>behavioral</w:t>
      </w:r>
      <w:proofErr w:type="spellEnd"/>
      <w:r w:rsidRPr="00B8243E">
        <w:rPr>
          <w:i/>
        </w:rPr>
        <w:t xml:space="preserve"> thresholds." </w:t>
      </w:r>
      <w:proofErr w:type="spellStart"/>
      <w:r w:rsidRPr="00B8243E">
        <w:rPr>
          <w:i/>
        </w:rPr>
        <w:t>PLoS</w:t>
      </w:r>
      <w:proofErr w:type="spellEnd"/>
      <w:r w:rsidRPr="00B8243E">
        <w:rPr>
          <w:i/>
        </w:rPr>
        <w:t xml:space="preserve"> One 10(6): e0125720.</w:t>
      </w:r>
    </w:p>
    <w:p w14:paraId="6DFC80C0" w14:textId="77777777" w:rsidR="00A046CC" w:rsidRPr="00667E7E" w:rsidRDefault="00A046CC" w:rsidP="00A046CC">
      <w:pPr>
        <w:spacing w:before="120"/>
        <w:rPr>
          <w:i/>
        </w:rPr>
      </w:pPr>
      <w:proofErr w:type="spellStart"/>
      <w:r w:rsidRPr="004D0FA6">
        <w:rPr>
          <w:i/>
        </w:rPr>
        <w:t>Branstetter</w:t>
      </w:r>
      <w:proofErr w:type="spellEnd"/>
      <w:r w:rsidRPr="004D0FA6">
        <w:rPr>
          <w:i/>
        </w:rPr>
        <w:t>, B. K., Bakhtiari, K</w:t>
      </w:r>
      <w:r>
        <w:rPr>
          <w:i/>
        </w:rPr>
        <w:t xml:space="preserve">., </w:t>
      </w:r>
      <w:r w:rsidRPr="004D0FA6">
        <w:rPr>
          <w:i/>
        </w:rPr>
        <w:t>Black,</w:t>
      </w:r>
      <w:r>
        <w:rPr>
          <w:i/>
        </w:rPr>
        <w:t xml:space="preserve"> </w:t>
      </w:r>
      <w:r w:rsidRPr="004D0FA6">
        <w:rPr>
          <w:i/>
        </w:rPr>
        <w:t>A.</w:t>
      </w:r>
      <w:r>
        <w:rPr>
          <w:i/>
        </w:rPr>
        <w:t>,</w:t>
      </w:r>
      <w:r w:rsidRPr="004D0FA6">
        <w:rPr>
          <w:i/>
        </w:rPr>
        <w:t xml:space="preserve"> </w:t>
      </w:r>
      <w:proofErr w:type="spellStart"/>
      <w:r w:rsidRPr="004D0FA6">
        <w:rPr>
          <w:i/>
        </w:rPr>
        <w:t>Trickey</w:t>
      </w:r>
      <w:proofErr w:type="spellEnd"/>
      <w:r w:rsidRPr="004D0FA6">
        <w:rPr>
          <w:i/>
        </w:rPr>
        <w:t>, J. S.</w:t>
      </w:r>
      <w:r>
        <w:rPr>
          <w:i/>
        </w:rPr>
        <w:t xml:space="preserve">, </w:t>
      </w:r>
      <w:r w:rsidRPr="004D0FA6">
        <w:rPr>
          <w:i/>
        </w:rPr>
        <w:t>Finneran,</w:t>
      </w:r>
      <w:r>
        <w:rPr>
          <w:i/>
        </w:rPr>
        <w:t xml:space="preserve"> </w:t>
      </w:r>
      <w:r w:rsidRPr="004D0FA6">
        <w:rPr>
          <w:i/>
        </w:rPr>
        <w:t xml:space="preserve">J. J. and </w:t>
      </w:r>
      <w:proofErr w:type="spellStart"/>
      <w:r w:rsidRPr="004D0FA6">
        <w:rPr>
          <w:i/>
        </w:rPr>
        <w:t>Aihara</w:t>
      </w:r>
      <w:proofErr w:type="spellEnd"/>
      <w:r>
        <w:rPr>
          <w:i/>
        </w:rPr>
        <w:t xml:space="preserve">, </w:t>
      </w:r>
      <w:r w:rsidRPr="004D0FA6">
        <w:rPr>
          <w:i/>
        </w:rPr>
        <w:t xml:space="preserve">H. </w:t>
      </w:r>
      <w:r>
        <w:rPr>
          <w:i/>
        </w:rPr>
        <w:t>(</w:t>
      </w:r>
      <w:r w:rsidRPr="004D0FA6">
        <w:rPr>
          <w:i/>
        </w:rPr>
        <w:t>2016</w:t>
      </w:r>
      <w:r>
        <w:rPr>
          <w:i/>
        </w:rPr>
        <w:t>)</w:t>
      </w:r>
      <w:r w:rsidRPr="004D0FA6">
        <w:rPr>
          <w:i/>
        </w:rPr>
        <w:t xml:space="preserve">. Energetic and informational masking of complex sounds by a bottlenose dolphin (Tursiops </w:t>
      </w:r>
      <w:proofErr w:type="spellStart"/>
      <w:r w:rsidRPr="004D0FA6">
        <w:rPr>
          <w:i/>
        </w:rPr>
        <w:t>truncatus</w:t>
      </w:r>
      <w:proofErr w:type="spellEnd"/>
      <w:r w:rsidRPr="004D0FA6">
        <w:rPr>
          <w:i/>
        </w:rPr>
        <w:t>). Journal of the Acoustical Society of America 140:1904-1917</w:t>
      </w:r>
      <w:r>
        <w:rPr>
          <w:i/>
        </w:rPr>
        <w:t>.</w:t>
      </w:r>
    </w:p>
    <w:p w14:paraId="0AE445A8" w14:textId="77777777" w:rsidR="00A046CC" w:rsidRPr="00667E7E" w:rsidRDefault="00A046CC" w:rsidP="00A046CC">
      <w:pPr>
        <w:spacing w:before="120"/>
        <w:rPr>
          <w:i/>
        </w:rPr>
      </w:pPr>
      <w:proofErr w:type="spellStart"/>
      <w:r w:rsidRPr="00667E7E">
        <w:rPr>
          <w:i/>
        </w:rPr>
        <w:t>Erbe</w:t>
      </w:r>
      <w:proofErr w:type="spellEnd"/>
      <w:r w:rsidRPr="00667E7E">
        <w:rPr>
          <w:i/>
        </w:rPr>
        <w:t xml:space="preserve"> C</w:t>
      </w:r>
      <w:r>
        <w:rPr>
          <w:i/>
        </w:rPr>
        <w:t>.</w:t>
      </w:r>
      <w:r w:rsidRPr="00667E7E">
        <w:rPr>
          <w:i/>
        </w:rPr>
        <w:t xml:space="preserve">, </w:t>
      </w:r>
      <w:proofErr w:type="spellStart"/>
      <w:r w:rsidRPr="00667E7E">
        <w:rPr>
          <w:i/>
        </w:rPr>
        <w:t>Dähne</w:t>
      </w:r>
      <w:proofErr w:type="spellEnd"/>
      <w:r w:rsidRPr="00667E7E">
        <w:rPr>
          <w:i/>
        </w:rPr>
        <w:t xml:space="preserve"> M</w:t>
      </w:r>
      <w:r>
        <w:rPr>
          <w:i/>
        </w:rPr>
        <w:t>.</w:t>
      </w:r>
      <w:r w:rsidRPr="00667E7E">
        <w:rPr>
          <w:i/>
        </w:rPr>
        <w:t>, Gordon J</w:t>
      </w:r>
      <w:r>
        <w:rPr>
          <w:i/>
        </w:rPr>
        <w:t>.</w:t>
      </w:r>
      <w:r w:rsidRPr="00667E7E">
        <w:rPr>
          <w:i/>
        </w:rPr>
        <w:t xml:space="preserve">, </w:t>
      </w:r>
      <w:proofErr w:type="spellStart"/>
      <w:r w:rsidRPr="00667E7E">
        <w:rPr>
          <w:i/>
        </w:rPr>
        <w:t>Herata</w:t>
      </w:r>
      <w:proofErr w:type="spellEnd"/>
      <w:r w:rsidRPr="00667E7E">
        <w:rPr>
          <w:i/>
        </w:rPr>
        <w:t xml:space="preserve"> H</w:t>
      </w:r>
      <w:r>
        <w:rPr>
          <w:i/>
        </w:rPr>
        <w:t>.</w:t>
      </w:r>
      <w:r w:rsidRPr="00667E7E">
        <w:rPr>
          <w:i/>
        </w:rPr>
        <w:t>, Houser D</w:t>
      </w:r>
      <w:r>
        <w:rPr>
          <w:i/>
        </w:rPr>
        <w:t>.</w:t>
      </w:r>
      <w:r w:rsidRPr="00667E7E">
        <w:rPr>
          <w:i/>
        </w:rPr>
        <w:t>S</w:t>
      </w:r>
      <w:r>
        <w:rPr>
          <w:i/>
        </w:rPr>
        <w:t>.</w:t>
      </w:r>
      <w:r w:rsidRPr="00667E7E">
        <w:rPr>
          <w:i/>
        </w:rPr>
        <w:t xml:space="preserve">, </w:t>
      </w:r>
      <w:proofErr w:type="spellStart"/>
      <w:r w:rsidRPr="00667E7E">
        <w:rPr>
          <w:i/>
        </w:rPr>
        <w:t>Koschinski</w:t>
      </w:r>
      <w:proofErr w:type="spellEnd"/>
      <w:r w:rsidRPr="00667E7E">
        <w:rPr>
          <w:i/>
        </w:rPr>
        <w:t xml:space="preserve"> S</w:t>
      </w:r>
      <w:r>
        <w:rPr>
          <w:i/>
        </w:rPr>
        <w:t>.</w:t>
      </w:r>
      <w:r w:rsidRPr="00667E7E">
        <w:rPr>
          <w:i/>
        </w:rPr>
        <w:t>, Leaper R</w:t>
      </w:r>
      <w:r>
        <w:rPr>
          <w:i/>
        </w:rPr>
        <w:t>.</w:t>
      </w:r>
      <w:r w:rsidRPr="00667E7E">
        <w:rPr>
          <w:i/>
        </w:rPr>
        <w:t>, McCauley R</w:t>
      </w:r>
      <w:r>
        <w:rPr>
          <w:i/>
        </w:rPr>
        <w:t>.</w:t>
      </w:r>
      <w:r w:rsidRPr="00667E7E">
        <w:rPr>
          <w:i/>
        </w:rPr>
        <w:t>, Miller B</w:t>
      </w:r>
      <w:r>
        <w:rPr>
          <w:i/>
        </w:rPr>
        <w:t>.</w:t>
      </w:r>
      <w:r w:rsidRPr="00667E7E">
        <w:rPr>
          <w:i/>
        </w:rPr>
        <w:t>, Müller M</w:t>
      </w:r>
      <w:r>
        <w:rPr>
          <w:i/>
        </w:rPr>
        <w:t>.</w:t>
      </w:r>
      <w:r w:rsidRPr="00667E7E">
        <w:rPr>
          <w:i/>
        </w:rPr>
        <w:t>, Murray A</w:t>
      </w:r>
      <w:r>
        <w:rPr>
          <w:i/>
        </w:rPr>
        <w:t>.</w:t>
      </w:r>
      <w:r w:rsidRPr="00667E7E">
        <w:rPr>
          <w:i/>
        </w:rPr>
        <w:t>, Oswald J</w:t>
      </w:r>
      <w:r>
        <w:rPr>
          <w:i/>
        </w:rPr>
        <w:t>.</w:t>
      </w:r>
      <w:r w:rsidRPr="00667E7E">
        <w:rPr>
          <w:i/>
        </w:rPr>
        <w:t>N</w:t>
      </w:r>
      <w:r>
        <w:rPr>
          <w:i/>
        </w:rPr>
        <w:t>.</w:t>
      </w:r>
      <w:r w:rsidRPr="00667E7E">
        <w:rPr>
          <w:i/>
        </w:rPr>
        <w:t xml:space="preserve">, </w:t>
      </w:r>
      <w:proofErr w:type="spellStart"/>
      <w:r w:rsidRPr="00667E7E">
        <w:rPr>
          <w:i/>
        </w:rPr>
        <w:t>Scholik-Schlomer</w:t>
      </w:r>
      <w:proofErr w:type="spellEnd"/>
      <w:r w:rsidRPr="00667E7E">
        <w:rPr>
          <w:i/>
        </w:rPr>
        <w:t xml:space="preserve"> A</w:t>
      </w:r>
      <w:r>
        <w:rPr>
          <w:i/>
        </w:rPr>
        <w:t>.</w:t>
      </w:r>
      <w:r w:rsidRPr="00667E7E">
        <w:rPr>
          <w:i/>
        </w:rPr>
        <w:t>R</w:t>
      </w:r>
      <w:r>
        <w:rPr>
          <w:i/>
        </w:rPr>
        <w:t>.</w:t>
      </w:r>
      <w:r w:rsidRPr="00667E7E">
        <w:rPr>
          <w:i/>
        </w:rPr>
        <w:t>, Schuster M</w:t>
      </w:r>
      <w:r>
        <w:rPr>
          <w:i/>
        </w:rPr>
        <w:t>.</w:t>
      </w:r>
      <w:r w:rsidRPr="00667E7E">
        <w:rPr>
          <w:i/>
        </w:rPr>
        <w:t xml:space="preserve">, Van </w:t>
      </w:r>
      <w:proofErr w:type="spellStart"/>
      <w:r w:rsidRPr="00667E7E">
        <w:rPr>
          <w:i/>
        </w:rPr>
        <w:t>Opzeeland</w:t>
      </w:r>
      <w:proofErr w:type="spellEnd"/>
      <w:r w:rsidRPr="00667E7E">
        <w:rPr>
          <w:i/>
        </w:rPr>
        <w:t xml:space="preserve"> I</w:t>
      </w:r>
      <w:r>
        <w:rPr>
          <w:i/>
        </w:rPr>
        <w:t>.</w:t>
      </w:r>
      <w:r w:rsidRPr="00667E7E">
        <w:rPr>
          <w:i/>
        </w:rPr>
        <w:t>C</w:t>
      </w:r>
      <w:r>
        <w:rPr>
          <w:i/>
        </w:rPr>
        <w:t>.</w:t>
      </w:r>
      <w:r w:rsidRPr="00667E7E">
        <w:rPr>
          <w:i/>
        </w:rPr>
        <w:t xml:space="preserve"> and </w:t>
      </w:r>
      <w:proofErr w:type="spellStart"/>
      <w:r w:rsidRPr="00667E7E">
        <w:rPr>
          <w:i/>
        </w:rPr>
        <w:t>Janik</w:t>
      </w:r>
      <w:proofErr w:type="spellEnd"/>
      <w:r w:rsidRPr="00667E7E">
        <w:rPr>
          <w:i/>
        </w:rPr>
        <w:t xml:space="preserve"> V</w:t>
      </w:r>
      <w:r>
        <w:rPr>
          <w:i/>
        </w:rPr>
        <w:t>.</w:t>
      </w:r>
      <w:r w:rsidRPr="00667E7E">
        <w:rPr>
          <w:i/>
        </w:rPr>
        <w:t>M</w:t>
      </w:r>
      <w:r>
        <w:rPr>
          <w:i/>
        </w:rPr>
        <w:t>.</w:t>
      </w:r>
      <w:r w:rsidRPr="00667E7E">
        <w:rPr>
          <w:i/>
        </w:rPr>
        <w:t xml:space="preserve"> (2019). Managing the Effects of Noise </w:t>
      </w:r>
      <w:r>
        <w:rPr>
          <w:i/>
        </w:rPr>
        <w:t>f</w:t>
      </w:r>
      <w:r w:rsidRPr="00667E7E">
        <w:rPr>
          <w:i/>
        </w:rPr>
        <w:t xml:space="preserve">rom Ship Traffic, Seismic Surveying and Construction on Marine Mammals in Antarctica. Front. Mar. Sci. 6:647. </w:t>
      </w:r>
      <w:hyperlink r:id="rId14" w:history="1">
        <w:r w:rsidRPr="00667E7E">
          <w:rPr>
            <w:rStyle w:val="Hipervnculo"/>
            <w:i/>
          </w:rPr>
          <w:t>https://doi.org/10.3389/fmars.2019.00647</w:t>
        </w:r>
      </w:hyperlink>
      <w:r w:rsidRPr="00667E7E">
        <w:rPr>
          <w:i/>
        </w:rPr>
        <w:t xml:space="preserve"> </w:t>
      </w:r>
    </w:p>
    <w:p w14:paraId="7250F3E7" w14:textId="77777777" w:rsidR="00A046CC" w:rsidRPr="00667E7E" w:rsidRDefault="00A046CC" w:rsidP="00A046CC">
      <w:pPr>
        <w:spacing w:before="120"/>
        <w:rPr>
          <w:i/>
        </w:rPr>
      </w:pPr>
      <w:proofErr w:type="spellStart"/>
      <w:r w:rsidRPr="00667E7E">
        <w:rPr>
          <w:i/>
        </w:rPr>
        <w:t>Gavrilov</w:t>
      </w:r>
      <w:proofErr w:type="spellEnd"/>
      <w:r w:rsidRPr="00667E7E">
        <w:rPr>
          <w:i/>
        </w:rPr>
        <w:t>, A. (2018). "Propagation of Underwater Noise from an Offshore Seismic Survey in Australia to Antarctica: Measurements and Modelling." Acoustics Australia 46(1): 143-149.</w:t>
      </w:r>
    </w:p>
    <w:p w14:paraId="26A9D5C3" w14:textId="77777777" w:rsidR="00A046CC" w:rsidRPr="00667E7E" w:rsidRDefault="00A046CC" w:rsidP="00A046CC">
      <w:pPr>
        <w:spacing w:before="120"/>
        <w:rPr>
          <w:i/>
        </w:rPr>
      </w:pPr>
      <w:proofErr w:type="spellStart"/>
      <w:r w:rsidRPr="00667E7E">
        <w:rPr>
          <w:i/>
        </w:rPr>
        <w:t>Kennicutt</w:t>
      </w:r>
      <w:proofErr w:type="spellEnd"/>
      <w:r w:rsidRPr="00667E7E">
        <w:rPr>
          <w:i/>
        </w:rPr>
        <w:t xml:space="preserve">, MC, </w:t>
      </w:r>
      <w:proofErr w:type="spellStart"/>
      <w:r w:rsidRPr="00667E7E">
        <w:rPr>
          <w:i/>
        </w:rPr>
        <w:t>Chown</w:t>
      </w:r>
      <w:proofErr w:type="spellEnd"/>
      <w:r w:rsidRPr="00667E7E">
        <w:rPr>
          <w:i/>
        </w:rPr>
        <w:t xml:space="preserve">, SL, </w:t>
      </w:r>
      <w:proofErr w:type="spellStart"/>
      <w:r w:rsidRPr="00667E7E">
        <w:rPr>
          <w:i/>
        </w:rPr>
        <w:t>Cassano</w:t>
      </w:r>
      <w:proofErr w:type="spellEnd"/>
      <w:r w:rsidRPr="00667E7E">
        <w:rPr>
          <w:i/>
        </w:rPr>
        <w:t xml:space="preserve">, JJ, Liggett, D, Peck, LS, </w:t>
      </w:r>
      <w:proofErr w:type="spellStart"/>
      <w:r w:rsidRPr="00667E7E">
        <w:rPr>
          <w:i/>
        </w:rPr>
        <w:t>Massom</w:t>
      </w:r>
      <w:proofErr w:type="spellEnd"/>
      <w:r w:rsidRPr="00667E7E">
        <w:rPr>
          <w:i/>
        </w:rPr>
        <w:t>, R, . . . Sutherland, WJ (2015). "A roadmap for Antarctic and Southern Ocean science for the next two decades and beyond." Antarctic Science 27(1): 3-18.</w:t>
      </w:r>
    </w:p>
    <w:p w14:paraId="5C7A6298" w14:textId="77777777" w:rsidR="00A046CC" w:rsidRPr="00667E7E" w:rsidRDefault="00A046CC" w:rsidP="00A046CC">
      <w:pPr>
        <w:spacing w:before="120"/>
        <w:rPr>
          <w:i/>
        </w:rPr>
      </w:pPr>
      <w:proofErr w:type="spellStart"/>
      <w:r w:rsidRPr="00667E7E">
        <w:rPr>
          <w:i/>
        </w:rPr>
        <w:t>Kyhn</w:t>
      </w:r>
      <w:proofErr w:type="spellEnd"/>
      <w:r w:rsidRPr="00667E7E">
        <w:rPr>
          <w:i/>
        </w:rPr>
        <w:t xml:space="preserve">, L.A., </w:t>
      </w:r>
      <w:proofErr w:type="spellStart"/>
      <w:r w:rsidRPr="00667E7E">
        <w:rPr>
          <w:i/>
        </w:rPr>
        <w:t>Wisniewska</w:t>
      </w:r>
      <w:proofErr w:type="spellEnd"/>
      <w:r w:rsidRPr="00667E7E">
        <w:rPr>
          <w:i/>
        </w:rPr>
        <w:t xml:space="preserve">, D.M., </w:t>
      </w:r>
      <w:proofErr w:type="spellStart"/>
      <w:r w:rsidRPr="00667E7E">
        <w:rPr>
          <w:i/>
        </w:rPr>
        <w:t>Beedholm</w:t>
      </w:r>
      <w:proofErr w:type="spellEnd"/>
      <w:r w:rsidRPr="00667E7E">
        <w:rPr>
          <w:i/>
        </w:rPr>
        <w:t xml:space="preserve">, K., </w:t>
      </w:r>
      <w:proofErr w:type="spellStart"/>
      <w:r w:rsidRPr="00667E7E">
        <w:rPr>
          <w:i/>
        </w:rPr>
        <w:t>Tougaard</w:t>
      </w:r>
      <w:proofErr w:type="spellEnd"/>
      <w:r w:rsidRPr="00667E7E">
        <w:rPr>
          <w:i/>
        </w:rPr>
        <w:t xml:space="preserve">, J., Simon, M., </w:t>
      </w:r>
      <w:proofErr w:type="spellStart"/>
      <w:r w:rsidRPr="00667E7E">
        <w:rPr>
          <w:i/>
        </w:rPr>
        <w:t>Mosbech</w:t>
      </w:r>
      <w:proofErr w:type="spellEnd"/>
      <w:r w:rsidRPr="00667E7E">
        <w:rPr>
          <w:i/>
        </w:rPr>
        <w:t xml:space="preserve">, A. and Madsen, P.T. (2019). "Basin-wide contributions to the underwater soundscape by multiple seismic surveys with implications for marine mammals in Baffin Bay, Greenland." Mar </w:t>
      </w:r>
      <w:proofErr w:type="spellStart"/>
      <w:r w:rsidRPr="00667E7E">
        <w:rPr>
          <w:i/>
        </w:rPr>
        <w:t>Pollut</w:t>
      </w:r>
      <w:proofErr w:type="spellEnd"/>
      <w:r w:rsidRPr="00667E7E">
        <w:rPr>
          <w:i/>
        </w:rPr>
        <w:t xml:space="preserve"> Bull 138: 474-490.</w:t>
      </w:r>
    </w:p>
    <w:p w14:paraId="5E25495E" w14:textId="77777777" w:rsidR="00A046CC" w:rsidRPr="00667E7E" w:rsidRDefault="00A046CC" w:rsidP="00A046CC">
      <w:pPr>
        <w:spacing w:before="120"/>
        <w:rPr>
          <w:i/>
        </w:rPr>
      </w:pPr>
      <w:r w:rsidRPr="00667E7E">
        <w:rPr>
          <w:i/>
        </w:rPr>
        <w:t xml:space="preserve">Scientific Committee on Antarctic Research (2021). "Anthropogenic Noise in the Southern Ocean: </w:t>
      </w:r>
      <w:proofErr w:type="gramStart"/>
      <w:r w:rsidRPr="00667E7E">
        <w:rPr>
          <w:i/>
        </w:rPr>
        <w:t>an</w:t>
      </w:r>
      <w:proofErr w:type="gramEnd"/>
      <w:r w:rsidRPr="00667E7E">
        <w:rPr>
          <w:i/>
        </w:rPr>
        <w:t xml:space="preserve"> Update". SCAR Bulletin 204, 43 pp. </w:t>
      </w:r>
      <w:hyperlink r:id="rId15" w:history="1">
        <w:r w:rsidRPr="00667E7E">
          <w:rPr>
            <w:rStyle w:val="Hipervnculo"/>
            <w:i/>
          </w:rPr>
          <w:t>https://scar.org/scar-library/reports-and-bulletins/scar-bulletins/5589-scar-bulletin-204/file/</w:t>
        </w:r>
      </w:hyperlink>
      <w:r w:rsidRPr="00667E7E">
        <w:rPr>
          <w:i/>
        </w:rPr>
        <w:t xml:space="preserve"> </w:t>
      </w:r>
    </w:p>
    <w:p w14:paraId="577C876B" w14:textId="77777777" w:rsidR="00A046CC" w:rsidRPr="00AC28A8" w:rsidRDefault="00A046CC" w:rsidP="00A046CC">
      <w:pPr>
        <w:spacing w:before="120"/>
        <w:rPr>
          <w:i/>
          <w:lang w:val="de-DE"/>
        </w:rPr>
      </w:pPr>
      <w:r w:rsidRPr="00026DC4">
        <w:rPr>
          <w:i/>
          <w:lang w:val="de-DE"/>
        </w:rPr>
        <w:t xml:space="preserve">Siebert, U., Dähne, M., Danehl, S., Meyer-Klaeden, O., Van Neer, A., Wittekind, D., Schuster, M., Lucke, K., Clark, C. W., Stilz, P., Tougaard, J., von Benda-Beckmann, A. M.. </w:t>
      </w:r>
      <w:r w:rsidRPr="00667E7E">
        <w:rPr>
          <w:i/>
        </w:rPr>
        <w:t xml:space="preserve">and Ainslie, M.A. (2014). Assessment of potential for masking in marine mammals of the Antarctic exposed to underwater sound from airguns. </w:t>
      </w:r>
      <w:r w:rsidRPr="00026DC4">
        <w:rPr>
          <w:i/>
          <w:u w:val="single"/>
          <w:lang w:val="de-DE"/>
        </w:rPr>
        <w:t>UBA Texte 16/2014</w:t>
      </w:r>
      <w:r w:rsidRPr="00026DC4">
        <w:rPr>
          <w:i/>
          <w:lang w:val="de-DE"/>
        </w:rPr>
        <w:t xml:space="preserve">. Dessau-Roßlau, Umweltbundesamt: 311. </w:t>
      </w:r>
      <w:r>
        <w:fldChar w:fldCharType="begin"/>
      </w:r>
      <w:r w:rsidRPr="00A046CC">
        <w:rPr>
          <w:lang w:val="fr-FR"/>
        </w:rPr>
        <w:instrText xml:space="preserve"> HYPERLINK "https://www.umweltbundesamt.de/sites/default/files/medien/5750/publikationen/texte_16_2014_0.pdf" </w:instrText>
      </w:r>
      <w:r>
        <w:fldChar w:fldCharType="separate"/>
      </w:r>
      <w:r w:rsidRPr="00AC28A8">
        <w:rPr>
          <w:rStyle w:val="Hipervnculo"/>
          <w:i/>
          <w:lang w:val="de-DE"/>
        </w:rPr>
        <w:t>https://www.umweltbundesamt.de/sites/default/files/medien/5750/publikationen/texte_16_2014_0.pdf</w:t>
      </w:r>
      <w:r>
        <w:rPr>
          <w:rStyle w:val="Hipervnculo"/>
          <w:i/>
          <w:lang w:val="de-DE"/>
        </w:rPr>
        <w:fldChar w:fldCharType="end"/>
      </w:r>
      <w:r w:rsidRPr="00AC28A8">
        <w:rPr>
          <w:i/>
          <w:lang w:val="de-DE"/>
        </w:rPr>
        <w:t xml:space="preserve"> </w:t>
      </w:r>
    </w:p>
    <w:p w14:paraId="5F63FFC4" w14:textId="77777777" w:rsidR="00A046CC" w:rsidRPr="00026DC4" w:rsidRDefault="00A046CC" w:rsidP="00A046CC">
      <w:pPr>
        <w:spacing w:before="120"/>
        <w:rPr>
          <w:i/>
          <w:lang w:val="de-DE"/>
        </w:rPr>
      </w:pPr>
      <w:proofErr w:type="spellStart"/>
      <w:r w:rsidRPr="00385479">
        <w:rPr>
          <w:i/>
          <w:lang w:val="en-US"/>
        </w:rPr>
        <w:t>T</w:t>
      </w:r>
      <w:r>
        <w:rPr>
          <w:i/>
          <w:lang w:val="en-US"/>
        </w:rPr>
        <w:t>hode</w:t>
      </w:r>
      <w:proofErr w:type="spellEnd"/>
      <w:r w:rsidRPr="00385479">
        <w:rPr>
          <w:i/>
          <w:lang w:val="en-US"/>
        </w:rPr>
        <w:t>, A.M., B</w:t>
      </w:r>
      <w:r>
        <w:rPr>
          <w:i/>
          <w:lang w:val="en-US"/>
        </w:rPr>
        <w:t>lackwell</w:t>
      </w:r>
      <w:r w:rsidRPr="00385479">
        <w:rPr>
          <w:i/>
          <w:lang w:val="en-US"/>
        </w:rPr>
        <w:t>, S.B., C</w:t>
      </w:r>
      <w:r>
        <w:rPr>
          <w:i/>
          <w:lang w:val="en-US"/>
        </w:rPr>
        <w:t>onrad</w:t>
      </w:r>
      <w:r w:rsidRPr="00385479">
        <w:rPr>
          <w:i/>
          <w:lang w:val="en-US"/>
        </w:rPr>
        <w:t>, A.S., K</w:t>
      </w:r>
      <w:r>
        <w:rPr>
          <w:i/>
          <w:lang w:val="en-US"/>
        </w:rPr>
        <w:t>im</w:t>
      </w:r>
      <w:r w:rsidRPr="00385479">
        <w:rPr>
          <w:i/>
          <w:lang w:val="en-US"/>
        </w:rPr>
        <w:t>, K.H., M</w:t>
      </w:r>
      <w:r>
        <w:rPr>
          <w:i/>
          <w:lang w:val="en-US"/>
        </w:rPr>
        <w:t>arques</w:t>
      </w:r>
      <w:r w:rsidRPr="00385479">
        <w:rPr>
          <w:i/>
          <w:lang w:val="en-US"/>
        </w:rPr>
        <w:t>, T.</w:t>
      </w:r>
      <w:r>
        <w:rPr>
          <w:i/>
          <w:lang w:val="en-US"/>
        </w:rPr>
        <w:t>,</w:t>
      </w:r>
      <w:r w:rsidRPr="00385479">
        <w:rPr>
          <w:i/>
          <w:lang w:val="en-US"/>
        </w:rPr>
        <w:t xml:space="preserve"> T</w:t>
      </w:r>
      <w:r>
        <w:rPr>
          <w:i/>
          <w:lang w:val="en-US"/>
        </w:rPr>
        <w:t>homas</w:t>
      </w:r>
      <w:r w:rsidRPr="00385479">
        <w:rPr>
          <w:i/>
          <w:lang w:val="en-US"/>
        </w:rPr>
        <w:t xml:space="preserve">, </w:t>
      </w:r>
      <w:r>
        <w:rPr>
          <w:i/>
          <w:lang w:val="en-US"/>
        </w:rPr>
        <w:t>L.</w:t>
      </w:r>
      <w:r w:rsidRPr="00385479">
        <w:rPr>
          <w:i/>
          <w:lang w:val="en-US"/>
        </w:rPr>
        <w:t>,</w:t>
      </w:r>
      <w:r>
        <w:rPr>
          <w:i/>
          <w:lang w:val="en-US"/>
        </w:rPr>
        <w:t xml:space="preserve"> </w:t>
      </w:r>
      <w:proofErr w:type="spellStart"/>
      <w:r w:rsidRPr="00385479">
        <w:rPr>
          <w:i/>
          <w:lang w:val="en-US"/>
        </w:rPr>
        <w:t>Oedekoven</w:t>
      </w:r>
      <w:proofErr w:type="spellEnd"/>
      <w:r w:rsidRPr="00385479">
        <w:rPr>
          <w:i/>
          <w:lang w:val="en-US"/>
        </w:rPr>
        <w:t>, C</w:t>
      </w:r>
      <w:r>
        <w:rPr>
          <w:i/>
          <w:lang w:val="en-US"/>
        </w:rPr>
        <w:t>.</w:t>
      </w:r>
      <w:r w:rsidRPr="00385479">
        <w:rPr>
          <w:i/>
          <w:lang w:val="en-US"/>
        </w:rPr>
        <w:t>S</w:t>
      </w:r>
      <w:r>
        <w:rPr>
          <w:i/>
          <w:lang w:val="en-US"/>
        </w:rPr>
        <w:t xml:space="preserve">., </w:t>
      </w:r>
      <w:r w:rsidRPr="00385479">
        <w:rPr>
          <w:i/>
          <w:lang w:val="en-US"/>
        </w:rPr>
        <w:t>Harris, D</w:t>
      </w:r>
      <w:r>
        <w:rPr>
          <w:i/>
          <w:lang w:val="en-US"/>
        </w:rPr>
        <w:t>. and</w:t>
      </w:r>
      <w:r w:rsidRPr="00385479">
        <w:rPr>
          <w:i/>
          <w:lang w:val="en-US"/>
        </w:rPr>
        <w:t>. B</w:t>
      </w:r>
      <w:r>
        <w:rPr>
          <w:i/>
          <w:lang w:val="en-US"/>
        </w:rPr>
        <w:t>roker</w:t>
      </w:r>
      <w:r w:rsidRPr="00385479">
        <w:rPr>
          <w:i/>
          <w:lang w:val="en-US"/>
        </w:rPr>
        <w:t>, K</w:t>
      </w:r>
      <w:r>
        <w:rPr>
          <w:i/>
          <w:lang w:val="en-US"/>
        </w:rPr>
        <w:t xml:space="preserve">. </w:t>
      </w:r>
      <w:r w:rsidRPr="00385479">
        <w:rPr>
          <w:i/>
          <w:lang w:val="en-US"/>
        </w:rPr>
        <w:t xml:space="preserve">(2020). "Roaring and repetition: How bowhead whales adjust their call density and source </w:t>
      </w:r>
      <w:r w:rsidRPr="00385479">
        <w:rPr>
          <w:i/>
          <w:lang w:val="en-US"/>
        </w:rPr>
        <w:lastRenderedPageBreak/>
        <w:t xml:space="preserve">level (Lombard effect) in the presence of natural and seismic </w:t>
      </w:r>
      <w:proofErr w:type="spellStart"/>
      <w:r w:rsidRPr="00385479">
        <w:rPr>
          <w:i/>
          <w:lang w:val="en-US"/>
        </w:rPr>
        <w:t>airgun</w:t>
      </w:r>
      <w:proofErr w:type="spellEnd"/>
      <w:r w:rsidRPr="00385479">
        <w:rPr>
          <w:i/>
          <w:lang w:val="en-US"/>
        </w:rPr>
        <w:t xml:space="preserve"> survey noise." </w:t>
      </w:r>
      <w:r w:rsidRPr="00385479">
        <w:rPr>
          <w:i/>
          <w:lang w:val="de-DE"/>
        </w:rPr>
        <w:t>J Acoust Soc Am 147(3): 2061.</w:t>
      </w:r>
    </w:p>
    <w:p w14:paraId="1A57F1A0" w14:textId="77777777" w:rsidR="00A046CC" w:rsidRPr="00026DC4" w:rsidRDefault="00A046CC" w:rsidP="00A046CC">
      <w:pPr>
        <w:spacing w:before="120"/>
        <w:rPr>
          <w:i/>
          <w:lang w:val="de-DE"/>
        </w:rPr>
      </w:pPr>
      <w:r w:rsidRPr="00026DC4">
        <w:rPr>
          <w:i/>
          <w:lang w:val="de-DE"/>
        </w:rPr>
        <w:t xml:space="preserve">Wittekind, D., Tougaard, J., Stolz, P., Dähne, M., Clark, C.W., Lucke, K., von Benda-Beckmann, S., Ainslie, M. A. and Siebert, U. (2016). </w:t>
      </w:r>
      <w:r w:rsidRPr="00667E7E">
        <w:rPr>
          <w:i/>
        </w:rPr>
        <w:t xml:space="preserve">Development of a model to assess masking potential for marine mammals </w:t>
      </w:r>
      <w:proofErr w:type="gramStart"/>
      <w:r w:rsidRPr="00667E7E">
        <w:rPr>
          <w:i/>
        </w:rPr>
        <w:t>by the use of</w:t>
      </w:r>
      <w:proofErr w:type="gramEnd"/>
      <w:r w:rsidRPr="00667E7E">
        <w:rPr>
          <w:i/>
        </w:rPr>
        <w:t xml:space="preserve"> air guns in Antarctic waters. The Effects of Noise on Aquatic Life II. Popper and Hawkins. </w:t>
      </w:r>
      <w:r w:rsidRPr="00026DC4">
        <w:rPr>
          <w:i/>
          <w:lang w:val="de-DE"/>
        </w:rPr>
        <w:t xml:space="preserve">NY, Springer New York. 875: 1243-1249. </w:t>
      </w:r>
      <w:hyperlink r:id="rId16" w:history="1">
        <w:r w:rsidRPr="00026DC4">
          <w:rPr>
            <w:rStyle w:val="Hipervnculo"/>
            <w:i/>
            <w:lang w:val="de-DE"/>
          </w:rPr>
          <w:t>https://doi.org/10.1007/978-1-4939-2981-8_156</w:t>
        </w:r>
      </w:hyperlink>
      <w:r w:rsidRPr="00026DC4">
        <w:rPr>
          <w:i/>
          <w:lang w:val="de-DE"/>
        </w:rPr>
        <w:t xml:space="preserve"> </w:t>
      </w:r>
    </w:p>
    <w:p w14:paraId="3ADD3E6C" w14:textId="77777777" w:rsidR="00A046CC" w:rsidRPr="00A046CC" w:rsidRDefault="00A046CC" w:rsidP="00A046CC">
      <w:pPr>
        <w:rPr>
          <w:szCs w:val="22"/>
          <w:lang w:val="fr-FR"/>
        </w:rPr>
      </w:pPr>
      <w:r w:rsidRPr="00026DC4">
        <w:rPr>
          <w:i/>
          <w:lang w:val="de-DE"/>
        </w:rPr>
        <w:t>Wölfing, B., Stilz, P., Gavrilov, A., Fischer, M., Schuster, M., Schaffeld, T.,</w:t>
      </w:r>
      <w:r w:rsidRPr="00026DC4">
        <w:rPr>
          <w:lang w:val="de-DE"/>
        </w:rPr>
        <w:t xml:space="preserve"> </w:t>
      </w:r>
      <w:r w:rsidRPr="00026DC4">
        <w:rPr>
          <w:i/>
          <w:lang w:val="de-DE"/>
        </w:rPr>
        <w:t xml:space="preserve">Schnitzler, J., Rasmussen, M., Wahlberg, M., Erbe, C., McCauley, R, Wittekind, D. and Siebert, U. (2021). </w:t>
      </w:r>
      <w:r w:rsidRPr="00667E7E">
        <w:rPr>
          <w:i/>
        </w:rPr>
        <w:t xml:space="preserve">Assessment of communication masking in Antarctic marine mammals by underwater sound from airguns. </w:t>
      </w:r>
      <w:r w:rsidRPr="00026DC4">
        <w:rPr>
          <w:i/>
          <w:u w:val="single"/>
          <w:lang w:val="de-DE"/>
        </w:rPr>
        <w:t xml:space="preserve">UBA Texte </w:t>
      </w:r>
      <w:r>
        <w:rPr>
          <w:i/>
          <w:u w:val="single"/>
          <w:lang w:val="de-DE"/>
        </w:rPr>
        <w:t>89</w:t>
      </w:r>
      <w:r w:rsidRPr="00B0021E">
        <w:rPr>
          <w:i/>
          <w:u w:val="single"/>
          <w:lang w:val="de-DE"/>
        </w:rPr>
        <w:t>/2021</w:t>
      </w:r>
      <w:r w:rsidRPr="00B0021E">
        <w:rPr>
          <w:i/>
          <w:lang w:val="de-DE"/>
        </w:rPr>
        <w:t xml:space="preserve">. Dessau-Roßlau, Umweltbundesamt: 180. </w:t>
      </w:r>
      <w:hyperlink r:id="rId17" w:history="1">
        <w:r w:rsidRPr="00A046CC">
          <w:rPr>
            <w:rStyle w:val="Hipervnculo"/>
            <w:lang w:val="fr-FR"/>
          </w:rPr>
          <w:t>https://www.umweltbundesamt.de/publikationen/assessment-of-communication-masking-in-antarctic</w:t>
        </w:r>
      </w:hyperlink>
      <w:r w:rsidRPr="00A046CC">
        <w:rPr>
          <w:color w:val="000000"/>
          <w:lang w:val="fr-FR"/>
        </w:rPr>
        <w:t>.</w:t>
      </w:r>
      <w:r w:rsidRPr="00A046CC">
        <w:rPr>
          <w:lang w:val="fr-FR"/>
        </w:rPr>
        <w:t xml:space="preserve"> </w:t>
      </w:r>
    </w:p>
    <w:p w14:paraId="12D10277" w14:textId="77777777" w:rsidR="00A046CC" w:rsidRPr="00A046CC" w:rsidRDefault="00A046CC" w:rsidP="00952E9F">
      <w:pPr>
        <w:rPr>
          <w:lang w:val="fr-FR"/>
        </w:rPr>
      </w:pPr>
    </w:p>
    <w:sectPr w:rsidR="00A046CC" w:rsidRPr="00A046CC" w:rsidSect="00C26F2D">
      <w:headerReference w:type="default" r:id="rId18"/>
      <w:footerReference w:type="default" r:id="rId19"/>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0748" w14:textId="77777777" w:rsidR="00000000" w:rsidRDefault="00A046CC">
      <w:r>
        <w:separator/>
      </w:r>
    </w:p>
  </w:endnote>
  <w:endnote w:type="continuationSeparator" w:id="0">
    <w:p w14:paraId="3BC0CBC2" w14:textId="77777777" w:rsidR="00000000" w:rsidRDefault="00A04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mosEFOP-Medium">
    <w:altName w:val="Trebuchet MS"/>
    <w:charset w:val="00"/>
    <w:family w:val="modern"/>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BAD1" w14:textId="77777777" w:rsidR="00FA0B9F" w:rsidRDefault="00A046CC" w:rsidP="00CF5C82">
    <w:pPr>
      <w:framePr w:wrap="around" w:vAnchor="text" w:hAnchor="margin" w:xAlign="right" w:y="1"/>
    </w:pPr>
    <w:r>
      <w:fldChar w:fldCharType="begin"/>
    </w:r>
    <w:r>
      <w:instrText xml:space="preserve">PAGE  </w:instrText>
    </w:r>
    <w:r>
      <w:fldChar w:fldCharType="separate"/>
    </w:r>
    <w:r>
      <w:fldChar w:fldCharType="end"/>
    </w:r>
  </w:p>
  <w:p w14:paraId="11C5C3C3" w14:textId="77777777" w:rsidR="00FA0B9F" w:rsidRDefault="00A046C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5705" w14:textId="77777777" w:rsidR="00FA0B9F" w:rsidRDefault="00A046C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BB020B9" w14:textId="7AD86FE9" w:rsidR="00FA0B9F" w:rsidRDefault="00A046CC" w:rsidP="00A046C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693E" w14:textId="77777777" w:rsidR="00E311C9" w:rsidRDefault="00A046C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5FD258B" w14:textId="77777777" w:rsidR="00E311C9" w:rsidRDefault="00A046C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FE34" w14:textId="77777777" w:rsidR="00000000" w:rsidRDefault="00A046CC">
      <w:r>
        <w:separator/>
      </w:r>
    </w:p>
  </w:footnote>
  <w:footnote w:type="continuationSeparator" w:id="0">
    <w:p w14:paraId="2B265C40" w14:textId="77777777" w:rsidR="00000000" w:rsidRDefault="00A04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D4025" w14:paraId="63ACD38C" w14:textId="77777777" w:rsidTr="00490760">
      <w:trPr>
        <w:trHeight w:val="344"/>
        <w:jc w:val="center"/>
      </w:trPr>
      <w:tc>
        <w:tcPr>
          <w:tcW w:w="5495" w:type="dxa"/>
        </w:tcPr>
        <w:p w14:paraId="79E58CCE" w14:textId="77777777" w:rsidR="00DB7C09" w:rsidRDefault="00A046CC" w:rsidP="00F968D4"/>
      </w:tc>
      <w:tc>
        <w:tcPr>
          <w:tcW w:w="4253" w:type="dxa"/>
          <w:gridSpan w:val="2"/>
        </w:tcPr>
        <w:p w14:paraId="7657BF3B" w14:textId="77777777" w:rsidR="00DB7C09" w:rsidRPr="00BD47E4" w:rsidRDefault="00A046CC" w:rsidP="002A07BC">
          <w:pPr>
            <w:jc w:val="right"/>
            <w:rPr>
              <w:b/>
              <w:sz w:val="32"/>
              <w:szCs w:val="32"/>
            </w:rPr>
          </w:pPr>
          <w:bookmarkStart w:id="2" w:name="type"/>
          <w:r w:rsidRPr="00BD47E4">
            <w:rPr>
              <w:b/>
              <w:sz w:val="32"/>
              <w:szCs w:val="32"/>
            </w:rPr>
            <w:t>IP</w:t>
          </w:r>
          <w:bookmarkEnd w:id="2"/>
        </w:p>
      </w:tc>
      <w:tc>
        <w:tcPr>
          <w:tcW w:w="1524" w:type="dxa"/>
          <w:gridSpan w:val="2"/>
        </w:tcPr>
        <w:p w14:paraId="1F503924" w14:textId="77777777" w:rsidR="00DB7C09" w:rsidRPr="00BD47E4" w:rsidRDefault="00A046CC" w:rsidP="00DB7C09">
          <w:pPr>
            <w:rPr>
              <w:b/>
              <w:sz w:val="32"/>
              <w:szCs w:val="32"/>
            </w:rPr>
          </w:pPr>
          <w:bookmarkStart w:id="3" w:name="number"/>
          <w:r w:rsidRPr="00BD47E4">
            <w:rPr>
              <w:b/>
              <w:sz w:val="32"/>
              <w:szCs w:val="32"/>
            </w:rPr>
            <w:t>20 rev. 1</w:t>
          </w:r>
          <w:bookmarkEnd w:id="3"/>
        </w:p>
      </w:tc>
    </w:tr>
    <w:tr w:rsidR="00BD4025" w14:paraId="65073FAB" w14:textId="77777777" w:rsidTr="00490760">
      <w:trPr>
        <w:trHeight w:val="2165"/>
        <w:jc w:val="center"/>
      </w:trPr>
      <w:tc>
        <w:tcPr>
          <w:tcW w:w="5495" w:type="dxa"/>
        </w:tcPr>
        <w:p w14:paraId="783C87E9" w14:textId="77777777" w:rsidR="00490760" w:rsidRPr="00EE4D48" w:rsidRDefault="00A046CC" w:rsidP="002A07BC">
          <w:pPr>
            <w:rPr>
              <w:b/>
              <w:sz w:val="28"/>
              <w:szCs w:val="28"/>
            </w:rPr>
          </w:pPr>
          <w:r>
            <w:rPr>
              <w:b/>
              <w:noProof/>
              <w:sz w:val="28"/>
              <w:szCs w:val="28"/>
            </w:rPr>
            <w:drawing>
              <wp:inline distT="0" distB="0" distL="0" distR="0" wp14:anchorId="3099917F" wp14:editId="0E6F7C3F">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560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536DE9E" w14:textId="77777777" w:rsidR="00490760" w:rsidRPr="00FE5146" w:rsidRDefault="00A046CC" w:rsidP="00490760">
          <w:pPr>
            <w:jc w:val="right"/>
            <w:rPr>
              <w:sz w:val="144"/>
              <w:szCs w:val="144"/>
            </w:rPr>
          </w:pPr>
          <w:r w:rsidRPr="00FE5146">
            <w:rPr>
              <w:sz w:val="144"/>
              <w:szCs w:val="144"/>
            </w:rPr>
            <w:t>ENG</w:t>
          </w:r>
        </w:p>
      </w:tc>
    </w:tr>
    <w:tr w:rsidR="00BD4025" w14:paraId="5B12BD45" w14:textId="77777777" w:rsidTr="00BD47E4">
      <w:trPr>
        <w:trHeight w:val="409"/>
        <w:jc w:val="center"/>
      </w:trPr>
      <w:tc>
        <w:tcPr>
          <w:tcW w:w="9039" w:type="dxa"/>
          <w:gridSpan w:val="2"/>
        </w:tcPr>
        <w:p w14:paraId="62226F04" w14:textId="77777777" w:rsidR="00BD47E4" w:rsidRDefault="00A046CC" w:rsidP="002C30DA">
          <w:pPr>
            <w:jc w:val="right"/>
          </w:pPr>
          <w:r>
            <w:t>Agenda Item:</w:t>
          </w:r>
        </w:p>
      </w:tc>
      <w:tc>
        <w:tcPr>
          <w:tcW w:w="1843" w:type="dxa"/>
          <w:gridSpan w:val="2"/>
        </w:tcPr>
        <w:p w14:paraId="5E09DBDF" w14:textId="77777777" w:rsidR="00BD47E4" w:rsidRDefault="00A046CC" w:rsidP="002C30DA">
          <w:pPr>
            <w:jc w:val="right"/>
          </w:pPr>
          <w:bookmarkStart w:id="4" w:name="agenda"/>
          <w:r>
            <w:t>CEP 10c</w:t>
          </w:r>
          <w:bookmarkEnd w:id="4"/>
        </w:p>
      </w:tc>
      <w:tc>
        <w:tcPr>
          <w:tcW w:w="390" w:type="dxa"/>
        </w:tcPr>
        <w:p w14:paraId="3B44D7AC" w14:textId="77777777" w:rsidR="00BD47E4" w:rsidRDefault="00A046CC" w:rsidP="00387A65">
          <w:pPr>
            <w:jc w:val="right"/>
          </w:pPr>
        </w:p>
      </w:tc>
    </w:tr>
    <w:tr w:rsidR="00BD4025" w14:paraId="0C3661ED" w14:textId="77777777" w:rsidTr="00BD47E4">
      <w:trPr>
        <w:trHeight w:val="397"/>
        <w:jc w:val="center"/>
      </w:trPr>
      <w:tc>
        <w:tcPr>
          <w:tcW w:w="9039" w:type="dxa"/>
          <w:gridSpan w:val="2"/>
        </w:tcPr>
        <w:p w14:paraId="78F3ED75" w14:textId="77777777" w:rsidR="00BD47E4" w:rsidRDefault="00A046CC" w:rsidP="002C30DA">
          <w:pPr>
            <w:jc w:val="right"/>
          </w:pPr>
          <w:r>
            <w:t>Presented by:</w:t>
          </w:r>
        </w:p>
      </w:tc>
      <w:tc>
        <w:tcPr>
          <w:tcW w:w="1843" w:type="dxa"/>
          <w:gridSpan w:val="2"/>
        </w:tcPr>
        <w:p w14:paraId="40E9A933" w14:textId="77777777" w:rsidR="00BD47E4" w:rsidRDefault="00A046CC" w:rsidP="002C30DA">
          <w:pPr>
            <w:jc w:val="right"/>
          </w:pPr>
          <w:bookmarkStart w:id="5" w:name="party"/>
          <w:r>
            <w:t>Germany</w:t>
          </w:r>
          <w:bookmarkEnd w:id="5"/>
        </w:p>
      </w:tc>
      <w:tc>
        <w:tcPr>
          <w:tcW w:w="390" w:type="dxa"/>
        </w:tcPr>
        <w:p w14:paraId="5F0CE191" w14:textId="77777777" w:rsidR="00BD47E4" w:rsidRDefault="00A046CC" w:rsidP="00387A65">
          <w:pPr>
            <w:jc w:val="right"/>
          </w:pPr>
        </w:p>
      </w:tc>
    </w:tr>
    <w:tr w:rsidR="00BD4025" w14:paraId="71913545" w14:textId="77777777" w:rsidTr="00BD47E4">
      <w:trPr>
        <w:trHeight w:val="409"/>
        <w:jc w:val="center"/>
      </w:trPr>
      <w:tc>
        <w:tcPr>
          <w:tcW w:w="9039" w:type="dxa"/>
          <w:gridSpan w:val="2"/>
        </w:tcPr>
        <w:p w14:paraId="1D578A4E" w14:textId="77777777" w:rsidR="00BD47E4" w:rsidRDefault="00A046CC" w:rsidP="002C30DA">
          <w:pPr>
            <w:jc w:val="right"/>
          </w:pPr>
          <w:r>
            <w:t>Original:</w:t>
          </w:r>
        </w:p>
      </w:tc>
      <w:tc>
        <w:tcPr>
          <w:tcW w:w="1843" w:type="dxa"/>
          <w:gridSpan w:val="2"/>
        </w:tcPr>
        <w:p w14:paraId="42619792" w14:textId="77777777" w:rsidR="00BD47E4" w:rsidRDefault="00A046CC" w:rsidP="002C30DA">
          <w:pPr>
            <w:jc w:val="right"/>
          </w:pPr>
          <w:bookmarkStart w:id="6" w:name="language"/>
          <w:r>
            <w:t>English</w:t>
          </w:r>
          <w:bookmarkEnd w:id="6"/>
        </w:p>
      </w:tc>
      <w:tc>
        <w:tcPr>
          <w:tcW w:w="390" w:type="dxa"/>
        </w:tcPr>
        <w:p w14:paraId="35008F96" w14:textId="77777777" w:rsidR="00BD47E4" w:rsidRDefault="00A046CC" w:rsidP="00387A65">
          <w:pPr>
            <w:jc w:val="right"/>
          </w:pPr>
        </w:p>
      </w:tc>
    </w:tr>
    <w:tr w:rsidR="00BD4025" w14:paraId="099E680F" w14:textId="77777777" w:rsidTr="00BD47E4">
      <w:trPr>
        <w:trHeight w:val="409"/>
        <w:jc w:val="center"/>
      </w:trPr>
      <w:tc>
        <w:tcPr>
          <w:tcW w:w="9039" w:type="dxa"/>
          <w:gridSpan w:val="2"/>
        </w:tcPr>
        <w:p w14:paraId="6AB598B7" w14:textId="77777777" w:rsidR="0097629D" w:rsidRDefault="00A046CC" w:rsidP="002C30DA">
          <w:pPr>
            <w:jc w:val="right"/>
          </w:pPr>
          <w:r>
            <w:t>Submitted:</w:t>
          </w:r>
        </w:p>
      </w:tc>
      <w:tc>
        <w:tcPr>
          <w:tcW w:w="1843" w:type="dxa"/>
          <w:gridSpan w:val="2"/>
        </w:tcPr>
        <w:p w14:paraId="53B0A009" w14:textId="77777777" w:rsidR="0097629D" w:rsidRDefault="00A046CC" w:rsidP="0097629D">
          <w:pPr>
            <w:jc w:val="right"/>
          </w:pPr>
          <w:bookmarkStart w:id="7" w:name="date_submission"/>
          <w:r>
            <w:t>14/6/2021</w:t>
          </w:r>
          <w:bookmarkEnd w:id="7"/>
        </w:p>
      </w:tc>
      <w:tc>
        <w:tcPr>
          <w:tcW w:w="390" w:type="dxa"/>
        </w:tcPr>
        <w:p w14:paraId="39F86744" w14:textId="77777777" w:rsidR="0097629D" w:rsidRDefault="00A046CC" w:rsidP="00387A65">
          <w:pPr>
            <w:jc w:val="right"/>
          </w:pPr>
        </w:p>
      </w:tc>
    </w:tr>
  </w:tbl>
  <w:p w14:paraId="1D0ABE73" w14:textId="77777777" w:rsidR="00AE5DD0" w:rsidRDefault="00A046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D4025" w14:paraId="0A2ADBDD" w14:textId="77777777">
      <w:trPr>
        <w:trHeight w:val="354"/>
        <w:jc w:val="center"/>
      </w:trPr>
      <w:tc>
        <w:tcPr>
          <w:tcW w:w="9694" w:type="dxa"/>
        </w:tcPr>
        <w:p w14:paraId="12890392" w14:textId="26F646C6" w:rsidR="00AE5DD0" w:rsidRPr="00BD47E4" w:rsidRDefault="00A046CC" w:rsidP="00C26F2D">
          <w:pPr>
            <w:jc w:val="right"/>
            <w:rPr>
              <w:b/>
              <w:sz w:val="32"/>
              <w:szCs w:val="32"/>
            </w:rPr>
          </w:pPr>
          <w:r>
            <w:rPr>
              <w:b/>
              <w:sz w:val="32"/>
              <w:szCs w:val="32"/>
            </w:rPr>
            <w:t>IP</w:t>
          </w:r>
        </w:p>
      </w:tc>
      <w:tc>
        <w:tcPr>
          <w:tcW w:w="1332" w:type="dxa"/>
        </w:tcPr>
        <w:p w14:paraId="2D5AA9A5" w14:textId="71189721" w:rsidR="00AE5DD0" w:rsidRPr="00BD47E4" w:rsidRDefault="00A046CC" w:rsidP="00080F4C">
          <w:pPr>
            <w:rPr>
              <w:b/>
              <w:sz w:val="32"/>
              <w:szCs w:val="32"/>
            </w:rPr>
          </w:pPr>
          <w:r>
            <w:rPr>
              <w:b/>
              <w:sz w:val="32"/>
              <w:szCs w:val="32"/>
            </w:rPr>
            <w:t>20 rev.1</w:t>
          </w:r>
        </w:p>
      </w:tc>
    </w:tr>
  </w:tbl>
  <w:p w14:paraId="29415440" w14:textId="77777777" w:rsidR="00AE5DD0" w:rsidRDefault="00A04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84E57B4">
      <w:start w:val="1"/>
      <w:numFmt w:val="bullet"/>
      <w:pStyle w:val="ATSBullet1"/>
      <w:lvlText w:val=""/>
      <w:lvlJc w:val="left"/>
      <w:pPr>
        <w:tabs>
          <w:tab w:val="num" w:pos="360"/>
        </w:tabs>
        <w:ind w:left="360" w:hanging="360"/>
      </w:pPr>
      <w:rPr>
        <w:rFonts w:ascii="Symbol" w:hAnsi="Symbol" w:hint="default"/>
        <w:color w:val="auto"/>
      </w:rPr>
    </w:lvl>
    <w:lvl w:ilvl="1" w:tplc="2B2A6E6A" w:tentative="1">
      <w:start w:val="1"/>
      <w:numFmt w:val="bullet"/>
      <w:lvlText w:val="o"/>
      <w:lvlJc w:val="left"/>
      <w:pPr>
        <w:tabs>
          <w:tab w:val="num" w:pos="1440"/>
        </w:tabs>
        <w:ind w:left="1440" w:hanging="360"/>
      </w:pPr>
      <w:rPr>
        <w:rFonts w:ascii="Courier New" w:hAnsi="Courier New" w:cs="Courier New" w:hint="default"/>
      </w:rPr>
    </w:lvl>
    <w:lvl w:ilvl="2" w:tplc="3FC60EE2" w:tentative="1">
      <w:start w:val="1"/>
      <w:numFmt w:val="bullet"/>
      <w:lvlText w:val=""/>
      <w:lvlJc w:val="left"/>
      <w:pPr>
        <w:tabs>
          <w:tab w:val="num" w:pos="2160"/>
        </w:tabs>
        <w:ind w:left="2160" w:hanging="360"/>
      </w:pPr>
      <w:rPr>
        <w:rFonts w:ascii="Wingdings" w:hAnsi="Wingdings" w:hint="default"/>
      </w:rPr>
    </w:lvl>
    <w:lvl w:ilvl="3" w:tplc="3E6067E0" w:tentative="1">
      <w:start w:val="1"/>
      <w:numFmt w:val="bullet"/>
      <w:lvlText w:val=""/>
      <w:lvlJc w:val="left"/>
      <w:pPr>
        <w:tabs>
          <w:tab w:val="num" w:pos="2880"/>
        </w:tabs>
        <w:ind w:left="2880" w:hanging="360"/>
      </w:pPr>
      <w:rPr>
        <w:rFonts w:ascii="Symbol" w:hAnsi="Symbol" w:hint="default"/>
      </w:rPr>
    </w:lvl>
    <w:lvl w:ilvl="4" w:tplc="8EC45D20" w:tentative="1">
      <w:start w:val="1"/>
      <w:numFmt w:val="bullet"/>
      <w:lvlText w:val="o"/>
      <w:lvlJc w:val="left"/>
      <w:pPr>
        <w:tabs>
          <w:tab w:val="num" w:pos="3600"/>
        </w:tabs>
        <w:ind w:left="3600" w:hanging="360"/>
      </w:pPr>
      <w:rPr>
        <w:rFonts w:ascii="Courier New" w:hAnsi="Courier New" w:cs="Courier New" w:hint="default"/>
      </w:rPr>
    </w:lvl>
    <w:lvl w:ilvl="5" w:tplc="08D2C9B2" w:tentative="1">
      <w:start w:val="1"/>
      <w:numFmt w:val="bullet"/>
      <w:lvlText w:val=""/>
      <w:lvlJc w:val="left"/>
      <w:pPr>
        <w:tabs>
          <w:tab w:val="num" w:pos="4320"/>
        </w:tabs>
        <w:ind w:left="4320" w:hanging="360"/>
      </w:pPr>
      <w:rPr>
        <w:rFonts w:ascii="Wingdings" w:hAnsi="Wingdings" w:hint="default"/>
      </w:rPr>
    </w:lvl>
    <w:lvl w:ilvl="6" w:tplc="5AAC11AE" w:tentative="1">
      <w:start w:val="1"/>
      <w:numFmt w:val="bullet"/>
      <w:lvlText w:val=""/>
      <w:lvlJc w:val="left"/>
      <w:pPr>
        <w:tabs>
          <w:tab w:val="num" w:pos="5040"/>
        </w:tabs>
        <w:ind w:left="5040" w:hanging="360"/>
      </w:pPr>
      <w:rPr>
        <w:rFonts w:ascii="Symbol" w:hAnsi="Symbol" w:hint="default"/>
      </w:rPr>
    </w:lvl>
    <w:lvl w:ilvl="7" w:tplc="986A9930" w:tentative="1">
      <w:start w:val="1"/>
      <w:numFmt w:val="bullet"/>
      <w:lvlText w:val="o"/>
      <w:lvlJc w:val="left"/>
      <w:pPr>
        <w:tabs>
          <w:tab w:val="num" w:pos="5760"/>
        </w:tabs>
        <w:ind w:left="5760" w:hanging="360"/>
      </w:pPr>
      <w:rPr>
        <w:rFonts w:ascii="Courier New" w:hAnsi="Courier New" w:cs="Courier New" w:hint="default"/>
      </w:rPr>
    </w:lvl>
    <w:lvl w:ilvl="8" w:tplc="36E20CA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0A05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D35C15"/>
    <w:multiLevelType w:val="hybridMultilevel"/>
    <w:tmpl w:val="A8A2E45C"/>
    <w:lvl w:ilvl="0" w:tplc="E56AD070">
      <w:start w:val="1"/>
      <w:numFmt w:val="decimal"/>
      <w:lvlText w:val="%1)"/>
      <w:lvlJc w:val="left"/>
      <w:pPr>
        <w:tabs>
          <w:tab w:val="num" w:pos="340"/>
        </w:tabs>
        <w:ind w:left="340" w:hanging="340"/>
      </w:pPr>
      <w:rPr>
        <w:rFonts w:hint="default"/>
      </w:rPr>
    </w:lvl>
    <w:lvl w:ilvl="1" w:tplc="DCAE95E6" w:tentative="1">
      <w:start w:val="1"/>
      <w:numFmt w:val="lowerLetter"/>
      <w:lvlText w:val="%2."/>
      <w:lvlJc w:val="left"/>
      <w:pPr>
        <w:tabs>
          <w:tab w:val="num" w:pos="1440"/>
        </w:tabs>
        <w:ind w:left="1440" w:hanging="360"/>
      </w:pPr>
    </w:lvl>
    <w:lvl w:ilvl="2" w:tplc="097A0B28" w:tentative="1">
      <w:start w:val="1"/>
      <w:numFmt w:val="lowerRoman"/>
      <w:lvlText w:val="%3."/>
      <w:lvlJc w:val="right"/>
      <w:pPr>
        <w:tabs>
          <w:tab w:val="num" w:pos="2160"/>
        </w:tabs>
        <w:ind w:left="2160" w:hanging="180"/>
      </w:pPr>
    </w:lvl>
    <w:lvl w:ilvl="3" w:tplc="7ED67D9E" w:tentative="1">
      <w:start w:val="1"/>
      <w:numFmt w:val="decimal"/>
      <w:lvlText w:val="%4."/>
      <w:lvlJc w:val="left"/>
      <w:pPr>
        <w:tabs>
          <w:tab w:val="num" w:pos="2880"/>
        </w:tabs>
        <w:ind w:left="2880" w:hanging="360"/>
      </w:pPr>
    </w:lvl>
    <w:lvl w:ilvl="4" w:tplc="B93EED5C" w:tentative="1">
      <w:start w:val="1"/>
      <w:numFmt w:val="lowerLetter"/>
      <w:lvlText w:val="%5."/>
      <w:lvlJc w:val="left"/>
      <w:pPr>
        <w:tabs>
          <w:tab w:val="num" w:pos="3600"/>
        </w:tabs>
        <w:ind w:left="3600" w:hanging="360"/>
      </w:pPr>
    </w:lvl>
    <w:lvl w:ilvl="5" w:tplc="9D40498A" w:tentative="1">
      <w:start w:val="1"/>
      <w:numFmt w:val="lowerRoman"/>
      <w:lvlText w:val="%6."/>
      <w:lvlJc w:val="right"/>
      <w:pPr>
        <w:tabs>
          <w:tab w:val="num" w:pos="4320"/>
        </w:tabs>
        <w:ind w:left="4320" w:hanging="180"/>
      </w:pPr>
    </w:lvl>
    <w:lvl w:ilvl="6" w:tplc="8320CED8" w:tentative="1">
      <w:start w:val="1"/>
      <w:numFmt w:val="decimal"/>
      <w:lvlText w:val="%7."/>
      <w:lvlJc w:val="left"/>
      <w:pPr>
        <w:tabs>
          <w:tab w:val="num" w:pos="5040"/>
        </w:tabs>
        <w:ind w:left="5040" w:hanging="360"/>
      </w:pPr>
    </w:lvl>
    <w:lvl w:ilvl="7" w:tplc="A9A0CCD4" w:tentative="1">
      <w:start w:val="1"/>
      <w:numFmt w:val="lowerLetter"/>
      <w:lvlText w:val="%8."/>
      <w:lvlJc w:val="left"/>
      <w:pPr>
        <w:tabs>
          <w:tab w:val="num" w:pos="5760"/>
        </w:tabs>
        <w:ind w:left="5760" w:hanging="360"/>
      </w:pPr>
    </w:lvl>
    <w:lvl w:ilvl="8" w:tplc="6234FC0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672220A8">
      <w:start w:val="1"/>
      <w:numFmt w:val="decimal"/>
      <w:lvlText w:val="%1."/>
      <w:lvlJc w:val="left"/>
      <w:pPr>
        <w:tabs>
          <w:tab w:val="num" w:pos="1057"/>
        </w:tabs>
        <w:ind w:left="1057" w:hanging="360"/>
      </w:pPr>
      <w:rPr>
        <w:rFonts w:hint="default"/>
      </w:rPr>
    </w:lvl>
    <w:lvl w:ilvl="1" w:tplc="32EAC88C" w:tentative="1">
      <w:start w:val="1"/>
      <w:numFmt w:val="lowerLetter"/>
      <w:lvlText w:val="%2."/>
      <w:lvlJc w:val="left"/>
      <w:pPr>
        <w:tabs>
          <w:tab w:val="num" w:pos="2137"/>
        </w:tabs>
        <w:ind w:left="2137" w:hanging="360"/>
      </w:pPr>
    </w:lvl>
    <w:lvl w:ilvl="2" w:tplc="2C1489DA" w:tentative="1">
      <w:start w:val="1"/>
      <w:numFmt w:val="lowerRoman"/>
      <w:lvlText w:val="%3."/>
      <w:lvlJc w:val="right"/>
      <w:pPr>
        <w:tabs>
          <w:tab w:val="num" w:pos="2857"/>
        </w:tabs>
        <w:ind w:left="2857" w:hanging="180"/>
      </w:pPr>
    </w:lvl>
    <w:lvl w:ilvl="3" w:tplc="FD38F928" w:tentative="1">
      <w:start w:val="1"/>
      <w:numFmt w:val="decimal"/>
      <w:lvlText w:val="%4."/>
      <w:lvlJc w:val="left"/>
      <w:pPr>
        <w:tabs>
          <w:tab w:val="num" w:pos="3577"/>
        </w:tabs>
        <w:ind w:left="3577" w:hanging="360"/>
      </w:pPr>
    </w:lvl>
    <w:lvl w:ilvl="4" w:tplc="297003C2" w:tentative="1">
      <w:start w:val="1"/>
      <w:numFmt w:val="lowerLetter"/>
      <w:lvlText w:val="%5."/>
      <w:lvlJc w:val="left"/>
      <w:pPr>
        <w:tabs>
          <w:tab w:val="num" w:pos="4297"/>
        </w:tabs>
        <w:ind w:left="4297" w:hanging="360"/>
      </w:pPr>
    </w:lvl>
    <w:lvl w:ilvl="5" w:tplc="6638F098" w:tentative="1">
      <w:start w:val="1"/>
      <w:numFmt w:val="lowerRoman"/>
      <w:lvlText w:val="%6."/>
      <w:lvlJc w:val="right"/>
      <w:pPr>
        <w:tabs>
          <w:tab w:val="num" w:pos="5017"/>
        </w:tabs>
        <w:ind w:left="5017" w:hanging="180"/>
      </w:pPr>
    </w:lvl>
    <w:lvl w:ilvl="6" w:tplc="B50296F4" w:tentative="1">
      <w:start w:val="1"/>
      <w:numFmt w:val="decimal"/>
      <w:lvlText w:val="%7."/>
      <w:lvlJc w:val="left"/>
      <w:pPr>
        <w:tabs>
          <w:tab w:val="num" w:pos="5737"/>
        </w:tabs>
        <w:ind w:left="5737" w:hanging="360"/>
      </w:pPr>
    </w:lvl>
    <w:lvl w:ilvl="7" w:tplc="8A487EF4" w:tentative="1">
      <w:start w:val="1"/>
      <w:numFmt w:val="lowerLetter"/>
      <w:lvlText w:val="%8."/>
      <w:lvlJc w:val="left"/>
      <w:pPr>
        <w:tabs>
          <w:tab w:val="num" w:pos="6457"/>
        </w:tabs>
        <w:ind w:left="6457" w:hanging="360"/>
      </w:pPr>
    </w:lvl>
    <w:lvl w:ilvl="8" w:tplc="CB82F7D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2CC4E228">
      <w:start w:val="1"/>
      <w:numFmt w:val="decimal"/>
      <w:pStyle w:val="ATSNumber1"/>
      <w:lvlText w:val="%1)"/>
      <w:lvlJc w:val="left"/>
      <w:pPr>
        <w:tabs>
          <w:tab w:val="num" w:pos="720"/>
        </w:tabs>
        <w:ind w:left="720" w:hanging="360"/>
      </w:pPr>
    </w:lvl>
    <w:lvl w:ilvl="1" w:tplc="C0B213A4" w:tentative="1">
      <w:start w:val="1"/>
      <w:numFmt w:val="lowerLetter"/>
      <w:lvlText w:val="%2."/>
      <w:lvlJc w:val="left"/>
      <w:pPr>
        <w:tabs>
          <w:tab w:val="num" w:pos="1440"/>
        </w:tabs>
        <w:ind w:left="1440" w:hanging="360"/>
      </w:pPr>
    </w:lvl>
    <w:lvl w:ilvl="2" w:tplc="F7063EDA" w:tentative="1">
      <w:start w:val="1"/>
      <w:numFmt w:val="lowerRoman"/>
      <w:lvlText w:val="%3."/>
      <w:lvlJc w:val="right"/>
      <w:pPr>
        <w:tabs>
          <w:tab w:val="num" w:pos="2160"/>
        </w:tabs>
        <w:ind w:left="2160" w:hanging="180"/>
      </w:pPr>
    </w:lvl>
    <w:lvl w:ilvl="3" w:tplc="91308000" w:tentative="1">
      <w:start w:val="1"/>
      <w:numFmt w:val="decimal"/>
      <w:lvlText w:val="%4."/>
      <w:lvlJc w:val="left"/>
      <w:pPr>
        <w:tabs>
          <w:tab w:val="num" w:pos="2880"/>
        </w:tabs>
        <w:ind w:left="2880" w:hanging="360"/>
      </w:pPr>
    </w:lvl>
    <w:lvl w:ilvl="4" w:tplc="0EFA09BA" w:tentative="1">
      <w:start w:val="1"/>
      <w:numFmt w:val="lowerLetter"/>
      <w:lvlText w:val="%5."/>
      <w:lvlJc w:val="left"/>
      <w:pPr>
        <w:tabs>
          <w:tab w:val="num" w:pos="3600"/>
        </w:tabs>
        <w:ind w:left="3600" w:hanging="360"/>
      </w:pPr>
    </w:lvl>
    <w:lvl w:ilvl="5" w:tplc="887ECD78" w:tentative="1">
      <w:start w:val="1"/>
      <w:numFmt w:val="lowerRoman"/>
      <w:lvlText w:val="%6."/>
      <w:lvlJc w:val="right"/>
      <w:pPr>
        <w:tabs>
          <w:tab w:val="num" w:pos="4320"/>
        </w:tabs>
        <w:ind w:left="4320" w:hanging="180"/>
      </w:pPr>
    </w:lvl>
    <w:lvl w:ilvl="6" w:tplc="03485D08" w:tentative="1">
      <w:start w:val="1"/>
      <w:numFmt w:val="decimal"/>
      <w:lvlText w:val="%7."/>
      <w:lvlJc w:val="left"/>
      <w:pPr>
        <w:tabs>
          <w:tab w:val="num" w:pos="5040"/>
        </w:tabs>
        <w:ind w:left="5040" w:hanging="360"/>
      </w:pPr>
    </w:lvl>
    <w:lvl w:ilvl="7" w:tplc="7D5EE94A" w:tentative="1">
      <w:start w:val="1"/>
      <w:numFmt w:val="lowerLetter"/>
      <w:lvlText w:val="%8."/>
      <w:lvlJc w:val="left"/>
      <w:pPr>
        <w:tabs>
          <w:tab w:val="num" w:pos="5760"/>
        </w:tabs>
        <w:ind w:left="5760" w:hanging="360"/>
      </w:pPr>
    </w:lvl>
    <w:lvl w:ilvl="8" w:tplc="54A8452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A08F6A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604FF98" w:tentative="1">
      <w:start w:val="1"/>
      <w:numFmt w:val="bullet"/>
      <w:lvlText w:val="o"/>
      <w:lvlJc w:val="left"/>
      <w:pPr>
        <w:tabs>
          <w:tab w:val="num" w:pos="2517"/>
        </w:tabs>
        <w:ind w:left="2517" w:hanging="360"/>
      </w:pPr>
      <w:rPr>
        <w:rFonts w:ascii="Courier New" w:hAnsi="Courier New" w:cs="Courier New" w:hint="default"/>
      </w:rPr>
    </w:lvl>
    <w:lvl w:ilvl="2" w:tplc="33DE3112" w:tentative="1">
      <w:start w:val="1"/>
      <w:numFmt w:val="bullet"/>
      <w:lvlText w:val=""/>
      <w:lvlJc w:val="left"/>
      <w:pPr>
        <w:tabs>
          <w:tab w:val="num" w:pos="3237"/>
        </w:tabs>
        <w:ind w:left="3237" w:hanging="360"/>
      </w:pPr>
      <w:rPr>
        <w:rFonts w:ascii="Wingdings" w:hAnsi="Wingdings" w:hint="default"/>
      </w:rPr>
    </w:lvl>
    <w:lvl w:ilvl="3" w:tplc="046058C6" w:tentative="1">
      <w:start w:val="1"/>
      <w:numFmt w:val="bullet"/>
      <w:lvlText w:val=""/>
      <w:lvlJc w:val="left"/>
      <w:pPr>
        <w:tabs>
          <w:tab w:val="num" w:pos="3957"/>
        </w:tabs>
        <w:ind w:left="3957" w:hanging="360"/>
      </w:pPr>
      <w:rPr>
        <w:rFonts w:ascii="Symbol" w:hAnsi="Symbol" w:hint="default"/>
      </w:rPr>
    </w:lvl>
    <w:lvl w:ilvl="4" w:tplc="FCB2E006" w:tentative="1">
      <w:start w:val="1"/>
      <w:numFmt w:val="bullet"/>
      <w:lvlText w:val="o"/>
      <w:lvlJc w:val="left"/>
      <w:pPr>
        <w:tabs>
          <w:tab w:val="num" w:pos="4677"/>
        </w:tabs>
        <w:ind w:left="4677" w:hanging="360"/>
      </w:pPr>
      <w:rPr>
        <w:rFonts w:ascii="Courier New" w:hAnsi="Courier New" w:cs="Courier New" w:hint="default"/>
      </w:rPr>
    </w:lvl>
    <w:lvl w:ilvl="5" w:tplc="05805418" w:tentative="1">
      <w:start w:val="1"/>
      <w:numFmt w:val="bullet"/>
      <w:lvlText w:val=""/>
      <w:lvlJc w:val="left"/>
      <w:pPr>
        <w:tabs>
          <w:tab w:val="num" w:pos="5397"/>
        </w:tabs>
        <w:ind w:left="5397" w:hanging="360"/>
      </w:pPr>
      <w:rPr>
        <w:rFonts w:ascii="Wingdings" w:hAnsi="Wingdings" w:hint="default"/>
      </w:rPr>
    </w:lvl>
    <w:lvl w:ilvl="6" w:tplc="A3046660" w:tentative="1">
      <w:start w:val="1"/>
      <w:numFmt w:val="bullet"/>
      <w:lvlText w:val=""/>
      <w:lvlJc w:val="left"/>
      <w:pPr>
        <w:tabs>
          <w:tab w:val="num" w:pos="6117"/>
        </w:tabs>
        <w:ind w:left="6117" w:hanging="360"/>
      </w:pPr>
      <w:rPr>
        <w:rFonts w:ascii="Symbol" w:hAnsi="Symbol" w:hint="default"/>
      </w:rPr>
    </w:lvl>
    <w:lvl w:ilvl="7" w:tplc="E6AA9BA6" w:tentative="1">
      <w:start w:val="1"/>
      <w:numFmt w:val="bullet"/>
      <w:lvlText w:val="o"/>
      <w:lvlJc w:val="left"/>
      <w:pPr>
        <w:tabs>
          <w:tab w:val="num" w:pos="6837"/>
        </w:tabs>
        <w:ind w:left="6837" w:hanging="360"/>
      </w:pPr>
      <w:rPr>
        <w:rFonts w:ascii="Courier New" w:hAnsi="Courier New" w:cs="Courier New" w:hint="default"/>
      </w:rPr>
    </w:lvl>
    <w:lvl w:ilvl="8" w:tplc="9A46F05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79A403EA">
      <w:start w:val="1"/>
      <w:numFmt w:val="decimal"/>
      <w:pStyle w:val="ATSNumber2"/>
      <w:lvlText w:val="%1."/>
      <w:lvlJc w:val="left"/>
      <w:pPr>
        <w:tabs>
          <w:tab w:val="num" w:pos="720"/>
        </w:tabs>
        <w:ind w:left="720" w:hanging="360"/>
      </w:pPr>
      <w:rPr>
        <w:rFonts w:hint="default"/>
      </w:rPr>
    </w:lvl>
    <w:lvl w:ilvl="1" w:tplc="AB0C76BC" w:tentative="1">
      <w:start w:val="1"/>
      <w:numFmt w:val="lowerLetter"/>
      <w:lvlText w:val="%2."/>
      <w:lvlJc w:val="left"/>
      <w:pPr>
        <w:tabs>
          <w:tab w:val="num" w:pos="1440"/>
        </w:tabs>
        <w:ind w:left="1440" w:hanging="360"/>
      </w:pPr>
    </w:lvl>
    <w:lvl w:ilvl="2" w:tplc="77741E10" w:tentative="1">
      <w:start w:val="1"/>
      <w:numFmt w:val="lowerRoman"/>
      <w:lvlText w:val="%3."/>
      <w:lvlJc w:val="right"/>
      <w:pPr>
        <w:tabs>
          <w:tab w:val="num" w:pos="2160"/>
        </w:tabs>
        <w:ind w:left="2160" w:hanging="180"/>
      </w:pPr>
    </w:lvl>
    <w:lvl w:ilvl="3" w:tplc="C2688D38" w:tentative="1">
      <w:start w:val="1"/>
      <w:numFmt w:val="decimal"/>
      <w:lvlText w:val="%4."/>
      <w:lvlJc w:val="left"/>
      <w:pPr>
        <w:tabs>
          <w:tab w:val="num" w:pos="2880"/>
        </w:tabs>
        <w:ind w:left="2880" w:hanging="360"/>
      </w:pPr>
    </w:lvl>
    <w:lvl w:ilvl="4" w:tplc="069866B2" w:tentative="1">
      <w:start w:val="1"/>
      <w:numFmt w:val="lowerLetter"/>
      <w:lvlText w:val="%5."/>
      <w:lvlJc w:val="left"/>
      <w:pPr>
        <w:tabs>
          <w:tab w:val="num" w:pos="3600"/>
        </w:tabs>
        <w:ind w:left="3600" w:hanging="360"/>
      </w:pPr>
    </w:lvl>
    <w:lvl w:ilvl="5" w:tplc="256055EC" w:tentative="1">
      <w:start w:val="1"/>
      <w:numFmt w:val="lowerRoman"/>
      <w:lvlText w:val="%6."/>
      <w:lvlJc w:val="right"/>
      <w:pPr>
        <w:tabs>
          <w:tab w:val="num" w:pos="4320"/>
        </w:tabs>
        <w:ind w:left="4320" w:hanging="180"/>
      </w:pPr>
    </w:lvl>
    <w:lvl w:ilvl="6" w:tplc="92E4BA6C" w:tentative="1">
      <w:start w:val="1"/>
      <w:numFmt w:val="decimal"/>
      <w:lvlText w:val="%7."/>
      <w:lvlJc w:val="left"/>
      <w:pPr>
        <w:tabs>
          <w:tab w:val="num" w:pos="5040"/>
        </w:tabs>
        <w:ind w:left="5040" w:hanging="360"/>
      </w:pPr>
    </w:lvl>
    <w:lvl w:ilvl="7" w:tplc="478C4CFA" w:tentative="1">
      <w:start w:val="1"/>
      <w:numFmt w:val="lowerLetter"/>
      <w:lvlText w:val="%8."/>
      <w:lvlJc w:val="left"/>
      <w:pPr>
        <w:tabs>
          <w:tab w:val="num" w:pos="5760"/>
        </w:tabs>
        <w:ind w:left="5760" w:hanging="360"/>
      </w:pPr>
    </w:lvl>
    <w:lvl w:ilvl="8" w:tplc="8BC48A4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3"/>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25"/>
    <w:rsid w:val="00A046CC"/>
    <w:rsid w:val="00BD40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CF87F"/>
  <w15:chartTrackingRefBased/>
  <w15:docId w15:val="{AFC31B5E-3AFF-4E83-8953-8C2D9155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Descripcin">
    <w:name w:val="caption"/>
    <w:basedOn w:val="Textoindependiente"/>
    <w:next w:val="Textoindependiente"/>
    <w:qFormat/>
    <w:rsid w:val="00A046CC"/>
    <w:pPr>
      <w:keepNext/>
      <w:keepLines/>
      <w:pBdr>
        <w:bottom w:val="single" w:sz="4" w:space="1" w:color="auto"/>
      </w:pBdr>
      <w:tabs>
        <w:tab w:val="left" w:pos="1701"/>
      </w:tabs>
      <w:spacing w:before="240"/>
      <w:ind w:left="1701" w:hanging="1701"/>
      <w:jc w:val="both"/>
    </w:pPr>
    <w:rPr>
      <w:rFonts w:ascii="Calibri" w:eastAsia="MS Mincho" w:hAnsi="Calibri"/>
      <w:bCs/>
      <w:szCs w:val="22"/>
      <w:lang w:val="en-AU" w:eastAsia="en-AU"/>
    </w:rPr>
  </w:style>
  <w:style w:type="table" w:customStyle="1" w:styleId="UBATabellemitKopf">
    <w:name w:val="UBA_Tabelle_mit_Kopf"/>
    <w:basedOn w:val="Tablanormal"/>
    <w:uiPriority w:val="99"/>
    <w:qFormat/>
    <w:rsid w:val="00A046CC"/>
    <w:rPr>
      <w:rFonts w:ascii="DemosEFOP-Medium" w:eastAsia="MS Mincho" w:hAnsi="DemosEFOP-Medium"/>
      <w:lang w:val="en-US" w:eastAsia="en-US"/>
    </w:rPr>
    <w:tblPr>
      <w:tblStyleRowBandSize w:val="1"/>
      <w:tblInd w:w="113" w:type="dxa"/>
      <w:tblBorders>
        <w:insideV w:val="single" w:sz="4" w:space="0" w:color="auto"/>
      </w:tblBorders>
      <w:tblCellMar>
        <w:top w:w="28" w:type="dxa"/>
        <w:bottom w:w="28" w:type="dxa"/>
      </w:tblCellMar>
    </w:tblPr>
    <w:tblStylePr w:type="firstRow">
      <w:tblPr/>
      <w:tcPr>
        <w:shd w:val="clear" w:color="auto" w:fill="4B4B4D"/>
      </w:tcPr>
    </w:tblStylePr>
    <w:tblStylePr w:type="band1Horz">
      <w:tblPr/>
      <w:tcPr>
        <w:shd w:val="clear" w:color="auto" w:fill="F2F2F2"/>
      </w:tcPr>
    </w:tblStylePr>
  </w:style>
  <w:style w:type="paragraph" w:customStyle="1" w:styleId="TabellentextKopfzeile">
    <w:name w:val="Tabellentext Kopfzeile"/>
    <w:basedOn w:val="Normal"/>
    <w:uiPriority w:val="1"/>
    <w:rsid w:val="00A046CC"/>
    <w:pPr>
      <w:keepLines/>
    </w:pPr>
    <w:rPr>
      <w:rFonts w:ascii="Calibri" w:eastAsia="MS Mincho" w:hAnsi="Calibri"/>
      <w:b/>
      <w:color w:val="FFFFFF"/>
      <w:lang w:val="de-DE" w:eastAsia="de-DE"/>
    </w:rPr>
  </w:style>
  <w:style w:type="paragraph" w:styleId="Textoindependiente">
    <w:name w:val="Body Text"/>
    <w:basedOn w:val="Normal"/>
    <w:link w:val="TextoindependienteCar"/>
    <w:rsid w:val="00A046CC"/>
    <w:pPr>
      <w:spacing w:after="120"/>
    </w:pPr>
  </w:style>
  <w:style w:type="character" w:customStyle="1" w:styleId="TextoindependienteCar">
    <w:name w:val="Texto independiente Car"/>
    <w:basedOn w:val="Fuentedeprrafopredeter"/>
    <w:link w:val="Textoindependiente"/>
    <w:rsid w:val="00A046CC"/>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if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schaffeld.shinyapps.io/UBA_mask" TargetMode="External"/><Relationship Id="rId17" Type="http://schemas.openxmlformats.org/officeDocument/2006/relationships/hyperlink" Target="https://www.umweltbundesamt.de/publikationen/assessment-of-communication-masking-in-antarctic" TargetMode="External"/><Relationship Id="rId2" Type="http://schemas.openxmlformats.org/officeDocument/2006/relationships/numbering" Target="numbering.xml"/><Relationship Id="rId16" Type="http://schemas.openxmlformats.org/officeDocument/2006/relationships/hyperlink" Target="https://doi.org/10.1007/978-1-4939-2981-8_15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mweltbundesamt.de/publikationen/assessment-of-communication-masking-in-antarctic" TargetMode="External"/><Relationship Id="rId5" Type="http://schemas.openxmlformats.org/officeDocument/2006/relationships/webSettings" Target="webSettings.xml"/><Relationship Id="rId15" Type="http://schemas.openxmlformats.org/officeDocument/2006/relationships/hyperlink" Target="https://scar.org/scar-library/reports-and-bulletins/scar-bulletins/5589-scar-bulletin-204/file/"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3389/fmars.2019.0064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2548</Words>
  <Characters>14702</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2021-06-14T17:58:00Z</dcterms:modified>
</cp:coreProperties>
</file>