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9FF72" w14:textId="77777777" w:rsidR="00C26F2D" w:rsidRPr="00BF077B" w:rsidRDefault="006A0CB6" w:rsidP="00BF077B">
      <w:pPr>
        <w:pStyle w:val="ATSNormal"/>
        <w:rPr>
          <w:rStyle w:val="Ttulodellibro"/>
        </w:rPr>
      </w:pPr>
    </w:p>
    <w:p w14:paraId="55098A76" w14:textId="77777777" w:rsidR="002F0A13" w:rsidRDefault="006A0CB6" w:rsidP="004B4A60">
      <w:pPr>
        <w:rPr>
          <w:b/>
          <w:u w:val="single"/>
          <w:lang w:val="es-ES_tradnl"/>
        </w:rPr>
      </w:pPr>
    </w:p>
    <w:p w14:paraId="6A11A6BC" w14:textId="77777777" w:rsidR="002F0A13" w:rsidRDefault="006A0CB6" w:rsidP="004B4A60">
      <w:pPr>
        <w:rPr>
          <w:b/>
          <w:u w:val="single"/>
          <w:lang w:val="es-ES_tradnl"/>
        </w:rPr>
      </w:pPr>
    </w:p>
    <w:p w14:paraId="42365A48" w14:textId="77777777" w:rsidR="002F0A13" w:rsidRDefault="006A0CB6" w:rsidP="004B4A60">
      <w:pPr>
        <w:rPr>
          <w:b/>
          <w:u w:val="single"/>
          <w:lang w:val="es-ES_tradnl"/>
        </w:rPr>
      </w:pPr>
    </w:p>
    <w:p w14:paraId="3A3249C8" w14:textId="77777777" w:rsidR="002F0A13" w:rsidRDefault="006A0CB6" w:rsidP="004B4A60">
      <w:pPr>
        <w:rPr>
          <w:b/>
          <w:u w:val="single"/>
          <w:lang w:val="es-ES_tradnl"/>
        </w:rPr>
      </w:pPr>
    </w:p>
    <w:p w14:paraId="36455E64" w14:textId="77777777" w:rsidR="00C26F2D" w:rsidRDefault="006A0CB6" w:rsidP="004B4A60">
      <w:pPr>
        <w:rPr>
          <w:b/>
          <w:u w:val="single"/>
          <w:lang w:val="es-ES_tradnl"/>
        </w:rPr>
      </w:pPr>
    </w:p>
    <w:p w14:paraId="1E42E8EA" w14:textId="77777777" w:rsidR="004B4A60" w:rsidRPr="0057246E" w:rsidRDefault="006A0CB6" w:rsidP="001B789F">
      <w:pPr>
        <w:pStyle w:val="ATSTitle"/>
      </w:pPr>
      <w:bookmarkStart w:id="0" w:name="name"/>
      <w:r>
        <w:t>Important Bird Areas and Antarctic Specially Protected Areas: Toward the development of selection criteria</w:t>
      </w:r>
    </w:p>
    <w:bookmarkEnd w:id="0"/>
    <w:p w14:paraId="07EE1089" w14:textId="77777777" w:rsidR="00691FED" w:rsidRDefault="00691FED" w:rsidP="001B789F">
      <w:pPr>
        <w:pStyle w:val="ATSTitle"/>
      </w:pPr>
    </w:p>
    <w:p w14:paraId="52FCFBBC" w14:textId="77777777" w:rsidR="004B4A60" w:rsidRPr="0057246E" w:rsidRDefault="006A0CB6" w:rsidP="00F75424">
      <w:pPr>
        <w:jc w:val="center"/>
      </w:pPr>
    </w:p>
    <w:p w14:paraId="4E523C54" w14:textId="77777777" w:rsidR="004B4A60" w:rsidRPr="002F0A13" w:rsidRDefault="006A0CB6" w:rsidP="002F0A13"/>
    <w:p w14:paraId="43E144F9" w14:textId="77777777" w:rsidR="004B4A60" w:rsidRDefault="006A0CB6" w:rsidP="00F75424">
      <w:pPr>
        <w:jc w:val="center"/>
      </w:pPr>
      <w:bookmarkStart w:id="1" w:name="memo"/>
      <w:bookmarkEnd w:id="1"/>
    </w:p>
    <w:p w14:paraId="341FD1DC" w14:textId="77777777" w:rsidR="0097629D" w:rsidRDefault="006A0CB6" w:rsidP="00F75424">
      <w:pPr>
        <w:jc w:val="center"/>
      </w:pPr>
    </w:p>
    <w:p w14:paraId="43C2B0C0" w14:textId="77777777" w:rsidR="0097629D" w:rsidRDefault="006A0CB6" w:rsidP="00F75424">
      <w:pPr>
        <w:jc w:val="center"/>
      </w:pPr>
    </w:p>
    <w:p w14:paraId="1F0388B3" w14:textId="77777777" w:rsidR="0097629D" w:rsidRDefault="006A0CB6" w:rsidP="00F75424">
      <w:pPr>
        <w:jc w:val="center"/>
      </w:pPr>
    </w:p>
    <w:p w14:paraId="659FF16C" w14:textId="77777777" w:rsidR="0097629D" w:rsidRPr="00C26F2D" w:rsidRDefault="006A0CB6" w:rsidP="00F75424">
      <w:pPr>
        <w:jc w:val="center"/>
      </w:pPr>
    </w:p>
    <w:p w14:paraId="43FDB77E" w14:textId="77777777" w:rsidR="004B4A60" w:rsidRPr="0057246E" w:rsidRDefault="006A0CB6" w:rsidP="004B4A60"/>
    <w:p w14:paraId="77752EE4" w14:textId="77777777" w:rsidR="00C26F2D" w:rsidRDefault="006A0CB6"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594E407" w14:textId="6EC47C4C" w:rsidR="004B4A60" w:rsidRDefault="006A0CB6" w:rsidP="00952E9F"/>
    <w:p w14:paraId="670416D1" w14:textId="77777777" w:rsidR="006A0CB6" w:rsidRDefault="006A0CB6" w:rsidP="006A0CB6">
      <w:pPr>
        <w:pStyle w:val="ATSHeading1"/>
      </w:pPr>
      <w:r>
        <w:t>Important Bird Areas and Antarctic Specially Protected Areas.  Towards the development of selection criteria</w:t>
      </w:r>
    </w:p>
    <w:p w14:paraId="22EC2F3D" w14:textId="77777777" w:rsidR="006A0CB6" w:rsidRDefault="006A0CB6" w:rsidP="006A0CB6">
      <w:pPr>
        <w:pStyle w:val="ATSHeading2"/>
        <w:jc w:val="center"/>
      </w:pPr>
      <w:r>
        <w:t>Submitted by Australia, Germany, New Zealand, Norway, Spain, United Kingdom, United States</w:t>
      </w:r>
    </w:p>
    <w:p w14:paraId="59DCEC6F" w14:textId="77777777" w:rsidR="006A0CB6" w:rsidRDefault="006A0CB6" w:rsidP="006A0CB6"/>
    <w:p w14:paraId="0B673DC9" w14:textId="77777777" w:rsidR="006A0CB6" w:rsidRDefault="006A0CB6" w:rsidP="006A0CB6">
      <w:pPr>
        <w:pStyle w:val="ATSHeading2"/>
      </w:pPr>
      <w:r>
        <w:t>Summary</w:t>
      </w:r>
    </w:p>
    <w:p w14:paraId="12BA0B3C" w14:textId="7BC4496F" w:rsidR="006A0CB6" w:rsidRDefault="006A0CB6" w:rsidP="006A0CB6">
      <w:pPr>
        <w:pStyle w:val="ATSNormal"/>
      </w:pPr>
      <w:r>
        <w:t xml:space="preserve">This Information Paper supplements Working Paper </w:t>
      </w:r>
      <w:r>
        <w:t>43</w:t>
      </w:r>
      <w:r>
        <w:t xml:space="preserve"> by setting out draft criteria </w:t>
      </w:r>
      <w:r w:rsidRPr="009E5EC5">
        <w:rPr>
          <w:szCs w:val="22"/>
        </w:rPr>
        <w:t>that might be applied to identified I</w:t>
      </w:r>
      <w:r>
        <w:rPr>
          <w:szCs w:val="22"/>
        </w:rPr>
        <w:t xml:space="preserve">mportant </w:t>
      </w:r>
      <w:r w:rsidRPr="009E5EC5">
        <w:rPr>
          <w:szCs w:val="22"/>
        </w:rPr>
        <w:t>B</w:t>
      </w:r>
      <w:r>
        <w:rPr>
          <w:szCs w:val="22"/>
        </w:rPr>
        <w:t xml:space="preserve">ird </w:t>
      </w:r>
      <w:r w:rsidRPr="009E5EC5">
        <w:rPr>
          <w:szCs w:val="22"/>
        </w:rPr>
        <w:t>A</w:t>
      </w:r>
      <w:r>
        <w:rPr>
          <w:szCs w:val="22"/>
        </w:rPr>
        <w:t>rea</w:t>
      </w:r>
      <w:r w:rsidRPr="009E5EC5">
        <w:rPr>
          <w:szCs w:val="22"/>
        </w:rPr>
        <w:t>s</w:t>
      </w:r>
      <w:r>
        <w:rPr>
          <w:szCs w:val="22"/>
        </w:rPr>
        <w:t xml:space="preserve"> (IBAs)</w:t>
      </w:r>
      <w:r w:rsidRPr="00020550">
        <w:rPr>
          <w:szCs w:val="22"/>
        </w:rPr>
        <w:t xml:space="preserve"> </w:t>
      </w:r>
      <w:r w:rsidRPr="009E5EC5">
        <w:rPr>
          <w:szCs w:val="22"/>
        </w:rPr>
        <w:t>as well as to other bird colonies</w:t>
      </w:r>
      <w:r>
        <w:rPr>
          <w:szCs w:val="22"/>
        </w:rPr>
        <w:t xml:space="preserve"> or aggregations</w:t>
      </w:r>
      <w:r>
        <w:rPr>
          <w:rStyle w:val="Refdenotaalpie"/>
          <w:szCs w:val="22"/>
        </w:rPr>
        <w:footnoteReference w:id="1"/>
      </w:r>
      <w:r w:rsidRPr="009E5EC5">
        <w:rPr>
          <w:szCs w:val="22"/>
        </w:rPr>
        <w:t xml:space="preserve"> when considering ASPA designation.</w:t>
      </w:r>
      <w:r w:rsidRPr="001B79F8">
        <w:t xml:space="preserve"> </w:t>
      </w:r>
      <w:r>
        <w:t xml:space="preserve"> </w:t>
      </w:r>
    </w:p>
    <w:p w14:paraId="064DADA7" w14:textId="77777777" w:rsidR="006A0CB6" w:rsidRDefault="006A0CB6" w:rsidP="006A0CB6">
      <w:pPr>
        <w:pStyle w:val="ATSHeading2"/>
      </w:pPr>
      <w:r>
        <w:t>Draft criteria used to select IBAs or other bird areas for ASPA designation</w:t>
      </w:r>
    </w:p>
    <w:p w14:paraId="6D0BA3A0" w14:textId="77777777" w:rsidR="006A0CB6" w:rsidRPr="008E128D" w:rsidRDefault="006A0CB6" w:rsidP="006A0CB6">
      <w:pPr>
        <w:pStyle w:val="ATSNormal"/>
      </w:pPr>
      <w:r w:rsidRPr="008E128D">
        <w:t>A review of spatial protection criteria for breeding colonies of seabirds used in other parts of the globe, was undertaken to inform the development of the draft criteria. A summary of these non-Antarctic criteria are provided in Appendix 1.</w:t>
      </w:r>
    </w:p>
    <w:p w14:paraId="729127A9" w14:textId="77777777" w:rsidR="006A0CB6" w:rsidRPr="008E128D" w:rsidRDefault="006A0CB6" w:rsidP="006A0CB6">
      <w:pPr>
        <w:pStyle w:val="ATSNormal"/>
      </w:pPr>
      <w:r w:rsidRPr="008E128D">
        <w:t>Having considered a range of issues, draft criteria, in the form of a decision-making process that could be applied to the current list of 204 Antarctic IBAs, as well as other bird breeding sites across Antarctica, are set out below with some examples.</w:t>
      </w:r>
    </w:p>
    <w:p w14:paraId="45AB6605" w14:textId="77777777" w:rsidR="006A0CB6" w:rsidRDefault="006A0CB6" w:rsidP="006A0CB6">
      <w:pPr>
        <w:pStyle w:val="ATSNormal"/>
      </w:pPr>
      <w:r w:rsidRPr="008E128D">
        <w:t>Some additional issues that were raised in the development of these criteria are recorded in Appendix 2.</w:t>
      </w:r>
    </w:p>
    <w:p w14:paraId="5B75AFBF" w14:textId="77777777" w:rsidR="006A0CB6" w:rsidRDefault="006A0CB6" w:rsidP="006A0CB6">
      <w:pPr>
        <w:pStyle w:val="ATSNormal"/>
      </w:pPr>
    </w:p>
    <w:p w14:paraId="4CE41BBC" w14:textId="77777777" w:rsidR="006A0CB6" w:rsidRPr="00583ADD" w:rsidRDefault="006A0CB6" w:rsidP="006A0CB6">
      <w:pPr>
        <w:pStyle w:val="ATSHeading3"/>
      </w:pPr>
      <w:r>
        <w:rPr>
          <w:rFonts w:cs="Cambria"/>
        </w:rPr>
        <w:t xml:space="preserve">Criterion </w:t>
      </w:r>
      <w:r w:rsidRPr="00AB1E93">
        <w:rPr>
          <w:rFonts w:cs="Cambria"/>
        </w:rPr>
        <w:t xml:space="preserve">A. </w:t>
      </w:r>
      <w:r>
        <w:rPr>
          <w:rFonts w:cs="Cambria"/>
        </w:rPr>
        <w:t>Percent</w:t>
      </w:r>
      <w:r w:rsidRPr="00583ADD">
        <w:t xml:space="preserve"> of global population present</w:t>
      </w:r>
    </w:p>
    <w:p w14:paraId="6608E3F8" w14:textId="77777777" w:rsidR="006A0CB6" w:rsidRDefault="006A0CB6" w:rsidP="006A0CB6">
      <w:pPr>
        <w:pStyle w:val="ATSNormal"/>
        <w:rPr>
          <w:lang w:val="en-US"/>
        </w:rPr>
      </w:pPr>
      <w:r>
        <w:t xml:space="preserve">BirdLife International’s IBA criteria are triggered when a site is known or thought to hold 1% or more of the global population on a regular basis. In order to further prioritise those sites which could be designated as ASPAs, a ‘percent of global population’ threshold could be applied. </w:t>
      </w:r>
      <w:r>
        <w:rPr>
          <w:lang w:val="en-US"/>
        </w:rPr>
        <w:t xml:space="preserve">Adjusting this percentage figure up or down will clearly decrease or increase the number of sites respectively that are ‘captured’ by the criterion.  </w:t>
      </w:r>
    </w:p>
    <w:p w14:paraId="7E1E97C7" w14:textId="77777777" w:rsidR="006A0CB6" w:rsidRDefault="006A0CB6" w:rsidP="006A0CB6">
      <w:pPr>
        <w:pStyle w:val="ATSNormal"/>
      </w:pPr>
      <w:r>
        <w:rPr>
          <w:lang w:val="en-US"/>
        </w:rPr>
        <w:t xml:space="preserve">5% is used here as an example and as a starting point for discussion. The outcome from applying a </w:t>
      </w:r>
      <w:r>
        <w:t>5% of the global population trigger are shown in T</w:t>
      </w:r>
      <w:r w:rsidRPr="001A7C7E">
        <w:t>able 1.</w:t>
      </w:r>
      <w:r>
        <w:t xml:space="preserve"> Of the 204 IBAs identified in Antarctica, 13 IBAs would meet this criterion, 5 of which are already designated as ASPAs (Table 1).</w:t>
      </w:r>
    </w:p>
    <w:p w14:paraId="76B1A2B4" w14:textId="77777777" w:rsidR="006A0CB6" w:rsidRPr="000E2785" w:rsidRDefault="006A0CB6" w:rsidP="006A0CB6">
      <w:pPr>
        <w:pStyle w:val="ATSNormal"/>
      </w:pPr>
    </w:p>
    <w:p w14:paraId="17BBC582" w14:textId="77777777" w:rsidR="006A0CB6" w:rsidRPr="00C6303D" w:rsidRDefault="006A0CB6" w:rsidP="006A0CB6">
      <w:pPr>
        <w:pStyle w:val="ATSHeading3"/>
      </w:pPr>
      <w:r>
        <w:rPr>
          <w:rFonts w:cs="Cambria"/>
        </w:rPr>
        <w:t xml:space="preserve">Criterion </w:t>
      </w:r>
      <w:r w:rsidRPr="00AB1E93">
        <w:rPr>
          <w:rFonts w:cs="Cambria"/>
        </w:rPr>
        <w:t xml:space="preserve">B. </w:t>
      </w:r>
      <w:r>
        <w:rPr>
          <w:rFonts w:cs="Cambria"/>
        </w:rPr>
        <w:t>Percent</w:t>
      </w:r>
      <w:r w:rsidRPr="00C6303D">
        <w:t xml:space="preserve"> of the Antarctic population present</w:t>
      </w:r>
    </w:p>
    <w:p w14:paraId="1994D848" w14:textId="77777777" w:rsidR="006A0CB6" w:rsidRDefault="006A0CB6" w:rsidP="006A0CB6">
      <w:pPr>
        <w:pStyle w:val="ATSNormal"/>
      </w:pPr>
      <w:r>
        <w:t xml:space="preserve">IBA criteria are triggered when a site is known or thought to hold 1% or more of a biogeographic population on a regular basis. </w:t>
      </w:r>
    </w:p>
    <w:p w14:paraId="7E3A03A4" w14:textId="77777777" w:rsidR="006A0CB6" w:rsidRDefault="006A0CB6" w:rsidP="006A0CB6">
      <w:pPr>
        <w:pStyle w:val="ATSNormal"/>
      </w:pPr>
      <w:r>
        <w:t xml:space="preserve">In order to further prioritise sites, a ‘percent of Antarctic population’ threshold could be applied. </w:t>
      </w:r>
      <w:r>
        <w:rPr>
          <w:lang w:val="en-US"/>
        </w:rPr>
        <w:t>As per criterion A, this figure could be adjusted up or down which would decrease or increase respectively the number of sites captured.</w:t>
      </w:r>
    </w:p>
    <w:p w14:paraId="12AAA158" w14:textId="77777777" w:rsidR="006A0CB6" w:rsidRDefault="006A0CB6" w:rsidP="006A0CB6">
      <w:pPr>
        <w:pStyle w:val="ATSNormal"/>
      </w:pPr>
      <w:r>
        <w:lastRenderedPageBreak/>
        <w:t xml:space="preserve">10% is used here as an example and as a starting point for discussion and the outcome from applying the 10% of the Antarctic population trigger is </w:t>
      </w:r>
      <w:r w:rsidRPr="001A7C7E">
        <w:t xml:space="preserve">provided in table 1 </w:t>
      </w:r>
      <w:r>
        <w:t>below</w:t>
      </w:r>
      <w:r w:rsidRPr="001A7C7E">
        <w:t>.</w:t>
      </w:r>
    </w:p>
    <w:p w14:paraId="36FC5CB3" w14:textId="77777777" w:rsidR="006A0CB6" w:rsidRDefault="006A0CB6" w:rsidP="006A0CB6">
      <w:pPr>
        <w:pStyle w:val="ATSNormal"/>
      </w:pPr>
      <w:r w:rsidRPr="001A7C7E">
        <w:t>Of the 204 IBAs identified in Antarctica,</w:t>
      </w:r>
      <w:r>
        <w:t xml:space="preserve"> 5 sites would meet this criterion. Two of these </w:t>
      </w:r>
      <w:r w:rsidRPr="001A7C7E">
        <w:t xml:space="preserve">sites </w:t>
      </w:r>
      <w:r>
        <w:t xml:space="preserve">are </w:t>
      </w:r>
      <w:r w:rsidRPr="001A7C7E">
        <w:t xml:space="preserve">already designated as ASPAs and </w:t>
      </w:r>
      <w:r>
        <w:t>2</w:t>
      </w:r>
      <w:r w:rsidRPr="001A7C7E">
        <w:t xml:space="preserve"> </w:t>
      </w:r>
      <w:r>
        <w:t xml:space="preserve">IBAs that are </w:t>
      </w:r>
      <w:r w:rsidRPr="001A7C7E">
        <w:t>not currently</w:t>
      </w:r>
      <w:r>
        <w:t xml:space="preserve"> designated would meet this criterion. A fifth site, Signy Island, also meets this criterion, but was already identified using criterion A above.</w:t>
      </w:r>
    </w:p>
    <w:p w14:paraId="0A7D0D8E" w14:textId="77777777" w:rsidR="006A0CB6" w:rsidRDefault="006A0CB6" w:rsidP="006A0CB6">
      <w:pPr>
        <w:pStyle w:val="ATSNormal"/>
      </w:pPr>
    </w:p>
    <w:p w14:paraId="7A7DC1D8" w14:textId="77777777" w:rsidR="006A0CB6" w:rsidRPr="001A7C7E" w:rsidRDefault="006A0CB6" w:rsidP="006A0CB6">
      <w:pPr>
        <w:pStyle w:val="ATSNormal"/>
      </w:pP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814"/>
        <w:gridCol w:w="851"/>
        <w:gridCol w:w="850"/>
        <w:gridCol w:w="851"/>
        <w:gridCol w:w="992"/>
        <w:gridCol w:w="709"/>
        <w:gridCol w:w="709"/>
        <w:gridCol w:w="708"/>
      </w:tblGrid>
      <w:tr w:rsidR="006A0CB6" w:rsidRPr="001A7C7E" w14:paraId="5E8E5F6F" w14:textId="77777777" w:rsidTr="00A71824">
        <w:trPr>
          <w:cantSplit/>
          <w:trHeight w:val="350"/>
          <w:jc w:val="center"/>
        </w:trPr>
        <w:tc>
          <w:tcPr>
            <w:tcW w:w="2016" w:type="dxa"/>
            <w:noWrap/>
            <w:vAlign w:val="bottom"/>
          </w:tcPr>
          <w:p w14:paraId="458283B0"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4358" w:type="dxa"/>
            <w:gridSpan w:val="5"/>
            <w:shd w:val="clear" w:color="auto" w:fill="EAF1DD"/>
            <w:noWrap/>
            <w:vAlign w:val="center"/>
          </w:tcPr>
          <w:p w14:paraId="3B02D978" w14:textId="77777777" w:rsidR="006A0CB6" w:rsidRPr="001A7C7E" w:rsidRDefault="006A0CB6" w:rsidP="00A71824">
            <w:pPr>
              <w:keepNext/>
              <w:keepLines/>
              <w:widowControl w:val="0"/>
              <w:jc w:val="center"/>
              <w:rPr>
                <w:rFonts w:ascii="Calibri" w:hAnsi="Calibri" w:cs="Calibri"/>
                <w:color w:val="000000"/>
                <w:sz w:val="18"/>
                <w:szCs w:val="18"/>
                <w:lang w:eastAsia="en-NZ"/>
              </w:rPr>
            </w:pPr>
            <w:r w:rsidRPr="001A7C7E">
              <w:rPr>
                <w:rFonts w:ascii="Calibri" w:hAnsi="Calibri" w:cs="Calibri"/>
                <w:color w:val="000000"/>
                <w:sz w:val="18"/>
                <w:szCs w:val="18"/>
                <w:lang w:eastAsia="en-NZ"/>
              </w:rPr>
              <w:t xml:space="preserve">IBAs with 5% or more of </w:t>
            </w:r>
            <w:r w:rsidRPr="00C1664C">
              <w:rPr>
                <w:rFonts w:ascii="Calibri" w:hAnsi="Calibri" w:cs="Calibri"/>
                <w:b/>
                <w:bCs/>
                <w:color w:val="000000"/>
                <w:sz w:val="18"/>
                <w:szCs w:val="18"/>
                <w:u w:val="single"/>
                <w:lang w:eastAsia="en-NZ"/>
              </w:rPr>
              <w:t>global population</w:t>
            </w:r>
          </w:p>
        </w:tc>
        <w:tc>
          <w:tcPr>
            <w:tcW w:w="2126" w:type="dxa"/>
            <w:gridSpan w:val="3"/>
            <w:noWrap/>
            <w:vAlign w:val="center"/>
          </w:tcPr>
          <w:p w14:paraId="775DA4F6" w14:textId="77777777" w:rsidR="006A0CB6" w:rsidRPr="001A7C7E" w:rsidRDefault="006A0CB6" w:rsidP="00A71824">
            <w:pPr>
              <w:keepNext/>
              <w:keepLines/>
              <w:widowControl w:val="0"/>
              <w:jc w:val="center"/>
              <w:rPr>
                <w:rFonts w:ascii="Calibri" w:hAnsi="Calibri" w:cs="Calibri"/>
                <w:color w:val="000000"/>
                <w:sz w:val="18"/>
                <w:szCs w:val="18"/>
                <w:lang w:eastAsia="en-NZ"/>
              </w:rPr>
            </w:pPr>
            <w:r w:rsidRPr="001A7C7E">
              <w:rPr>
                <w:rFonts w:ascii="Calibri" w:hAnsi="Calibri" w:cs="Calibri"/>
                <w:color w:val="000000"/>
                <w:sz w:val="18"/>
                <w:szCs w:val="18"/>
                <w:lang w:eastAsia="en-NZ"/>
              </w:rPr>
              <w:t xml:space="preserve">IBAs with 10% or more of </w:t>
            </w:r>
            <w:r w:rsidRPr="00C1664C">
              <w:rPr>
                <w:rFonts w:ascii="Calibri" w:hAnsi="Calibri" w:cs="Calibri"/>
                <w:b/>
                <w:bCs/>
                <w:color w:val="000000"/>
                <w:sz w:val="18"/>
                <w:szCs w:val="18"/>
                <w:u w:val="single"/>
                <w:lang w:eastAsia="en-NZ"/>
              </w:rPr>
              <w:t>Antarctic population</w:t>
            </w:r>
          </w:p>
        </w:tc>
      </w:tr>
      <w:tr w:rsidR="006A0CB6" w:rsidRPr="001A7C7E" w14:paraId="2B25889A" w14:textId="77777777" w:rsidTr="00A71824">
        <w:trPr>
          <w:cantSplit/>
          <w:trHeight w:val="1134"/>
          <w:jc w:val="center"/>
        </w:trPr>
        <w:tc>
          <w:tcPr>
            <w:tcW w:w="2016" w:type="dxa"/>
            <w:noWrap/>
            <w:vAlign w:val="bottom"/>
            <w:hideMark/>
          </w:tcPr>
          <w:p w14:paraId="16F01F16" w14:textId="77777777" w:rsidR="006A0CB6" w:rsidRPr="00B32D15" w:rsidRDefault="006A0CB6" w:rsidP="00A71824">
            <w:pPr>
              <w:keepNext/>
              <w:keepLines/>
              <w:widowControl w:val="0"/>
              <w:jc w:val="center"/>
              <w:rPr>
                <w:b/>
                <w:bCs/>
                <w:sz w:val="20"/>
                <w:szCs w:val="20"/>
                <w:lang w:eastAsia="en-NZ"/>
              </w:rPr>
            </w:pPr>
            <w:r w:rsidRPr="00B32D15">
              <w:rPr>
                <w:b/>
                <w:bCs/>
                <w:sz w:val="20"/>
                <w:szCs w:val="20"/>
                <w:lang w:eastAsia="en-NZ"/>
              </w:rPr>
              <w:t>IBA location name</w:t>
            </w:r>
          </w:p>
        </w:tc>
        <w:tc>
          <w:tcPr>
            <w:tcW w:w="814" w:type="dxa"/>
            <w:shd w:val="clear" w:color="auto" w:fill="EAF1DD"/>
            <w:noWrap/>
            <w:textDirection w:val="btLr"/>
            <w:vAlign w:val="center"/>
            <w:hideMark/>
          </w:tcPr>
          <w:p w14:paraId="14E548D7" w14:textId="77777777" w:rsidR="006A0CB6" w:rsidRPr="001A7C7E" w:rsidRDefault="006A0CB6" w:rsidP="00A71824">
            <w:pPr>
              <w:keepNext/>
              <w:keepLines/>
              <w:widowControl w:val="0"/>
              <w:ind w:left="113" w:right="113"/>
              <w:jc w:val="center"/>
              <w:rPr>
                <w:rFonts w:ascii="Calibri" w:hAnsi="Calibri" w:cs="Calibri"/>
                <w:color w:val="000000"/>
                <w:sz w:val="18"/>
                <w:szCs w:val="18"/>
                <w:lang w:eastAsia="en-NZ"/>
              </w:rPr>
            </w:pPr>
            <w:r w:rsidRPr="001A7C7E">
              <w:rPr>
                <w:rFonts w:ascii="Calibri" w:hAnsi="Calibri" w:cs="Calibri"/>
                <w:color w:val="000000"/>
                <w:sz w:val="18"/>
                <w:szCs w:val="18"/>
                <w:lang w:eastAsia="en-NZ"/>
              </w:rPr>
              <w:t>Emperor</w:t>
            </w:r>
          </w:p>
        </w:tc>
        <w:tc>
          <w:tcPr>
            <w:tcW w:w="851" w:type="dxa"/>
            <w:shd w:val="clear" w:color="auto" w:fill="EAF1DD"/>
            <w:noWrap/>
            <w:textDirection w:val="btLr"/>
            <w:vAlign w:val="center"/>
            <w:hideMark/>
          </w:tcPr>
          <w:p w14:paraId="3B281C46" w14:textId="77777777" w:rsidR="006A0CB6" w:rsidRPr="001A7C7E" w:rsidRDefault="006A0CB6" w:rsidP="00A71824">
            <w:pPr>
              <w:keepNext/>
              <w:keepLines/>
              <w:widowControl w:val="0"/>
              <w:ind w:left="113" w:right="113"/>
              <w:jc w:val="center"/>
              <w:rPr>
                <w:rFonts w:ascii="Calibri" w:hAnsi="Calibri" w:cs="Calibri"/>
                <w:color w:val="000000"/>
                <w:sz w:val="18"/>
                <w:szCs w:val="18"/>
                <w:lang w:eastAsia="en-NZ"/>
              </w:rPr>
            </w:pPr>
            <w:r w:rsidRPr="001A7C7E">
              <w:rPr>
                <w:rFonts w:ascii="Calibri" w:hAnsi="Calibri" w:cs="Calibri"/>
                <w:color w:val="000000"/>
                <w:sz w:val="18"/>
                <w:szCs w:val="18"/>
                <w:lang w:eastAsia="en-NZ"/>
              </w:rPr>
              <w:t>Adelie</w:t>
            </w:r>
          </w:p>
        </w:tc>
        <w:tc>
          <w:tcPr>
            <w:tcW w:w="850" w:type="dxa"/>
            <w:shd w:val="clear" w:color="auto" w:fill="EAF1DD"/>
            <w:noWrap/>
            <w:textDirection w:val="btLr"/>
            <w:vAlign w:val="center"/>
            <w:hideMark/>
          </w:tcPr>
          <w:p w14:paraId="0CD17DCD" w14:textId="77777777" w:rsidR="006A0CB6" w:rsidRPr="001A7C7E" w:rsidRDefault="006A0CB6" w:rsidP="00A71824">
            <w:pPr>
              <w:keepNext/>
              <w:keepLines/>
              <w:widowControl w:val="0"/>
              <w:ind w:left="113" w:right="113"/>
              <w:jc w:val="center"/>
              <w:rPr>
                <w:rFonts w:ascii="Calibri" w:hAnsi="Calibri" w:cs="Calibri"/>
                <w:color w:val="000000"/>
                <w:sz w:val="18"/>
                <w:szCs w:val="18"/>
                <w:lang w:eastAsia="en-NZ"/>
              </w:rPr>
            </w:pPr>
            <w:r w:rsidRPr="001A7C7E">
              <w:rPr>
                <w:rFonts w:ascii="Calibri" w:hAnsi="Calibri" w:cs="Calibri"/>
                <w:color w:val="000000"/>
                <w:sz w:val="18"/>
                <w:szCs w:val="18"/>
                <w:lang w:eastAsia="en-NZ"/>
              </w:rPr>
              <w:t>Chinstrap</w:t>
            </w:r>
          </w:p>
        </w:tc>
        <w:tc>
          <w:tcPr>
            <w:tcW w:w="851" w:type="dxa"/>
            <w:shd w:val="clear" w:color="auto" w:fill="EAF1DD"/>
            <w:noWrap/>
            <w:textDirection w:val="btLr"/>
            <w:vAlign w:val="center"/>
            <w:hideMark/>
          </w:tcPr>
          <w:p w14:paraId="5BD3E92D" w14:textId="77777777" w:rsidR="006A0CB6" w:rsidRPr="001A7C7E" w:rsidRDefault="006A0CB6" w:rsidP="00A71824">
            <w:pPr>
              <w:keepNext/>
              <w:keepLines/>
              <w:widowControl w:val="0"/>
              <w:ind w:left="113" w:right="113"/>
              <w:jc w:val="center"/>
              <w:rPr>
                <w:rFonts w:ascii="Calibri" w:hAnsi="Calibri" w:cs="Calibri"/>
                <w:color w:val="000000"/>
                <w:sz w:val="18"/>
                <w:szCs w:val="18"/>
                <w:lang w:eastAsia="en-NZ"/>
              </w:rPr>
            </w:pPr>
            <w:r w:rsidRPr="001A7C7E">
              <w:rPr>
                <w:rFonts w:ascii="Calibri" w:hAnsi="Calibri" w:cs="Calibri"/>
                <w:color w:val="000000"/>
                <w:sz w:val="18"/>
                <w:szCs w:val="18"/>
                <w:lang w:eastAsia="en-NZ"/>
              </w:rPr>
              <w:t>Imperial shag</w:t>
            </w:r>
          </w:p>
        </w:tc>
        <w:tc>
          <w:tcPr>
            <w:tcW w:w="992" w:type="dxa"/>
            <w:shd w:val="clear" w:color="auto" w:fill="EAF1DD"/>
            <w:noWrap/>
            <w:textDirection w:val="btLr"/>
            <w:vAlign w:val="center"/>
            <w:hideMark/>
          </w:tcPr>
          <w:p w14:paraId="6BA55D07" w14:textId="77777777" w:rsidR="006A0CB6" w:rsidRPr="001A7C7E" w:rsidRDefault="006A0CB6" w:rsidP="00A71824">
            <w:pPr>
              <w:keepNext/>
              <w:keepLines/>
              <w:widowControl w:val="0"/>
              <w:ind w:left="113" w:right="113"/>
              <w:jc w:val="center"/>
              <w:rPr>
                <w:rFonts w:ascii="Calibri" w:hAnsi="Calibri" w:cs="Calibri"/>
                <w:color w:val="000000"/>
                <w:sz w:val="18"/>
                <w:szCs w:val="18"/>
                <w:lang w:eastAsia="en-NZ"/>
              </w:rPr>
            </w:pPr>
            <w:r w:rsidRPr="001A7C7E">
              <w:rPr>
                <w:rFonts w:ascii="Calibri" w:hAnsi="Calibri" w:cs="Calibri"/>
                <w:color w:val="000000"/>
                <w:sz w:val="18"/>
                <w:szCs w:val="18"/>
                <w:lang w:eastAsia="en-NZ"/>
              </w:rPr>
              <w:t>Sth polar skua</w:t>
            </w:r>
          </w:p>
        </w:tc>
        <w:tc>
          <w:tcPr>
            <w:tcW w:w="709" w:type="dxa"/>
            <w:textDirection w:val="btLr"/>
            <w:vAlign w:val="center"/>
          </w:tcPr>
          <w:p w14:paraId="41EED525" w14:textId="77777777" w:rsidR="006A0CB6" w:rsidRPr="001A7C7E" w:rsidRDefault="006A0CB6" w:rsidP="00A71824">
            <w:pPr>
              <w:keepNext/>
              <w:keepLines/>
              <w:widowControl w:val="0"/>
              <w:ind w:left="113" w:right="113"/>
              <w:jc w:val="center"/>
              <w:rPr>
                <w:rFonts w:ascii="Calibri" w:hAnsi="Calibri" w:cs="Calibri"/>
                <w:color w:val="000000"/>
                <w:sz w:val="18"/>
                <w:szCs w:val="18"/>
                <w:lang w:eastAsia="en-NZ"/>
              </w:rPr>
            </w:pPr>
            <w:r w:rsidRPr="001A7C7E">
              <w:rPr>
                <w:rFonts w:ascii="Calibri" w:hAnsi="Calibri" w:cs="Calibri"/>
                <w:color w:val="000000"/>
                <w:sz w:val="18"/>
                <w:szCs w:val="18"/>
                <w:lang w:eastAsia="en-NZ"/>
              </w:rPr>
              <w:t>Macaroni</w:t>
            </w:r>
          </w:p>
        </w:tc>
        <w:tc>
          <w:tcPr>
            <w:tcW w:w="709" w:type="dxa"/>
            <w:noWrap/>
            <w:textDirection w:val="btLr"/>
            <w:vAlign w:val="center"/>
            <w:hideMark/>
          </w:tcPr>
          <w:p w14:paraId="0273D32C" w14:textId="77777777" w:rsidR="006A0CB6" w:rsidRPr="001A7C7E" w:rsidRDefault="006A0CB6" w:rsidP="00A71824">
            <w:pPr>
              <w:keepNext/>
              <w:keepLines/>
              <w:widowControl w:val="0"/>
              <w:ind w:left="113" w:right="113"/>
              <w:jc w:val="center"/>
              <w:rPr>
                <w:rFonts w:ascii="Calibri" w:hAnsi="Calibri" w:cs="Calibri"/>
                <w:color w:val="000000"/>
                <w:sz w:val="18"/>
                <w:szCs w:val="18"/>
                <w:lang w:eastAsia="en-NZ"/>
              </w:rPr>
            </w:pPr>
            <w:r w:rsidRPr="001A7C7E">
              <w:rPr>
                <w:rFonts w:ascii="Calibri" w:hAnsi="Calibri" w:cs="Calibri"/>
                <w:color w:val="000000"/>
                <w:sz w:val="18"/>
                <w:szCs w:val="18"/>
                <w:lang w:eastAsia="en-NZ"/>
              </w:rPr>
              <w:t>Sthn giant petrel</w:t>
            </w:r>
          </w:p>
        </w:tc>
        <w:tc>
          <w:tcPr>
            <w:tcW w:w="708" w:type="dxa"/>
            <w:noWrap/>
            <w:textDirection w:val="btLr"/>
            <w:vAlign w:val="bottom"/>
            <w:hideMark/>
          </w:tcPr>
          <w:p w14:paraId="3078F396" w14:textId="77777777" w:rsidR="006A0CB6" w:rsidRPr="001A7C7E" w:rsidRDefault="006A0CB6" w:rsidP="00A71824">
            <w:pPr>
              <w:keepNext/>
              <w:keepLines/>
              <w:widowControl w:val="0"/>
              <w:ind w:left="113" w:right="113"/>
              <w:rPr>
                <w:rFonts w:ascii="Calibri" w:hAnsi="Calibri" w:cs="Calibri"/>
                <w:color w:val="000000"/>
                <w:sz w:val="18"/>
                <w:szCs w:val="18"/>
                <w:lang w:eastAsia="en-NZ"/>
              </w:rPr>
            </w:pPr>
            <w:r w:rsidRPr="001A7C7E">
              <w:rPr>
                <w:rFonts w:ascii="Calibri" w:hAnsi="Calibri" w:cs="Calibri"/>
                <w:color w:val="000000"/>
                <w:sz w:val="18"/>
                <w:szCs w:val="18"/>
                <w:lang w:eastAsia="en-NZ"/>
              </w:rPr>
              <w:t>Antarctic petrel</w:t>
            </w:r>
          </w:p>
        </w:tc>
      </w:tr>
      <w:tr w:rsidR="006A0CB6" w:rsidRPr="001A7C7E" w14:paraId="79922955" w14:textId="77777777" w:rsidTr="00A71824">
        <w:trPr>
          <w:trHeight w:val="295"/>
          <w:jc w:val="center"/>
        </w:trPr>
        <w:tc>
          <w:tcPr>
            <w:tcW w:w="2016" w:type="dxa"/>
            <w:noWrap/>
            <w:vAlign w:val="bottom"/>
            <w:hideMark/>
          </w:tcPr>
          <w:p w14:paraId="59F654E2"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Cape Wadsworth</w:t>
            </w:r>
          </w:p>
        </w:tc>
        <w:tc>
          <w:tcPr>
            <w:tcW w:w="814" w:type="dxa"/>
            <w:shd w:val="clear" w:color="auto" w:fill="EAF1DD"/>
            <w:noWrap/>
            <w:vAlign w:val="bottom"/>
            <w:hideMark/>
          </w:tcPr>
          <w:p w14:paraId="5A23533E"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9%</w:t>
            </w:r>
          </w:p>
        </w:tc>
        <w:tc>
          <w:tcPr>
            <w:tcW w:w="851" w:type="dxa"/>
            <w:shd w:val="clear" w:color="auto" w:fill="EAF1DD"/>
            <w:noWrap/>
            <w:vAlign w:val="bottom"/>
            <w:hideMark/>
          </w:tcPr>
          <w:p w14:paraId="183D5601"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850" w:type="dxa"/>
            <w:shd w:val="clear" w:color="auto" w:fill="EAF1DD"/>
            <w:noWrap/>
            <w:vAlign w:val="bottom"/>
            <w:hideMark/>
          </w:tcPr>
          <w:p w14:paraId="04192E19"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550A1E5E"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003BD937" w14:textId="77777777" w:rsidR="006A0CB6" w:rsidRPr="001A7C7E" w:rsidRDefault="006A0CB6" w:rsidP="00A71824">
            <w:pPr>
              <w:keepNext/>
              <w:keepLines/>
              <w:widowControl w:val="0"/>
              <w:rPr>
                <w:sz w:val="18"/>
                <w:szCs w:val="18"/>
                <w:lang w:eastAsia="en-NZ"/>
              </w:rPr>
            </w:pPr>
          </w:p>
        </w:tc>
        <w:tc>
          <w:tcPr>
            <w:tcW w:w="709" w:type="dxa"/>
          </w:tcPr>
          <w:p w14:paraId="1308B706"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noWrap/>
            <w:vAlign w:val="bottom"/>
          </w:tcPr>
          <w:p w14:paraId="506222D1"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8" w:type="dxa"/>
            <w:noWrap/>
            <w:vAlign w:val="bottom"/>
          </w:tcPr>
          <w:p w14:paraId="5FDE98A0"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r>
      <w:tr w:rsidR="006A0CB6" w:rsidRPr="001A7C7E" w14:paraId="08FD2AD1" w14:textId="77777777" w:rsidTr="00A71824">
        <w:trPr>
          <w:trHeight w:val="295"/>
          <w:jc w:val="center"/>
        </w:trPr>
        <w:tc>
          <w:tcPr>
            <w:tcW w:w="2016" w:type="dxa"/>
            <w:noWrap/>
            <w:vAlign w:val="bottom"/>
            <w:hideMark/>
          </w:tcPr>
          <w:p w14:paraId="7748A1B4"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Brunt Ice Shelf</w:t>
            </w:r>
          </w:p>
        </w:tc>
        <w:tc>
          <w:tcPr>
            <w:tcW w:w="814" w:type="dxa"/>
            <w:shd w:val="clear" w:color="auto" w:fill="EAF1DD"/>
            <w:noWrap/>
            <w:vAlign w:val="bottom"/>
            <w:hideMark/>
          </w:tcPr>
          <w:p w14:paraId="38707219"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8%</w:t>
            </w:r>
          </w:p>
        </w:tc>
        <w:tc>
          <w:tcPr>
            <w:tcW w:w="851" w:type="dxa"/>
            <w:shd w:val="clear" w:color="auto" w:fill="EAF1DD"/>
            <w:noWrap/>
            <w:vAlign w:val="bottom"/>
            <w:hideMark/>
          </w:tcPr>
          <w:p w14:paraId="4CD5FEBA"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850" w:type="dxa"/>
            <w:shd w:val="clear" w:color="auto" w:fill="EAF1DD"/>
            <w:noWrap/>
            <w:vAlign w:val="bottom"/>
            <w:hideMark/>
          </w:tcPr>
          <w:p w14:paraId="4899F0A6"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54B1EA4B"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48761EDB" w14:textId="77777777" w:rsidR="006A0CB6" w:rsidRPr="001A7C7E" w:rsidRDefault="006A0CB6" w:rsidP="00A71824">
            <w:pPr>
              <w:keepNext/>
              <w:keepLines/>
              <w:widowControl w:val="0"/>
              <w:rPr>
                <w:sz w:val="18"/>
                <w:szCs w:val="18"/>
                <w:lang w:eastAsia="en-NZ"/>
              </w:rPr>
            </w:pPr>
          </w:p>
        </w:tc>
        <w:tc>
          <w:tcPr>
            <w:tcW w:w="709" w:type="dxa"/>
          </w:tcPr>
          <w:p w14:paraId="768A88B4"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noWrap/>
            <w:vAlign w:val="bottom"/>
          </w:tcPr>
          <w:p w14:paraId="3BAB56BB"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8" w:type="dxa"/>
            <w:noWrap/>
            <w:vAlign w:val="bottom"/>
          </w:tcPr>
          <w:p w14:paraId="372B08CB"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r>
      <w:tr w:rsidR="006A0CB6" w:rsidRPr="001A7C7E" w14:paraId="16D1DF51" w14:textId="77777777" w:rsidTr="00A71824">
        <w:trPr>
          <w:trHeight w:val="295"/>
          <w:jc w:val="center"/>
        </w:trPr>
        <w:tc>
          <w:tcPr>
            <w:tcW w:w="2016" w:type="dxa"/>
            <w:shd w:val="clear" w:color="auto" w:fill="F79646"/>
            <w:noWrap/>
            <w:vAlign w:val="bottom"/>
            <w:hideMark/>
          </w:tcPr>
          <w:p w14:paraId="736049F2"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Cape Washington</w:t>
            </w:r>
          </w:p>
        </w:tc>
        <w:tc>
          <w:tcPr>
            <w:tcW w:w="814" w:type="dxa"/>
            <w:shd w:val="clear" w:color="auto" w:fill="EAF1DD"/>
            <w:noWrap/>
            <w:vAlign w:val="bottom"/>
            <w:hideMark/>
          </w:tcPr>
          <w:p w14:paraId="5001C7B1"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6%</w:t>
            </w:r>
          </w:p>
        </w:tc>
        <w:tc>
          <w:tcPr>
            <w:tcW w:w="851" w:type="dxa"/>
            <w:shd w:val="clear" w:color="auto" w:fill="EAF1DD"/>
            <w:noWrap/>
            <w:vAlign w:val="bottom"/>
            <w:hideMark/>
          </w:tcPr>
          <w:p w14:paraId="6F56B806"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850" w:type="dxa"/>
            <w:shd w:val="clear" w:color="auto" w:fill="EAF1DD"/>
            <w:noWrap/>
            <w:vAlign w:val="bottom"/>
            <w:hideMark/>
          </w:tcPr>
          <w:p w14:paraId="6CDEBF81"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3865A57C"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2E8A55FF" w14:textId="77777777" w:rsidR="006A0CB6" w:rsidRPr="001A7C7E" w:rsidRDefault="006A0CB6" w:rsidP="00A71824">
            <w:pPr>
              <w:keepNext/>
              <w:keepLines/>
              <w:widowControl w:val="0"/>
              <w:rPr>
                <w:sz w:val="18"/>
                <w:szCs w:val="18"/>
                <w:lang w:eastAsia="en-NZ"/>
              </w:rPr>
            </w:pPr>
          </w:p>
        </w:tc>
        <w:tc>
          <w:tcPr>
            <w:tcW w:w="709" w:type="dxa"/>
          </w:tcPr>
          <w:p w14:paraId="0C11EA36"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noWrap/>
            <w:vAlign w:val="bottom"/>
          </w:tcPr>
          <w:p w14:paraId="2652D38A"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8" w:type="dxa"/>
            <w:noWrap/>
            <w:vAlign w:val="bottom"/>
          </w:tcPr>
          <w:p w14:paraId="528A1845"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r>
      <w:tr w:rsidR="006A0CB6" w:rsidRPr="001A7C7E" w14:paraId="4949E31E" w14:textId="77777777" w:rsidTr="00A71824">
        <w:trPr>
          <w:trHeight w:val="295"/>
          <w:jc w:val="center"/>
        </w:trPr>
        <w:tc>
          <w:tcPr>
            <w:tcW w:w="2016" w:type="dxa"/>
            <w:shd w:val="clear" w:color="auto" w:fill="F79646"/>
            <w:noWrap/>
            <w:vAlign w:val="bottom"/>
            <w:hideMark/>
          </w:tcPr>
          <w:p w14:paraId="0C70EE83"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Cape Crozier</w:t>
            </w:r>
          </w:p>
        </w:tc>
        <w:tc>
          <w:tcPr>
            <w:tcW w:w="814" w:type="dxa"/>
            <w:shd w:val="clear" w:color="auto" w:fill="F2F2F2"/>
            <w:noWrap/>
            <w:vAlign w:val="bottom"/>
            <w:hideMark/>
          </w:tcPr>
          <w:p w14:paraId="637AC106"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F2F2F2"/>
            <w:noWrap/>
            <w:vAlign w:val="bottom"/>
            <w:hideMark/>
          </w:tcPr>
          <w:p w14:paraId="774BEE2D"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7%</w:t>
            </w:r>
          </w:p>
        </w:tc>
        <w:tc>
          <w:tcPr>
            <w:tcW w:w="850" w:type="dxa"/>
            <w:shd w:val="clear" w:color="auto" w:fill="F2F2F2"/>
            <w:noWrap/>
            <w:vAlign w:val="bottom"/>
            <w:hideMark/>
          </w:tcPr>
          <w:p w14:paraId="36FD1CE0"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851" w:type="dxa"/>
            <w:shd w:val="clear" w:color="auto" w:fill="F2F2F2"/>
            <w:noWrap/>
            <w:vAlign w:val="bottom"/>
            <w:hideMark/>
          </w:tcPr>
          <w:p w14:paraId="27497FD7" w14:textId="77777777" w:rsidR="006A0CB6" w:rsidRPr="001A7C7E" w:rsidRDefault="006A0CB6" w:rsidP="00A71824">
            <w:pPr>
              <w:keepNext/>
              <w:keepLines/>
              <w:widowControl w:val="0"/>
              <w:rPr>
                <w:sz w:val="18"/>
                <w:szCs w:val="18"/>
                <w:lang w:eastAsia="en-NZ"/>
              </w:rPr>
            </w:pPr>
          </w:p>
        </w:tc>
        <w:tc>
          <w:tcPr>
            <w:tcW w:w="992" w:type="dxa"/>
            <w:shd w:val="clear" w:color="auto" w:fill="F2F2F2"/>
            <w:noWrap/>
            <w:vAlign w:val="bottom"/>
            <w:hideMark/>
          </w:tcPr>
          <w:p w14:paraId="49BA1300"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16%</w:t>
            </w:r>
          </w:p>
        </w:tc>
        <w:tc>
          <w:tcPr>
            <w:tcW w:w="709" w:type="dxa"/>
          </w:tcPr>
          <w:p w14:paraId="0277D42D"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709" w:type="dxa"/>
            <w:noWrap/>
            <w:vAlign w:val="bottom"/>
          </w:tcPr>
          <w:p w14:paraId="4A136869"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708" w:type="dxa"/>
            <w:noWrap/>
            <w:vAlign w:val="bottom"/>
          </w:tcPr>
          <w:p w14:paraId="65996879" w14:textId="77777777" w:rsidR="006A0CB6" w:rsidRPr="001A7C7E" w:rsidRDefault="006A0CB6" w:rsidP="00A71824">
            <w:pPr>
              <w:keepNext/>
              <w:keepLines/>
              <w:widowControl w:val="0"/>
              <w:rPr>
                <w:rFonts w:ascii="Calibri" w:hAnsi="Calibri" w:cs="Calibri"/>
                <w:color w:val="000000"/>
                <w:sz w:val="18"/>
                <w:szCs w:val="18"/>
                <w:lang w:eastAsia="en-NZ"/>
              </w:rPr>
            </w:pPr>
          </w:p>
        </w:tc>
      </w:tr>
      <w:tr w:rsidR="006A0CB6" w:rsidRPr="001A7C7E" w14:paraId="0E6E1154" w14:textId="77777777" w:rsidTr="00A71824">
        <w:trPr>
          <w:trHeight w:val="295"/>
          <w:jc w:val="center"/>
        </w:trPr>
        <w:tc>
          <w:tcPr>
            <w:tcW w:w="2016" w:type="dxa"/>
            <w:noWrap/>
            <w:vAlign w:val="bottom"/>
            <w:hideMark/>
          </w:tcPr>
          <w:p w14:paraId="329AC4B9"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Cape Adare</w:t>
            </w:r>
          </w:p>
        </w:tc>
        <w:tc>
          <w:tcPr>
            <w:tcW w:w="814" w:type="dxa"/>
            <w:shd w:val="clear" w:color="auto" w:fill="EAF1DD"/>
            <w:noWrap/>
            <w:vAlign w:val="bottom"/>
            <w:hideMark/>
          </w:tcPr>
          <w:p w14:paraId="7679CA57"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39546357"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6%</w:t>
            </w:r>
          </w:p>
        </w:tc>
        <w:tc>
          <w:tcPr>
            <w:tcW w:w="850" w:type="dxa"/>
            <w:shd w:val="clear" w:color="auto" w:fill="EAF1DD"/>
            <w:noWrap/>
            <w:vAlign w:val="bottom"/>
            <w:hideMark/>
          </w:tcPr>
          <w:p w14:paraId="7573E4A2"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851" w:type="dxa"/>
            <w:shd w:val="clear" w:color="auto" w:fill="EAF1DD"/>
            <w:noWrap/>
            <w:vAlign w:val="bottom"/>
            <w:hideMark/>
          </w:tcPr>
          <w:p w14:paraId="7A17077F"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60877BA9" w14:textId="77777777" w:rsidR="006A0CB6" w:rsidRPr="001A7C7E" w:rsidRDefault="006A0CB6" w:rsidP="00A71824">
            <w:pPr>
              <w:keepNext/>
              <w:keepLines/>
              <w:widowControl w:val="0"/>
              <w:rPr>
                <w:sz w:val="18"/>
                <w:szCs w:val="18"/>
                <w:lang w:eastAsia="en-NZ"/>
              </w:rPr>
            </w:pPr>
          </w:p>
        </w:tc>
        <w:tc>
          <w:tcPr>
            <w:tcW w:w="709" w:type="dxa"/>
          </w:tcPr>
          <w:p w14:paraId="489FEB38"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noWrap/>
            <w:vAlign w:val="bottom"/>
          </w:tcPr>
          <w:p w14:paraId="3A0FA19B"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8" w:type="dxa"/>
            <w:noWrap/>
            <w:vAlign w:val="bottom"/>
          </w:tcPr>
          <w:p w14:paraId="04B77E1F"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r>
      <w:tr w:rsidR="006A0CB6" w:rsidRPr="001A7C7E" w14:paraId="329E3BEC" w14:textId="77777777" w:rsidTr="00A71824">
        <w:trPr>
          <w:trHeight w:val="295"/>
          <w:jc w:val="center"/>
        </w:trPr>
        <w:tc>
          <w:tcPr>
            <w:tcW w:w="2016" w:type="dxa"/>
            <w:noWrap/>
            <w:vAlign w:val="bottom"/>
            <w:hideMark/>
          </w:tcPr>
          <w:p w14:paraId="2F9B817C"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Cape Wallace</w:t>
            </w:r>
          </w:p>
        </w:tc>
        <w:tc>
          <w:tcPr>
            <w:tcW w:w="814" w:type="dxa"/>
            <w:shd w:val="clear" w:color="auto" w:fill="EAF1DD"/>
            <w:noWrap/>
            <w:vAlign w:val="bottom"/>
            <w:hideMark/>
          </w:tcPr>
          <w:p w14:paraId="7BC32DD6"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09C26900"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0242DB07"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7%</w:t>
            </w:r>
          </w:p>
        </w:tc>
        <w:tc>
          <w:tcPr>
            <w:tcW w:w="851" w:type="dxa"/>
            <w:shd w:val="clear" w:color="auto" w:fill="EAF1DD"/>
            <w:noWrap/>
            <w:vAlign w:val="bottom"/>
            <w:hideMark/>
          </w:tcPr>
          <w:p w14:paraId="59D94D98"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0082A6F4" w14:textId="77777777" w:rsidR="006A0CB6" w:rsidRPr="001A7C7E" w:rsidRDefault="006A0CB6" w:rsidP="00A71824">
            <w:pPr>
              <w:keepNext/>
              <w:keepLines/>
              <w:widowControl w:val="0"/>
              <w:rPr>
                <w:sz w:val="18"/>
                <w:szCs w:val="18"/>
                <w:lang w:eastAsia="en-NZ"/>
              </w:rPr>
            </w:pPr>
          </w:p>
        </w:tc>
        <w:tc>
          <w:tcPr>
            <w:tcW w:w="709" w:type="dxa"/>
          </w:tcPr>
          <w:p w14:paraId="2F4B83E2"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noWrap/>
            <w:vAlign w:val="bottom"/>
          </w:tcPr>
          <w:p w14:paraId="7F0F3324"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8" w:type="dxa"/>
            <w:noWrap/>
            <w:vAlign w:val="bottom"/>
          </w:tcPr>
          <w:p w14:paraId="0529E0B5"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r>
      <w:tr w:rsidR="006A0CB6" w:rsidRPr="001A7C7E" w14:paraId="7721B0D1" w14:textId="77777777" w:rsidTr="00A71824">
        <w:trPr>
          <w:trHeight w:val="295"/>
          <w:jc w:val="center"/>
        </w:trPr>
        <w:tc>
          <w:tcPr>
            <w:tcW w:w="2016" w:type="dxa"/>
            <w:noWrap/>
            <w:vAlign w:val="bottom"/>
            <w:hideMark/>
          </w:tcPr>
          <w:p w14:paraId="7B6DA11A"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Signy Island</w:t>
            </w:r>
          </w:p>
        </w:tc>
        <w:tc>
          <w:tcPr>
            <w:tcW w:w="814" w:type="dxa"/>
            <w:shd w:val="clear" w:color="auto" w:fill="EAF1DD"/>
            <w:noWrap/>
            <w:vAlign w:val="bottom"/>
            <w:hideMark/>
          </w:tcPr>
          <w:p w14:paraId="37CA5084"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677FAB59"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27DD558B"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712771A9"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7%</w:t>
            </w:r>
          </w:p>
        </w:tc>
        <w:tc>
          <w:tcPr>
            <w:tcW w:w="992" w:type="dxa"/>
            <w:shd w:val="clear" w:color="auto" w:fill="EAF1DD"/>
            <w:noWrap/>
            <w:vAlign w:val="bottom"/>
            <w:hideMark/>
          </w:tcPr>
          <w:p w14:paraId="11405B21"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tcPr>
          <w:p w14:paraId="6CF4C8D8"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noWrap/>
            <w:vAlign w:val="bottom"/>
          </w:tcPr>
          <w:p w14:paraId="05C9E7BB"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22%</w:t>
            </w:r>
          </w:p>
        </w:tc>
        <w:tc>
          <w:tcPr>
            <w:tcW w:w="708" w:type="dxa"/>
            <w:noWrap/>
            <w:vAlign w:val="bottom"/>
          </w:tcPr>
          <w:p w14:paraId="2DCB9BB8"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r>
      <w:tr w:rsidR="006A0CB6" w:rsidRPr="001A7C7E" w14:paraId="1D62989E" w14:textId="77777777" w:rsidTr="00A71824">
        <w:trPr>
          <w:trHeight w:val="295"/>
          <w:jc w:val="center"/>
        </w:trPr>
        <w:tc>
          <w:tcPr>
            <w:tcW w:w="2016" w:type="dxa"/>
            <w:shd w:val="clear" w:color="auto" w:fill="F79646"/>
            <w:noWrap/>
            <w:vAlign w:val="bottom"/>
            <w:hideMark/>
          </w:tcPr>
          <w:p w14:paraId="62892CFF"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Emperor Island, Dion Is</w:t>
            </w:r>
          </w:p>
        </w:tc>
        <w:tc>
          <w:tcPr>
            <w:tcW w:w="814" w:type="dxa"/>
            <w:shd w:val="clear" w:color="auto" w:fill="EAF1DD"/>
            <w:noWrap/>
            <w:vAlign w:val="bottom"/>
            <w:hideMark/>
          </w:tcPr>
          <w:p w14:paraId="43902234"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0B7D107E"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57EE5EF4"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6EBDA4C8"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5%</w:t>
            </w:r>
          </w:p>
        </w:tc>
        <w:tc>
          <w:tcPr>
            <w:tcW w:w="992" w:type="dxa"/>
            <w:shd w:val="clear" w:color="auto" w:fill="EAF1DD"/>
            <w:noWrap/>
            <w:vAlign w:val="bottom"/>
            <w:hideMark/>
          </w:tcPr>
          <w:p w14:paraId="7C678D4E"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tcPr>
          <w:p w14:paraId="2BA4E4E5"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noWrap/>
            <w:vAlign w:val="bottom"/>
          </w:tcPr>
          <w:p w14:paraId="6FEDECE5"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8" w:type="dxa"/>
            <w:noWrap/>
            <w:vAlign w:val="bottom"/>
          </w:tcPr>
          <w:p w14:paraId="15A606E1"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r>
      <w:tr w:rsidR="006A0CB6" w:rsidRPr="001A7C7E" w14:paraId="1ED23E16" w14:textId="77777777" w:rsidTr="00A71824">
        <w:trPr>
          <w:trHeight w:val="295"/>
          <w:jc w:val="center"/>
        </w:trPr>
        <w:tc>
          <w:tcPr>
            <w:tcW w:w="2016" w:type="dxa"/>
            <w:noWrap/>
            <w:vAlign w:val="bottom"/>
            <w:hideMark/>
          </w:tcPr>
          <w:p w14:paraId="6A85A5AF"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Cockburn Island</w:t>
            </w:r>
          </w:p>
        </w:tc>
        <w:tc>
          <w:tcPr>
            <w:tcW w:w="814" w:type="dxa"/>
            <w:shd w:val="clear" w:color="auto" w:fill="EAF1DD"/>
            <w:noWrap/>
            <w:vAlign w:val="bottom"/>
            <w:hideMark/>
          </w:tcPr>
          <w:p w14:paraId="243224EF"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32BFB00E"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7ED1CAA5"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515819AC"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5%</w:t>
            </w:r>
          </w:p>
        </w:tc>
        <w:tc>
          <w:tcPr>
            <w:tcW w:w="992" w:type="dxa"/>
            <w:shd w:val="clear" w:color="auto" w:fill="EAF1DD"/>
            <w:noWrap/>
            <w:vAlign w:val="bottom"/>
            <w:hideMark/>
          </w:tcPr>
          <w:p w14:paraId="3BDDAD88"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tcPr>
          <w:p w14:paraId="42571046"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noWrap/>
            <w:vAlign w:val="bottom"/>
          </w:tcPr>
          <w:p w14:paraId="21182D6A"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8" w:type="dxa"/>
            <w:noWrap/>
            <w:vAlign w:val="bottom"/>
          </w:tcPr>
          <w:p w14:paraId="37930922"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r>
      <w:tr w:rsidR="006A0CB6" w:rsidRPr="001A7C7E" w14:paraId="02C29D13" w14:textId="77777777" w:rsidTr="00A71824">
        <w:trPr>
          <w:trHeight w:val="295"/>
          <w:jc w:val="center"/>
        </w:trPr>
        <w:tc>
          <w:tcPr>
            <w:tcW w:w="2016" w:type="dxa"/>
            <w:shd w:val="clear" w:color="auto" w:fill="F79646"/>
            <w:noWrap/>
            <w:vAlign w:val="bottom"/>
            <w:hideMark/>
          </w:tcPr>
          <w:p w14:paraId="02A49894"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Avian Island</w:t>
            </w:r>
          </w:p>
        </w:tc>
        <w:tc>
          <w:tcPr>
            <w:tcW w:w="814" w:type="dxa"/>
            <w:shd w:val="clear" w:color="auto" w:fill="EAF1DD"/>
            <w:noWrap/>
            <w:vAlign w:val="bottom"/>
            <w:hideMark/>
          </w:tcPr>
          <w:p w14:paraId="7F7E1D49"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24366A37"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569591BA"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43046CEE"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1BD3B091"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12%</w:t>
            </w:r>
          </w:p>
        </w:tc>
        <w:tc>
          <w:tcPr>
            <w:tcW w:w="709" w:type="dxa"/>
          </w:tcPr>
          <w:p w14:paraId="232976CE"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709" w:type="dxa"/>
            <w:noWrap/>
            <w:vAlign w:val="bottom"/>
          </w:tcPr>
          <w:p w14:paraId="08BF854C"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708" w:type="dxa"/>
            <w:noWrap/>
            <w:vAlign w:val="bottom"/>
          </w:tcPr>
          <w:p w14:paraId="36695A86" w14:textId="77777777" w:rsidR="006A0CB6" w:rsidRPr="001A7C7E" w:rsidRDefault="006A0CB6" w:rsidP="00A71824">
            <w:pPr>
              <w:keepNext/>
              <w:keepLines/>
              <w:widowControl w:val="0"/>
              <w:rPr>
                <w:rFonts w:ascii="Calibri" w:hAnsi="Calibri" w:cs="Calibri"/>
                <w:color w:val="000000"/>
                <w:sz w:val="18"/>
                <w:szCs w:val="18"/>
                <w:lang w:eastAsia="en-NZ"/>
              </w:rPr>
            </w:pPr>
          </w:p>
        </w:tc>
      </w:tr>
      <w:tr w:rsidR="006A0CB6" w:rsidRPr="001A7C7E" w14:paraId="1DF861E8" w14:textId="77777777" w:rsidTr="00A71824">
        <w:trPr>
          <w:trHeight w:val="295"/>
          <w:jc w:val="center"/>
        </w:trPr>
        <w:tc>
          <w:tcPr>
            <w:tcW w:w="2016" w:type="dxa"/>
            <w:shd w:val="clear" w:color="auto" w:fill="F79646"/>
            <w:noWrap/>
            <w:vAlign w:val="bottom"/>
            <w:hideMark/>
          </w:tcPr>
          <w:p w14:paraId="7F10A5EF"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Cierva Pt and islands</w:t>
            </w:r>
          </w:p>
        </w:tc>
        <w:tc>
          <w:tcPr>
            <w:tcW w:w="814" w:type="dxa"/>
            <w:shd w:val="clear" w:color="auto" w:fill="EAF1DD"/>
            <w:noWrap/>
            <w:vAlign w:val="bottom"/>
            <w:hideMark/>
          </w:tcPr>
          <w:p w14:paraId="3CBABF55"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634AF3DF"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4D7AA39A"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74E332DE"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4B236C61"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6%</w:t>
            </w:r>
          </w:p>
        </w:tc>
        <w:tc>
          <w:tcPr>
            <w:tcW w:w="709" w:type="dxa"/>
          </w:tcPr>
          <w:p w14:paraId="29019749"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709" w:type="dxa"/>
            <w:noWrap/>
            <w:vAlign w:val="bottom"/>
          </w:tcPr>
          <w:p w14:paraId="3D15A163"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708" w:type="dxa"/>
            <w:noWrap/>
            <w:vAlign w:val="bottom"/>
          </w:tcPr>
          <w:p w14:paraId="01DD32F4" w14:textId="77777777" w:rsidR="006A0CB6" w:rsidRPr="001A7C7E" w:rsidRDefault="006A0CB6" w:rsidP="00A71824">
            <w:pPr>
              <w:keepNext/>
              <w:keepLines/>
              <w:widowControl w:val="0"/>
              <w:rPr>
                <w:rFonts w:ascii="Calibri" w:hAnsi="Calibri" w:cs="Calibri"/>
                <w:color w:val="000000"/>
                <w:sz w:val="18"/>
                <w:szCs w:val="18"/>
                <w:lang w:eastAsia="en-NZ"/>
              </w:rPr>
            </w:pPr>
          </w:p>
        </w:tc>
      </w:tr>
      <w:tr w:rsidR="006A0CB6" w:rsidRPr="001A7C7E" w14:paraId="0D94D714" w14:textId="77777777" w:rsidTr="00A71824">
        <w:trPr>
          <w:trHeight w:val="295"/>
          <w:jc w:val="center"/>
        </w:trPr>
        <w:tc>
          <w:tcPr>
            <w:tcW w:w="2016" w:type="dxa"/>
            <w:noWrap/>
            <w:vAlign w:val="bottom"/>
            <w:hideMark/>
          </w:tcPr>
          <w:p w14:paraId="5CD0BBA7"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Po</w:t>
            </w:r>
            <w:r>
              <w:rPr>
                <w:rFonts w:ascii="Calibri" w:hAnsi="Calibri" w:cs="Calibri"/>
                <w:color w:val="000000"/>
                <w:sz w:val="18"/>
                <w:szCs w:val="18"/>
                <w:lang w:eastAsia="en-NZ"/>
              </w:rPr>
              <w:t>s</w:t>
            </w:r>
            <w:r w:rsidRPr="001A7C7E">
              <w:rPr>
                <w:rFonts w:ascii="Calibri" w:hAnsi="Calibri" w:cs="Calibri"/>
                <w:color w:val="000000"/>
                <w:sz w:val="18"/>
                <w:szCs w:val="18"/>
                <w:lang w:eastAsia="en-NZ"/>
              </w:rPr>
              <w:t>session Is</w:t>
            </w:r>
          </w:p>
        </w:tc>
        <w:tc>
          <w:tcPr>
            <w:tcW w:w="814" w:type="dxa"/>
            <w:shd w:val="clear" w:color="auto" w:fill="EAF1DD"/>
            <w:noWrap/>
            <w:vAlign w:val="bottom"/>
            <w:hideMark/>
          </w:tcPr>
          <w:p w14:paraId="4EBBD341"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16A4396F"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353C227A"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5F038347"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24D01648"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6%</w:t>
            </w:r>
          </w:p>
        </w:tc>
        <w:tc>
          <w:tcPr>
            <w:tcW w:w="709" w:type="dxa"/>
          </w:tcPr>
          <w:p w14:paraId="5DF399AD"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709" w:type="dxa"/>
            <w:noWrap/>
            <w:vAlign w:val="bottom"/>
          </w:tcPr>
          <w:p w14:paraId="655B73A9"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708" w:type="dxa"/>
            <w:noWrap/>
            <w:vAlign w:val="bottom"/>
          </w:tcPr>
          <w:p w14:paraId="0071173B" w14:textId="77777777" w:rsidR="006A0CB6" w:rsidRPr="001A7C7E" w:rsidRDefault="006A0CB6" w:rsidP="00A71824">
            <w:pPr>
              <w:keepNext/>
              <w:keepLines/>
              <w:widowControl w:val="0"/>
              <w:rPr>
                <w:rFonts w:ascii="Calibri" w:hAnsi="Calibri" w:cs="Calibri"/>
                <w:color w:val="000000"/>
                <w:sz w:val="18"/>
                <w:szCs w:val="18"/>
                <w:lang w:eastAsia="en-NZ"/>
              </w:rPr>
            </w:pPr>
          </w:p>
        </w:tc>
      </w:tr>
      <w:tr w:rsidR="006A0CB6" w:rsidRPr="001A7C7E" w14:paraId="62BC5513" w14:textId="77777777" w:rsidTr="00A71824">
        <w:trPr>
          <w:trHeight w:val="295"/>
          <w:jc w:val="center"/>
        </w:trPr>
        <w:tc>
          <w:tcPr>
            <w:tcW w:w="2016" w:type="dxa"/>
            <w:noWrap/>
            <w:vAlign w:val="bottom"/>
            <w:hideMark/>
          </w:tcPr>
          <w:p w14:paraId="220BC6ED"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Foyn Is</w:t>
            </w:r>
          </w:p>
        </w:tc>
        <w:tc>
          <w:tcPr>
            <w:tcW w:w="814" w:type="dxa"/>
            <w:shd w:val="clear" w:color="auto" w:fill="EAF1DD"/>
            <w:noWrap/>
            <w:vAlign w:val="bottom"/>
            <w:hideMark/>
          </w:tcPr>
          <w:p w14:paraId="38DB3AF7"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4D71F527"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27D6AC0A"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7192D16C"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28791B9D"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5%</w:t>
            </w:r>
          </w:p>
        </w:tc>
        <w:tc>
          <w:tcPr>
            <w:tcW w:w="709" w:type="dxa"/>
          </w:tcPr>
          <w:p w14:paraId="492527C8"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709" w:type="dxa"/>
            <w:noWrap/>
            <w:vAlign w:val="bottom"/>
          </w:tcPr>
          <w:p w14:paraId="31740404"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708" w:type="dxa"/>
            <w:noWrap/>
            <w:vAlign w:val="bottom"/>
          </w:tcPr>
          <w:p w14:paraId="4ACAD78F" w14:textId="77777777" w:rsidR="006A0CB6" w:rsidRPr="001A7C7E" w:rsidRDefault="006A0CB6" w:rsidP="00A71824">
            <w:pPr>
              <w:keepNext/>
              <w:keepLines/>
              <w:widowControl w:val="0"/>
              <w:rPr>
                <w:rFonts w:ascii="Calibri" w:hAnsi="Calibri" w:cs="Calibri"/>
                <w:color w:val="000000"/>
                <w:sz w:val="18"/>
                <w:szCs w:val="18"/>
                <w:lang w:eastAsia="en-NZ"/>
              </w:rPr>
            </w:pPr>
          </w:p>
        </w:tc>
      </w:tr>
      <w:tr w:rsidR="006A0CB6" w:rsidRPr="001A7C7E" w14:paraId="6375A497" w14:textId="77777777" w:rsidTr="00A71824">
        <w:trPr>
          <w:trHeight w:val="295"/>
          <w:jc w:val="center"/>
        </w:trPr>
        <w:tc>
          <w:tcPr>
            <w:tcW w:w="2016" w:type="dxa"/>
            <w:noWrap/>
            <w:vAlign w:val="bottom"/>
            <w:hideMark/>
          </w:tcPr>
          <w:p w14:paraId="6E18A8B8"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Craggy Point</w:t>
            </w:r>
          </w:p>
        </w:tc>
        <w:tc>
          <w:tcPr>
            <w:tcW w:w="814" w:type="dxa"/>
            <w:shd w:val="clear" w:color="auto" w:fill="EAF1DD"/>
            <w:noWrap/>
            <w:vAlign w:val="bottom"/>
            <w:hideMark/>
          </w:tcPr>
          <w:p w14:paraId="430D8D7C"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79F9A496"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792C06D3"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290EC211"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992" w:type="dxa"/>
            <w:shd w:val="clear" w:color="auto" w:fill="EAF1DD"/>
            <w:noWrap/>
            <w:vAlign w:val="bottom"/>
            <w:hideMark/>
          </w:tcPr>
          <w:p w14:paraId="3637D1EE" w14:textId="77777777" w:rsidR="006A0CB6" w:rsidRPr="001A7C7E" w:rsidRDefault="006A0CB6" w:rsidP="00A71824">
            <w:pPr>
              <w:keepNext/>
              <w:keepLines/>
              <w:widowControl w:val="0"/>
              <w:rPr>
                <w:sz w:val="18"/>
                <w:szCs w:val="18"/>
                <w:lang w:eastAsia="en-NZ"/>
              </w:rPr>
            </w:pPr>
          </w:p>
        </w:tc>
        <w:tc>
          <w:tcPr>
            <w:tcW w:w="709" w:type="dxa"/>
          </w:tcPr>
          <w:p w14:paraId="167D6371"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50%</w:t>
            </w:r>
          </w:p>
        </w:tc>
        <w:tc>
          <w:tcPr>
            <w:tcW w:w="709" w:type="dxa"/>
            <w:noWrap/>
            <w:vAlign w:val="bottom"/>
          </w:tcPr>
          <w:p w14:paraId="635CA091"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8" w:type="dxa"/>
            <w:noWrap/>
            <w:vAlign w:val="bottom"/>
          </w:tcPr>
          <w:p w14:paraId="7388D58E"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r>
      <w:tr w:rsidR="006A0CB6" w:rsidRPr="001A7C7E" w14:paraId="07D57EFE" w14:textId="77777777" w:rsidTr="00A71824">
        <w:trPr>
          <w:trHeight w:val="295"/>
          <w:jc w:val="center"/>
        </w:trPr>
        <w:tc>
          <w:tcPr>
            <w:tcW w:w="2016" w:type="dxa"/>
            <w:shd w:val="clear" w:color="auto" w:fill="F79646"/>
            <w:noWrap/>
            <w:vAlign w:val="bottom"/>
            <w:hideMark/>
          </w:tcPr>
          <w:p w14:paraId="3338265F"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Scullin  / Murray Monoliths</w:t>
            </w:r>
          </w:p>
        </w:tc>
        <w:tc>
          <w:tcPr>
            <w:tcW w:w="814" w:type="dxa"/>
            <w:shd w:val="clear" w:color="auto" w:fill="EAF1DD"/>
            <w:noWrap/>
            <w:vAlign w:val="bottom"/>
            <w:hideMark/>
          </w:tcPr>
          <w:p w14:paraId="0C24EB79"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7F6A3614"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28A99527"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0CCBC4A0"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0042DE3C" w14:textId="77777777" w:rsidR="006A0CB6" w:rsidRPr="001A7C7E" w:rsidRDefault="006A0CB6" w:rsidP="00A71824">
            <w:pPr>
              <w:keepNext/>
              <w:keepLines/>
              <w:widowControl w:val="0"/>
              <w:rPr>
                <w:sz w:val="18"/>
                <w:szCs w:val="18"/>
                <w:lang w:eastAsia="en-NZ"/>
              </w:rPr>
            </w:pPr>
          </w:p>
        </w:tc>
        <w:tc>
          <w:tcPr>
            <w:tcW w:w="709" w:type="dxa"/>
          </w:tcPr>
          <w:p w14:paraId="20544870"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noWrap/>
            <w:vAlign w:val="bottom"/>
          </w:tcPr>
          <w:p w14:paraId="5C6BC3B5"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8" w:type="dxa"/>
            <w:noWrap/>
            <w:vAlign w:val="bottom"/>
          </w:tcPr>
          <w:p w14:paraId="2D3FE8DF"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36%</w:t>
            </w:r>
          </w:p>
        </w:tc>
      </w:tr>
      <w:tr w:rsidR="006A0CB6" w:rsidRPr="001A7C7E" w14:paraId="6B476BDA" w14:textId="77777777" w:rsidTr="00A71824">
        <w:trPr>
          <w:trHeight w:val="295"/>
          <w:jc w:val="center"/>
        </w:trPr>
        <w:tc>
          <w:tcPr>
            <w:tcW w:w="2016" w:type="dxa"/>
            <w:shd w:val="clear" w:color="auto" w:fill="F79646"/>
            <w:noWrap/>
            <w:vAlign w:val="bottom"/>
            <w:hideMark/>
          </w:tcPr>
          <w:p w14:paraId="247590CB"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Svarthamaren</w:t>
            </w:r>
          </w:p>
        </w:tc>
        <w:tc>
          <w:tcPr>
            <w:tcW w:w="814" w:type="dxa"/>
            <w:shd w:val="clear" w:color="auto" w:fill="EAF1DD"/>
            <w:noWrap/>
            <w:vAlign w:val="bottom"/>
            <w:hideMark/>
          </w:tcPr>
          <w:p w14:paraId="4D409044"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40EB5659"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1F5C5F6A"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35C51922"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65620CF5" w14:textId="77777777" w:rsidR="006A0CB6" w:rsidRPr="001A7C7E" w:rsidRDefault="006A0CB6" w:rsidP="00A71824">
            <w:pPr>
              <w:keepNext/>
              <w:keepLines/>
              <w:widowControl w:val="0"/>
              <w:rPr>
                <w:sz w:val="18"/>
                <w:szCs w:val="18"/>
                <w:lang w:eastAsia="en-NZ"/>
              </w:rPr>
            </w:pPr>
          </w:p>
        </w:tc>
        <w:tc>
          <w:tcPr>
            <w:tcW w:w="709" w:type="dxa"/>
          </w:tcPr>
          <w:p w14:paraId="7D980A83"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noWrap/>
            <w:vAlign w:val="bottom"/>
          </w:tcPr>
          <w:p w14:paraId="4CD838ED"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8" w:type="dxa"/>
            <w:noWrap/>
            <w:vAlign w:val="bottom"/>
          </w:tcPr>
          <w:p w14:paraId="1E0CC753"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33%</w:t>
            </w:r>
          </w:p>
        </w:tc>
      </w:tr>
      <w:tr w:rsidR="006A0CB6" w:rsidRPr="001A7C7E" w14:paraId="27E1C95A" w14:textId="77777777" w:rsidTr="00A71824">
        <w:trPr>
          <w:trHeight w:val="295"/>
          <w:jc w:val="center"/>
        </w:trPr>
        <w:tc>
          <w:tcPr>
            <w:tcW w:w="2016" w:type="dxa"/>
            <w:noWrap/>
            <w:vAlign w:val="bottom"/>
            <w:hideMark/>
          </w:tcPr>
          <w:p w14:paraId="2E018CF2" w14:textId="77777777" w:rsidR="006A0CB6" w:rsidRPr="001A7C7E" w:rsidRDefault="006A0CB6" w:rsidP="00A71824">
            <w:pPr>
              <w:keepNext/>
              <w:keepLines/>
              <w:widowControl w:val="0"/>
              <w:rPr>
                <w:rFonts w:ascii="Calibri" w:hAnsi="Calibri" w:cs="Calibri"/>
                <w:color w:val="000000"/>
                <w:sz w:val="18"/>
                <w:szCs w:val="18"/>
                <w:lang w:eastAsia="en-NZ"/>
              </w:rPr>
            </w:pPr>
            <w:r w:rsidRPr="001A7C7E">
              <w:rPr>
                <w:rFonts w:ascii="Calibri" w:hAnsi="Calibri" w:cs="Calibri"/>
                <w:color w:val="000000"/>
                <w:sz w:val="18"/>
                <w:szCs w:val="18"/>
                <w:lang w:eastAsia="en-NZ"/>
              </w:rPr>
              <w:t>Jutulsessen</w:t>
            </w:r>
          </w:p>
        </w:tc>
        <w:tc>
          <w:tcPr>
            <w:tcW w:w="814" w:type="dxa"/>
            <w:shd w:val="clear" w:color="auto" w:fill="EAF1DD"/>
            <w:noWrap/>
            <w:vAlign w:val="bottom"/>
            <w:hideMark/>
          </w:tcPr>
          <w:p w14:paraId="0C88F868" w14:textId="77777777" w:rsidR="006A0CB6" w:rsidRPr="001A7C7E" w:rsidRDefault="006A0CB6" w:rsidP="00A71824">
            <w:pPr>
              <w:keepNext/>
              <w:keepLines/>
              <w:widowControl w:val="0"/>
              <w:rPr>
                <w:rFonts w:ascii="Calibri" w:hAnsi="Calibri" w:cs="Calibri"/>
                <w:color w:val="000000"/>
                <w:sz w:val="18"/>
                <w:szCs w:val="18"/>
                <w:lang w:eastAsia="en-NZ"/>
              </w:rPr>
            </w:pPr>
          </w:p>
        </w:tc>
        <w:tc>
          <w:tcPr>
            <w:tcW w:w="851" w:type="dxa"/>
            <w:shd w:val="clear" w:color="auto" w:fill="EAF1DD"/>
            <w:noWrap/>
            <w:vAlign w:val="bottom"/>
            <w:hideMark/>
          </w:tcPr>
          <w:p w14:paraId="7DAE751C" w14:textId="77777777" w:rsidR="006A0CB6" w:rsidRPr="001A7C7E" w:rsidRDefault="006A0CB6" w:rsidP="00A71824">
            <w:pPr>
              <w:keepNext/>
              <w:keepLines/>
              <w:widowControl w:val="0"/>
              <w:rPr>
                <w:sz w:val="18"/>
                <w:szCs w:val="18"/>
                <w:lang w:eastAsia="en-NZ"/>
              </w:rPr>
            </w:pPr>
          </w:p>
        </w:tc>
        <w:tc>
          <w:tcPr>
            <w:tcW w:w="850" w:type="dxa"/>
            <w:shd w:val="clear" w:color="auto" w:fill="EAF1DD"/>
            <w:noWrap/>
            <w:vAlign w:val="bottom"/>
            <w:hideMark/>
          </w:tcPr>
          <w:p w14:paraId="28CFB061" w14:textId="77777777" w:rsidR="006A0CB6" w:rsidRPr="001A7C7E" w:rsidRDefault="006A0CB6" w:rsidP="00A71824">
            <w:pPr>
              <w:keepNext/>
              <w:keepLines/>
              <w:widowControl w:val="0"/>
              <w:rPr>
                <w:sz w:val="18"/>
                <w:szCs w:val="18"/>
                <w:lang w:eastAsia="en-NZ"/>
              </w:rPr>
            </w:pPr>
          </w:p>
        </w:tc>
        <w:tc>
          <w:tcPr>
            <w:tcW w:w="851" w:type="dxa"/>
            <w:shd w:val="clear" w:color="auto" w:fill="EAF1DD"/>
            <w:noWrap/>
            <w:vAlign w:val="bottom"/>
            <w:hideMark/>
          </w:tcPr>
          <w:p w14:paraId="42AE40CC" w14:textId="77777777" w:rsidR="006A0CB6" w:rsidRPr="001A7C7E" w:rsidRDefault="006A0CB6" w:rsidP="00A71824">
            <w:pPr>
              <w:keepNext/>
              <w:keepLines/>
              <w:widowControl w:val="0"/>
              <w:rPr>
                <w:sz w:val="18"/>
                <w:szCs w:val="18"/>
                <w:lang w:eastAsia="en-NZ"/>
              </w:rPr>
            </w:pPr>
          </w:p>
        </w:tc>
        <w:tc>
          <w:tcPr>
            <w:tcW w:w="992" w:type="dxa"/>
            <w:shd w:val="clear" w:color="auto" w:fill="EAF1DD"/>
            <w:noWrap/>
            <w:vAlign w:val="bottom"/>
            <w:hideMark/>
          </w:tcPr>
          <w:p w14:paraId="31F8977F" w14:textId="77777777" w:rsidR="006A0CB6" w:rsidRPr="001A7C7E" w:rsidRDefault="006A0CB6" w:rsidP="00A71824">
            <w:pPr>
              <w:keepNext/>
              <w:keepLines/>
              <w:widowControl w:val="0"/>
              <w:rPr>
                <w:sz w:val="18"/>
                <w:szCs w:val="18"/>
                <w:lang w:eastAsia="en-NZ"/>
              </w:rPr>
            </w:pPr>
          </w:p>
        </w:tc>
        <w:tc>
          <w:tcPr>
            <w:tcW w:w="709" w:type="dxa"/>
          </w:tcPr>
          <w:p w14:paraId="28D89E42"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9" w:type="dxa"/>
            <w:noWrap/>
            <w:vAlign w:val="bottom"/>
          </w:tcPr>
          <w:p w14:paraId="193C0985" w14:textId="77777777" w:rsidR="006A0CB6" w:rsidRPr="001A7C7E" w:rsidRDefault="006A0CB6" w:rsidP="00A71824">
            <w:pPr>
              <w:keepNext/>
              <w:keepLines/>
              <w:widowControl w:val="0"/>
              <w:jc w:val="right"/>
              <w:rPr>
                <w:rFonts w:ascii="Calibri" w:hAnsi="Calibri" w:cs="Calibri"/>
                <w:color w:val="000000"/>
                <w:sz w:val="18"/>
                <w:szCs w:val="18"/>
                <w:lang w:eastAsia="en-NZ"/>
              </w:rPr>
            </w:pPr>
          </w:p>
        </w:tc>
        <w:tc>
          <w:tcPr>
            <w:tcW w:w="708" w:type="dxa"/>
            <w:noWrap/>
            <w:vAlign w:val="bottom"/>
          </w:tcPr>
          <w:p w14:paraId="2F45E7FE" w14:textId="77777777" w:rsidR="006A0CB6" w:rsidRPr="001A7C7E" w:rsidRDefault="006A0CB6" w:rsidP="00A71824">
            <w:pPr>
              <w:keepNext/>
              <w:keepLines/>
              <w:widowControl w:val="0"/>
              <w:jc w:val="right"/>
              <w:rPr>
                <w:rFonts w:ascii="Calibri" w:hAnsi="Calibri" w:cs="Calibri"/>
                <w:color w:val="000000"/>
                <w:sz w:val="18"/>
                <w:szCs w:val="18"/>
                <w:lang w:eastAsia="en-NZ"/>
              </w:rPr>
            </w:pPr>
            <w:r w:rsidRPr="001A7C7E">
              <w:rPr>
                <w:rFonts w:ascii="Calibri" w:hAnsi="Calibri" w:cs="Calibri"/>
                <w:color w:val="000000"/>
                <w:sz w:val="18"/>
                <w:szCs w:val="18"/>
                <w:lang w:eastAsia="en-NZ"/>
              </w:rPr>
              <w:t>17%</w:t>
            </w:r>
          </w:p>
        </w:tc>
      </w:tr>
    </w:tbl>
    <w:p w14:paraId="1BF63F84" w14:textId="77777777" w:rsidR="006A0CB6" w:rsidRDefault="006A0CB6" w:rsidP="006A0CB6">
      <w:pPr>
        <w:jc w:val="center"/>
        <w:rPr>
          <w:sz w:val="20"/>
          <w:szCs w:val="20"/>
        </w:rPr>
      </w:pPr>
    </w:p>
    <w:p w14:paraId="50EF58CF" w14:textId="77777777" w:rsidR="006A0CB6" w:rsidRPr="00C03E9D" w:rsidRDefault="006A0CB6" w:rsidP="006A0CB6">
      <w:pPr>
        <w:jc w:val="center"/>
        <w:rPr>
          <w:sz w:val="20"/>
          <w:szCs w:val="20"/>
        </w:rPr>
      </w:pPr>
      <w:r w:rsidRPr="001A7C7E">
        <w:rPr>
          <w:sz w:val="20"/>
          <w:szCs w:val="20"/>
        </w:rPr>
        <w:t xml:space="preserve">Table </w:t>
      </w:r>
      <w:r w:rsidRPr="001A7C7E">
        <w:rPr>
          <w:sz w:val="20"/>
          <w:szCs w:val="20"/>
        </w:rPr>
        <w:fldChar w:fldCharType="begin"/>
      </w:r>
      <w:r w:rsidRPr="001A7C7E">
        <w:rPr>
          <w:sz w:val="20"/>
          <w:szCs w:val="20"/>
        </w:rPr>
        <w:instrText xml:space="preserve"> SEQ Table \* ARABIC </w:instrText>
      </w:r>
      <w:r w:rsidRPr="001A7C7E">
        <w:rPr>
          <w:sz w:val="20"/>
          <w:szCs w:val="20"/>
        </w:rPr>
        <w:fldChar w:fldCharType="separate"/>
      </w:r>
      <w:r>
        <w:rPr>
          <w:noProof/>
          <w:sz w:val="20"/>
          <w:szCs w:val="20"/>
        </w:rPr>
        <w:t>1</w:t>
      </w:r>
      <w:r w:rsidRPr="001A7C7E">
        <w:rPr>
          <w:sz w:val="20"/>
          <w:szCs w:val="20"/>
        </w:rPr>
        <w:fldChar w:fldCharType="end"/>
      </w:r>
      <w:r w:rsidRPr="001A7C7E">
        <w:rPr>
          <w:sz w:val="20"/>
          <w:szCs w:val="20"/>
        </w:rPr>
        <w:t xml:space="preserve">. IBAs meeting 5% threshold for global population and 10% threshold for Antarctic population.  Sites marked in </w:t>
      </w:r>
      <w:r>
        <w:rPr>
          <w:sz w:val="20"/>
          <w:szCs w:val="20"/>
        </w:rPr>
        <w:t>orange</w:t>
      </w:r>
      <w:r w:rsidRPr="001A7C7E">
        <w:rPr>
          <w:sz w:val="20"/>
          <w:szCs w:val="20"/>
        </w:rPr>
        <w:t xml:space="preserve"> are already designated as ASPAs.</w:t>
      </w:r>
      <w:r>
        <w:rPr>
          <w:sz w:val="20"/>
          <w:szCs w:val="20"/>
        </w:rPr>
        <w:t xml:space="preserve"> The population data used here are based on that provided in Harris et al., 2015</w:t>
      </w:r>
      <w:r>
        <w:rPr>
          <w:rStyle w:val="Refdenotaalpie"/>
          <w:sz w:val="20"/>
          <w:szCs w:val="20"/>
        </w:rPr>
        <w:footnoteReference w:id="2"/>
      </w:r>
      <w:r>
        <w:rPr>
          <w:sz w:val="20"/>
          <w:szCs w:val="20"/>
        </w:rPr>
        <w:t xml:space="preserve">, which may not be the most up-to-date population assessments. </w:t>
      </w:r>
      <w:r w:rsidRPr="00C03E9D">
        <w:rPr>
          <w:sz w:val="20"/>
          <w:szCs w:val="20"/>
        </w:rPr>
        <w:t xml:space="preserve">There remain high levels of uncertainty in Antarctic bird population data which </w:t>
      </w:r>
      <w:r>
        <w:rPr>
          <w:sz w:val="20"/>
          <w:szCs w:val="20"/>
        </w:rPr>
        <w:t xml:space="preserve">significantly </w:t>
      </w:r>
      <w:r w:rsidRPr="00C03E9D">
        <w:rPr>
          <w:sz w:val="20"/>
          <w:szCs w:val="20"/>
        </w:rPr>
        <w:t>reduces the reliability of the figures produced in this table.</w:t>
      </w:r>
    </w:p>
    <w:p w14:paraId="092EDD56" w14:textId="77777777" w:rsidR="006A0CB6" w:rsidRDefault="006A0CB6" w:rsidP="006A0CB6">
      <w:pPr>
        <w:pStyle w:val="ATSNormal"/>
      </w:pPr>
    </w:p>
    <w:p w14:paraId="65EDE170" w14:textId="77777777" w:rsidR="006A0CB6" w:rsidRPr="00C900B7" w:rsidRDefault="006A0CB6" w:rsidP="006A0CB6">
      <w:pPr>
        <w:pStyle w:val="ATSNormal"/>
        <w:rPr>
          <w:rFonts w:cs="Cambria"/>
          <w:iCs/>
        </w:rPr>
      </w:pPr>
      <w:r w:rsidRPr="007C5B75">
        <w:rPr>
          <w:rFonts w:cs="Cambria"/>
          <w:i/>
        </w:rPr>
        <w:t xml:space="preserve">Note </w:t>
      </w:r>
      <w:r>
        <w:rPr>
          <w:rFonts w:cs="Cambria"/>
          <w:i/>
        </w:rPr>
        <w:t>1</w:t>
      </w:r>
      <w:r w:rsidRPr="007C5B75">
        <w:rPr>
          <w:rFonts w:cs="Cambria"/>
          <w:i/>
        </w:rPr>
        <w:t xml:space="preserve">: </w:t>
      </w:r>
      <w:r>
        <w:rPr>
          <w:rFonts w:cs="Cambria"/>
          <w:i/>
        </w:rPr>
        <w:t xml:space="preserve">Further consideration may be required to assign some underlying rigour to the selection of such percentage trigger levels as set out in criteria 1 and 2. The 5% and 10% figures used here as examples have </w:t>
      </w:r>
      <w:r w:rsidRPr="00135901">
        <w:rPr>
          <w:i/>
          <w:iCs/>
        </w:rPr>
        <w:t>no scientific basis, other than being slightly higher and therefore more selective than the 1% figure</w:t>
      </w:r>
      <w:r>
        <w:rPr>
          <w:i/>
          <w:iCs/>
        </w:rPr>
        <w:t>s</w:t>
      </w:r>
      <w:r w:rsidRPr="00135901">
        <w:rPr>
          <w:i/>
          <w:iCs/>
        </w:rPr>
        <w:t xml:space="preserve"> used in other international criteria (as set out </w:t>
      </w:r>
      <w:r>
        <w:rPr>
          <w:i/>
          <w:iCs/>
        </w:rPr>
        <w:t>in Appendix 1</w:t>
      </w:r>
      <w:r w:rsidRPr="00135901">
        <w:rPr>
          <w:i/>
          <w:iCs/>
        </w:rPr>
        <w:t>)</w:t>
      </w:r>
      <w:r>
        <w:rPr>
          <w:i/>
          <w:iCs/>
        </w:rPr>
        <w:t xml:space="preserve"> and which have already been applied to derive the initial Antarctic IBA list</w:t>
      </w:r>
      <w:r w:rsidRPr="00135901">
        <w:rPr>
          <w:i/>
          <w:iCs/>
        </w:rPr>
        <w:t>.</w:t>
      </w:r>
    </w:p>
    <w:p w14:paraId="71EE848A" w14:textId="77777777" w:rsidR="006A0CB6" w:rsidRDefault="006A0CB6" w:rsidP="006A0CB6">
      <w:pPr>
        <w:pStyle w:val="ATSNormal"/>
      </w:pPr>
    </w:p>
    <w:p w14:paraId="665F8FD3" w14:textId="77777777" w:rsidR="006A0CB6" w:rsidRDefault="006A0CB6" w:rsidP="006A0CB6">
      <w:pPr>
        <w:rPr>
          <w:b/>
          <w:lang w:eastAsia="en-GB"/>
        </w:rPr>
      </w:pPr>
      <w:r>
        <w:br w:type="page"/>
      </w:r>
    </w:p>
    <w:p w14:paraId="7B1D8EDB" w14:textId="77777777" w:rsidR="006A0CB6" w:rsidRPr="002549FA" w:rsidRDefault="006A0CB6" w:rsidP="006A0CB6">
      <w:pPr>
        <w:pStyle w:val="ATSHeading3"/>
      </w:pPr>
      <w:r>
        <w:lastRenderedPageBreak/>
        <w:t xml:space="preserve">Criterion C. Threat </w:t>
      </w:r>
      <w:r w:rsidRPr="002549FA">
        <w:t xml:space="preserve">Status </w:t>
      </w:r>
      <w:r>
        <w:t>of the species</w:t>
      </w:r>
    </w:p>
    <w:p w14:paraId="37FE5568" w14:textId="77777777" w:rsidR="006A0CB6" w:rsidRDefault="006A0CB6" w:rsidP="006A0CB6">
      <w:pPr>
        <w:pStyle w:val="ATSNormal"/>
      </w:pPr>
      <w:r>
        <w:t xml:space="preserve">IBA criteria A1 qualifies sites for species with a (IUCN Red List) threat status of ‘vulnerable’, ‘endangered’ or ‘critically endangered’, as well as sites for species at ‘near threatened’ status where they meet regional threshold size. </w:t>
      </w:r>
    </w:p>
    <w:p w14:paraId="331F3559" w14:textId="77777777" w:rsidR="006A0CB6" w:rsidRDefault="006A0CB6" w:rsidP="006A0CB6">
      <w:pPr>
        <w:pStyle w:val="ATSNormal"/>
      </w:pPr>
      <w:r>
        <w:t xml:space="preserve">It is proposed that criterion C could trigger the need to consider ASPA designation only for relevant IBAs for ‘vulnerable’, ‘endangered’ or ‘critically endangered’ species, in the context of the CEP’s criteria for designating specially protected species. </w:t>
      </w:r>
    </w:p>
    <w:p w14:paraId="4F4E6482" w14:textId="77777777" w:rsidR="006A0CB6" w:rsidRPr="00CE2C17" w:rsidRDefault="006A0CB6" w:rsidP="006A0CB6">
      <w:pPr>
        <w:pStyle w:val="ATSHeading4"/>
      </w:pPr>
      <w:r w:rsidRPr="00CE2C17">
        <w:t>Examples:</w:t>
      </w:r>
    </w:p>
    <w:p w14:paraId="0D72AC84" w14:textId="77777777" w:rsidR="006A0CB6" w:rsidRDefault="006A0CB6" w:rsidP="006A0CB6">
      <w:pPr>
        <w:pStyle w:val="ATSNormal"/>
      </w:pPr>
      <w:r>
        <w:t>The IUCN red list currently identifies the Macaroni penguin as ‘vulnerable’; no other Antarctic bird species currently has an equal or higher threat status, although the Emperor penguin remains under review</w:t>
      </w:r>
      <w:r>
        <w:rPr>
          <w:rStyle w:val="Refdenotaalpie"/>
        </w:rPr>
        <w:footnoteReference w:id="3"/>
      </w:r>
      <w:r>
        <w:t>. Two Macaroni penguin colonies reach the IBA A1 threshold</w:t>
      </w:r>
      <w:r>
        <w:rPr>
          <w:rStyle w:val="Refdenotaalpie"/>
        </w:rPr>
        <w:footnoteReference w:id="4"/>
      </w:r>
      <w:r>
        <w:t xml:space="preserve"> (noting that the majority of breeding locations for this species are north of 60</w:t>
      </w:r>
      <w:r w:rsidRPr="00FE1FA9">
        <w:rPr>
          <w:vertAlign w:val="superscript"/>
        </w:rPr>
        <w:t xml:space="preserve">o </w:t>
      </w:r>
      <w:r>
        <w:t>south). The largest colony is Craggy Point, Clarence Island, which has already been identified in the previous criterion (</w:t>
      </w:r>
      <w:r w:rsidRPr="00AB1E93">
        <w:rPr>
          <w:rFonts w:cs="Cambria"/>
        </w:rPr>
        <w:t>≥</w:t>
      </w:r>
      <w:r>
        <w:t xml:space="preserve"> 10% of Antarctic population present (Table 1)). The other colony, Gibbs Island, is an IBA with Macaroni penguins, Chinstrap penguins and Antarctic fulmars as trigger species.</w:t>
      </w:r>
    </w:p>
    <w:p w14:paraId="0350FCE7" w14:textId="77777777" w:rsidR="006A0CB6" w:rsidRDefault="006A0CB6" w:rsidP="006A0CB6">
      <w:pPr>
        <w:pStyle w:val="ATSNormal"/>
      </w:pPr>
    </w:p>
    <w:p w14:paraId="5502DF31" w14:textId="77777777" w:rsidR="006A0CB6" w:rsidRDefault="006A0CB6" w:rsidP="006A0CB6">
      <w:pPr>
        <w:pStyle w:val="ATSNormal"/>
        <w:rPr>
          <w:iCs/>
        </w:rPr>
      </w:pPr>
      <w:r>
        <w:rPr>
          <w:i/>
        </w:rPr>
        <w:t xml:space="preserve">Note 2: </w:t>
      </w:r>
      <w:r w:rsidRPr="007C5B75">
        <w:rPr>
          <w:i/>
        </w:rPr>
        <w:t xml:space="preserve">Further consideration </w:t>
      </w:r>
      <w:r>
        <w:rPr>
          <w:i/>
        </w:rPr>
        <w:t>will</w:t>
      </w:r>
      <w:r w:rsidRPr="007C5B75">
        <w:rPr>
          <w:i/>
        </w:rPr>
        <w:t xml:space="preserve"> need to be </w:t>
      </w:r>
      <w:r>
        <w:rPr>
          <w:i/>
        </w:rPr>
        <w:t>given as to whether or not to include this criterion</w:t>
      </w:r>
      <w:r w:rsidRPr="007C5B75">
        <w:rPr>
          <w:i/>
        </w:rPr>
        <w:t xml:space="preserve">, </w:t>
      </w:r>
      <w:r>
        <w:rPr>
          <w:i/>
        </w:rPr>
        <w:t xml:space="preserve">as it </w:t>
      </w:r>
      <w:r w:rsidRPr="007C5B75">
        <w:rPr>
          <w:i/>
        </w:rPr>
        <w:t xml:space="preserve">may result in overlap with the separate process under Annex II to designate and accord special protection to </w:t>
      </w:r>
      <w:r>
        <w:rPr>
          <w:i/>
        </w:rPr>
        <w:t>threatened s</w:t>
      </w:r>
      <w:r w:rsidRPr="007C5B75">
        <w:rPr>
          <w:i/>
        </w:rPr>
        <w:t xml:space="preserve">pecies. In accordance with the </w:t>
      </w:r>
      <w:r w:rsidRPr="0072217B">
        <w:rPr>
          <w:i/>
        </w:rPr>
        <w:t xml:space="preserve">Guidelines for CEP Consideration of Proposals for New and Revised Designations of Antarctic Specially Protected Species under Annex II </w:t>
      </w:r>
      <w:r>
        <w:rPr>
          <w:i/>
        </w:rPr>
        <w:t>to</w:t>
      </w:r>
      <w:r w:rsidRPr="0072217B">
        <w:rPr>
          <w:i/>
        </w:rPr>
        <w:t xml:space="preserve"> the Protocol</w:t>
      </w:r>
      <w:r w:rsidRPr="007C5B75">
        <w:rPr>
          <w:i/>
        </w:rPr>
        <w:t xml:space="preserve">, species with conservation status of vulnerable or higher </w:t>
      </w:r>
      <w:r>
        <w:rPr>
          <w:i/>
        </w:rPr>
        <w:t>can</w:t>
      </w:r>
      <w:r w:rsidRPr="007C5B75">
        <w:rPr>
          <w:i/>
        </w:rPr>
        <w:t xml:space="preserve"> be recommended </w:t>
      </w:r>
      <w:r>
        <w:rPr>
          <w:i/>
        </w:rPr>
        <w:t xml:space="preserve">for designation as a </w:t>
      </w:r>
      <w:r w:rsidRPr="007C5B75">
        <w:rPr>
          <w:i/>
        </w:rPr>
        <w:t>Special</w:t>
      </w:r>
      <w:r>
        <w:rPr>
          <w:i/>
        </w:rPr>
        <w:t>ly</w:t>
      </w:r>
      <w:r w:rsidRPr="007C5B75">
        <w:rPr>
          <w:i/>
        </w:rPr>
        <w:t xml:space="preserve"> Protected Species, and an Action Plan developed. The development of the Action Plan may itself appropriately give consideration to further protection requirements for the species, including the possible designation as ASPAs of some</w:t>
      </w:r>
      <w:r>
        <w:rPr>
          <w:i/>
        </w:rPr>
        <w:t xml:space="preserve"> or </w:t>
      </w:r>
      <w:r w:rsidRPr="007C5B75">
        <w:rPr>
          <w:i/>
        </w:rPr>
        <w:t xml:space="preserve">all </w:t>
      </w:r>
      <w:r>
        <w:rPr>
          <w:i/>
        </w:rPr>
        <w:t xml:space="preserve">breeding </w:t>
      </w:r>
      <w:r w:rsidRPr="007C5B75">
        <w:rPr>
          <w:i/>
        </w:rPr>
        <w:t>colonies.</w:t>
      </w:r>
      <w:r>
        <w:rPr>
          <w:i/>
        </w:rPr>
        <w:t xml:space="preserve"> In other words, consideration might first be given to specially protected species designation prior to any spatial protection measures being applied.</w:t>
      </w:r>
    </w:p>
    <w:p w14:paraId="6A393A42" w14:textId="77777777" w:rsidR="006A0CB6" w:rsidRPr="002352BB" w:rsidRDefault="006A0CB6" w:rsidP="006A0CB6">
      <w:pPr>
        <w:pStyle w:val="ATSNormal"/>
        <w:rPr>
          <w:iCs/>
        </w:rPr>
      </w:pPr>
    </w:p>
    <w:p w14:paraId="307CF68E" w14:textId="77777777" w:rsidR="006A0CB6" w:rsidRDefault="006A0CB6" w:rsidP="006A0CB6">
      <w:pPr>
        <w:pStyle w:val="ATSHeading3"/>
      </w:pPr>
      <w:r>
        <w:t>Criterion D. Direct, indirect or cu</w:t>
      </w:r>
      <w:r w:rsidRPr="00295E7E">
        <w:t>mu</w:t>
      </w:r>
      <w:r>
        <w:t>l</w:t>
      </w:r>
      <w:r w:rsidRPr="00295E7E">
        <w:t>ative pressures</w:t>
      </w:r>
    </w:p>
    <w:p w14:paraId="450B73BC" w14:textId="77777777" w:rsidR="006A0CB6" w:rsidRDefault="006A0CB6" w:rsidP="006A0CB6">
      <w:pPr>
        <w:pStyle w:val="ATSNormal"/>
      </w:pPr>
      <w:r>
        <w:t xml:space="preserve">The CEP’s </w:t>
      </w:r>
      <w:bookmarkStart w:id="8" w:name="OLE_LINK1"/>
      <w:bookmarkStart w:id="9" w:name="OLE_LINK2"/>
      <w:r>
        <w:t>Guidelines for Implementation of the Framework for Protected Areas</w:t>
      </w:r>
      <w:bookmarkEnd w:id="8"/>
      <w:bookmarkEnd w:id="9"/>
      <w:r>
        <w:t xml:space="preserve"> (Resolution 1 (2000)) include the need to undertake an environmental risk assessment to identify actual or potential threats to identified values (see Section 2.4 of the Guidelines).</w:t>
      </w:r>
    </w:p>
    <w:p w14:paraId="6363DE71" w14:textId="77777777" w:rsidR="006A0CB6" w:rsidRDefault="006A0CB6" w:rsidP="006A0CB6">
      <w:pPr>
        <w:pStyle w:val="ATSNormal"/>
      </w:pPr>
      <w:r w:rsidRPr="00DC68BB">
        <w:t>Application of this criteri</w:t>
      </w:r>
      <w:r>
        <w:t>on</w:t>
      </w:r>
      <w:r w:rsidRPr="00DC68BB">
        <w:t xml:space="preserve"> </w:t>
      </w:r>
      <w:r>
        <w:t xml:space="preserve">will require consideration of actual or potential direct, indirect or cumulative pressures on identified IBAs. The Guidelines also advise assessing the ‘degree of interference’ of a candidate ASPA and asks to what extent the area has been subject to human interference, whether or not there are signs of human activities; whether or not there is a loss or addition of species, natural processes and abiotic material, and to what extent visitation is occurring or the landscape altered.  </w:t>
      </w:r>
    </w:p>
    <w:p w14:paraId="09598B84" w14:textId="77777777" w:rsidR="006A0CB6" w:rsidRDefault="006A0CB6" w:rsidP="006A0CB6">
      <w:pPr>
        <w:pStyle w:val="ATSNormal"/>
      </w:pPr>
      <w:r>
        <w:t>Consideration could be given to providing some structure to this stage of the assessment, perhaps through the development of a checklist of ‘aspects’ to consider. A semi-quantitative approach might be used such that where a certain number of pressures are identified, consideration for ASPA designation is triggered.</w:t>
      </w:r>
    </w:p>
    <w:p w14:paraId="4B4A0119" w14:textId="77777777" w:rsidR="006A0CB6" w:rsidRDefault="006A0CB6" w:rsidP="006A0CB6">
      <w:pPr>
        <w:pStyle w:val="ATSNormal"/>
      </w:pPr>
      <w:r>
        <w:t xml:space="preserve">A checklist has not been developed at this stage, but might include, for example, known or potential climate change implications for the bird area; any trends in visitation numbers (perhaps within a certain distance of the bird area); an established station or base within a certain distance of the bird area; known past impacts </w:t>
      </w:r>
      <w:r>
        <w:lastRenderedPageBreak/>
        <w:t>(e.g. a nearby pollution event); foreseeable future impacts such as the planned construction of a new facility (within a certain distance of the bird area</w:t>
      </w:r>
      <w:r w:rsidRPr="00B02C82">
        <w:rPr>
          <w:vertAlign w:val="superscript"/>
        </w:rPr>
        <w:footnoteReference w:id="5"/>
      </w:r>
      <w:r>
        <w:t>), etc.</w:t>
      </w:r>
    </w:p>
    <w:p w14:paraId="7118F41F" w14:textId="77777777" w:rsidR="006A0CB6" w:rsidRDefault="006A0CB6" w:rsidP="006A0CB6">
      <w:pPr>
        <w:pStyle w:val="ATSNormal"/>
      </w:pPr>
      <w:r>
        <w:t>It is also noted that sites with no known past or current impacts are also of importance as ‘pristine’ sites for protection as baselines studies and control sites for comparative assessment with disturbed sites.</w:t>
      </w:r>
    </w:p>
    <w:p w14:paraId="655A3382" w14:textId="77777777" w:rsidR="006A0CB6" w:rsidRDefault="006A0CB6" w:rsidP="006A0CB6">
      <w:pPr>
        <w:pStyle w:val="ATSNormal"/>
      </w:pPr>
    </w:p>
    <w:p w14:paraId="5076F1F2" w14:textId="77777777" w:rsidR="006A0CB6" w:rsidRDefault="006A0CB6" w:rsidP="006A0CB6">
      <w:pPr>
        <w:pStyle w:val="ATSHeading3"/>
      </w:pPr>
      <w:r>
        <w:t>Criterion E. Unique or rare features</w:t>
      </w:r>
    </w:p>
    <w:p w14:paraId="7E2CA415" w14:textId="77777777" w:rsidR="006A0CB6" w:rsidRDefault="006A0CB6" w:rsidP="006A0CB6">
      <w:pPr>
        <w:pStyle w:val="ATSNormal"/>
      </w:pPr>
      <w:r>
        <w:t xml:space="preserve">The CEP’s Guidelines for Implementation of the Framework for Protected Areas refer to the need to assess the distinctiveness of an area (see Section 2.3). </w:t>
      </w:r>
    </w:p>
    <w:p w14:paraId="119FAB4C" w14:textId="77777777" w:rsidR="006A0CB6" w:rsidRDefault="006A0CB6" w:rsidP="006A0CB6">
      <w:pPr>
        <w:pStyle w:val="ATSNormal"/>
      </w:pPr>
      <w:r w:rsidRPr="00302F54">
        <w:t>If an IBA</w:t>
      </w:r>
      <w:r>
        <w:t xml:space="preserve"> is identified as being unique or rare, then this might trigger the need for ASPA designation, if the IBA has not already been selected from the criteria applied above.  </w:t>
      </w:r>
    </w:p>
    <w:p w14:paraId="357B4B37" w14:textId="77777777" w:rsidR="006A0CB6" w:rsidRDefault="006A0CB6" w:rsidP="006A0CB6">
      <w:pPr>
        <w:pStyle w:val="ATSNormal"/>
      </w:pPr>
      <w:r>
        <w:t xml:space="preserve">Examples might be the most southerly breeding location of a species or a breeding location in a different habitat type to </w:t>
      </w:r>
      <w:r w:rsidRPr="00105D2F">
        <w:t>other colonies of the species, or the only known example in a biogeographic region.</w:t>
      </w:r>
      <w:r>
        <w:t xml:space="preserve"> </w:t>
      </w:r>
    </w:p>
    <w:p w14:paraId="56015731" w14:textId="77777777" w:rsidR="006A0CB6" w:rsidRPr="00CE2C17" w:rsidRDefault="006A0CB6" w:rsidP="006A0CB6">
      <w:pPr>
        <w:pStyle w:val="ATSHeading4"/>
      </w:pPr>
      <w:r w:rsidRPr="00CE2C17">
        <w:t>Example:</w:t>
      </w:r>
    </w:p>
    <w:p w14:paraId="0C7AE751" w14:textId="77777777" w:rsidR="006A0CB6" w:rsidRDefault="006A0CB6" w:rsidP="006A0CB6">
      <w:pPr>
        <w:pStyle w:val="ATSNormal"/>
      </w:pPr>
      <w:r w:rsidRPr="00314C1E">
        <w:t>Smith Peninsula</w:t>
      </w:r>
      <w:r>
        <w:t xml:space="preserve"> (IBA100; identified for breeding Emperor Penguins) is the only IBA in Southern Antarctic Peninsula ACBR 15</w:t>
      </w:r>
    </w:p>
    <w:p w14:paraId="6208D335" w14:textId="77777777" w:rsidR="006A0CB6" w:rsidRPr="00535B5D" w:rsidRDefault="006A0CB6" w:rsidP="006A0CB6">
      <w:pPr>
        <w:pStyle w:val="ATSNormal"/>
      </w:pPr>
    </w:p>
    <w:p w14:paraId="079B8EB8" w14:textId="77777777" w:rsidR="006A0CB6" w:rsidRDefault="006A0CB6" w:rsidP="006A0CB6">
      <w:pPr>
        <w:pStyle w:val="ATSHeading3"/>
      </w:pPr>
      <w:r>
        <w:t>Other considerations</w:t>
      </w:r>
    </w:p>
    <w:p w14:paraId="75BEE2FC" w14:textId="77777777" w:rsidR="006A0CB6" w:rsidRDefault="006A0CB6" w:rsidP="006A0CB6">
      <w:pPr>
        <w:pStyle w:val="ATSNormal"/>
      </w:pPr>
      <w:r>
        <w:t>A number of additional elements may need to be taken into account in assessing the merits of ASPA designation of an IBA or other bird breeding area, including, for example:</w:t>
      </w:r>
    </w:p>
    <w:p w14:paraId="3716DBF4" w14:textId="77777777" w:rsidR="006A0CB6" w:rsidRDefault="006A0CB6" w:rsidP="006A0CB6">
      <w:pPr>
        <w:pStyle w:val="ATSBullet1"/>
        <w:numPr>
          <w:ilvl w:val="0"/>
          <w:numId w:val="11"/>
        </w:numPr>
      </w:pPr>
      <w:r>
        <w:t>whether an ASPA could be designated that incorporates more than one IBA, such as on the Peninsula where there are dense clusters of colonies and IBAs;</w:t>
      </w:r>
    </w:p>
    <w:p w14:paraId="0300E39B" w14:textId="77777777" w:rsidR="006A0CB6" w:rsidRDefault="006A0CB6" w:rsidP="006A0CB6">
      <w:pPr>
        <w:pStyle w:val="ATSBullet1"/>
        <w:numPr>
          <w:ilvl w:val="0"/>
          <w:numId w:val="11"/>
        </w:numPr>
      </w:pPr>
      <w:r>
        <w:t xml:space="preserve">whether there is significant change in the breeding success at the bird area (either positively or negatively) </w:t>
      </w:r>
      <w:r w:rsidRPr="00632DB7">
        <w:rPr>
          <w:i/>
          <w:iCs/>
        </w:rPr>
        <w:t>cf</w:t>
      </w:r>
      <w:r>
        <w:t xml:space="preserve"> the environmental risk assessment component of the CEP’s Guidelines for Implementation of the Framework for Protected Areas;</w:t>
      </w:r>
    </w:p>
    <w:p w14:paraId="54285B1E" w14:textId="77777777" w:rsidR="006A0CB6" w:rsidRDefault="006A0CB6" w:rsidP="006A0CB6">
      <w:pPr>
        <w:pStyle w:val="ATSBullet1"/>
        <w:numPr>
          <w:ilvl w:val="0"/>
          <w:numId w:val="11"/>
        </w:numPr>
      </w:pPr>
      <w:r>
        <w:t xml:space="preserve">ongoing research interest in a colony or bird assemblage e.g. long-term datasets. </w:t>
      </w:r>
      <w:r w:rsidRPr="000350F4">
        <w:rPr>
          <w:i/>
          <w:iCs/>
        </w:rPr>
        <w:t>cf</w:t>
      </w:r>
      <w:r>
        <w:t xml:space="preserve"> the scientific and monitoring component of the CEP’s Guidelines;</w:t>
      </w:r>
    </w:p>
    <w:p w14:paraId="2B3C7561" w14:textId="77777777" w:rsidR="006A0CB6" w:rsidRDefault="006A0CB6" w:rsidP="006A0CB6">
      <w:pPr>
        <w:pStyle w:val="ATSBullet1"/>
        <w:numPr>
          <w:ilvl w:val="0"/>
          <w:numId w:val="11"/>
        </w:numPr>
      </w:pPr>
      <w:r>
        <w:t xml:space="preserve">the extent to which a bird species is already represented with the Antarctic protected area system </w:t>
      </w:r>
      <w:r w:rsidRPr="000350F4">
        <w:rPr>
          <w:i/>
          <w:iCs/>
        </w:rPr>
        <w:t>cf</w:t>
      </w:r>
      <w:r>
        <w:t xml:space="preserve"> the representativeness component of the CEP’s Guidelines;</w:t>
      </w:r>
    </w:p>
    <w:p w14:paraId="496FCECC" w14:textId="77777777" w:rsidR="006A0CB6" w:rsidRDefault="006A0CB6" w:rsidP="006A0CB6">
      <w:pPr>
        <w:pStyle w:val="ATSBullet1"/>
        <w:numPr>
          <w:ilvl w:val="0"/>
          <w:numId w:val="11"/>
        </w:numPr>
      </w:pPr>
      <w:r>
        <w:t xml:space="preserve">whether the bird area includes important or unusual assemblages of bird species </w:t>
      </w:r>
      <w:r w:rsidRPr="000350F4">
        <w:rPr>
          <w:i/>
          <w:iCs/>
        </w:rPr>
        <w:t>cf</w:t>
      </w:r>
      <w:r>
        <w:t xml:space="preserve"> the diversity component of the CEP’s Guidelines;</w:t>
      </w:r>
    </w:p>
    <w:p w14:paraId="615D49AA" w14:textId="77777777" w:rsidR="006A0CB6" w:rsidRDefault="006A0CB6" w:rsidP="006A0CB6">
      <w:pPr>
        <w:pStyle w:val="ATSBullet1"/>
        <w:numPr>
          <w:ilvl w:val="0"/>
          <w:numId w:val="11"/>
        </w:numPr>
      </w:pPr>
      <w:r>
        <w:t xml:space="preserve">whether the bird area is thought to play an important ecological role e.g. nutrient run-off supporting vegetation growth around the bird area margins </w:t>
      </w:r>
      <w:r w:rsidRPr="001B3FD9">
        <w:rPr>
          <w:i/>
          <w:iCs/>
        </w:rPr>
        <w:t>cf</w:t>
      </w:r>
      <w:r>
        <w:t xml:space="preserve"> the ecological importance component of the CEP’s Guidelines.</w:t>
      </w:r>
    </w:p>
    <w:p w14:paraId="52DFEBA1" w14:textId="77777777" w:rsidR="006A0CB6" w:rsidRDefault="006A0CB6" w:rsidP="006A0CB6">
      <w:pPr>
        <w:pStyle w:val="ATSNormal"/>
      </w:pPr>
    </w:p>
    <w:p w14:paraId="735F5667" w14:textId="77777777" w:rsidR="006A0CB6" w:rsidRDefault="006A0CB6" w:rsidP="006A0CB6">
      <w:pPr>
        <w:pStyle w:val="ATSHeading3"/>
      </w:pPr>
      <w:r>
        <w:t>Discussion</w:t>
      </w:r>
    </w:p>
    <w:p w14:paraId="2B82A23C" w14:textId="77777777" w:rsidR="006A0CB6" w:rsidRDefault="006A0CB6" w:rsidP="006A0CB6">
      <w:pPr>
        <w:pStyle w:val="ATSNormal"/>
      </w:pPr>
      <w:r>
        <w:t>The proposed criteria are potentially presented in a priority order for application, although, as noted above criterion C may need to sit to one side or even be considered first if the threat status of a species requires consideration for designation as a specially protected species prior to any spatial management measures being applied.</w:t>
      </w:r>
    </w:p>
    <w:p w14:paraId="4D96922A" w14:textId="77777777" w:rsidR="006A0CB6" w:rsidRDefault="006A0CB6" w:rsidP="006A0CB6">
      <w:pPr>
        <w:pStyle w:val="ATSNormal"/>
      </w:pPr>
      <w:r>
        <w:t xml:space="preserve">How many of the criteria need to be met in order to trigger ASPA designation has not been proposed here.  However, some of the criteria, e.g. A and B could be established as automatic “trigger” criteria, such that if </w:t>
      </w:r>
      <w:r>
        <w:lastRenderedPageBreak/>
        <w:t>their conditions are met, ASPA designation for the bird area should be considered. This needs further consideration.</w:t>
      </w:r>
    </w:p>
    <w:p w14:paraId="24724235" w14:textId="77777777" w:rsidR="006A0CB6" w:rsidRDefault="006A0CB6" w:rsidP="006A0CB6">
      <w:pPr>
        <w:pStyle w:val="ATSNormal"/>
      </w:pPr>
      <w:r>
        <w:t>The designation of ASPAs to protect bird areas in Antarctica should not detract from the need to consider such additional protection measures, as well as the need also to protect offshore foraging locations.</w:t>
      </w:r>
      <w:r>
        <w:rPr>
          <w:rStyle w:val="Refdenotaalpie"/>
        </w:rPr>
        <w:footnoteReference w:id="6"/>
      </w:r>
    </w:p>
    <w:p w14:paraId="4E62A2C6" w14:textId="77777777" w:rsidR="006A0CB6" w:rsidRDefault="006A0CB6" w:rsidP="006A0CB6"/>
    <w:p w14:paraId="390B769F" w14:textId="77777777" w:rsidR="006A0CB6" w:rsidRDefault="006A0CB6" w:rsidP="006A0CB6">
      <w:r>
        <w:br w:type="page"/>
      </w:r>
    </w:p>
    <w:p w14:paraId="07D292CC" w14:textId="77777777" w:rsidR="006A0CB6" w:rsidRDefault="006A0CB6" w:rsidP="006A0CB6">
      <w:pPr>
        <w:pStyle w:val="ATSHeading2"/>
      </w:pPr>
      <w:r>
        <w:lastRenderedPageBreak/>
        <w:t>Appendix 1.  Non-Antarctic Criteria for Protecting Bird Colonies.</w:t>
      </w:r>
    </w:p>
    <w:p w14:paraId="34565834" w14:textId="77777777" w:rsidR="006A0CB6" w:rsidRDefault="006A0CB6" w:rsidP="006A0CB6">
      <w:pPr>
        <w:pStyle w:val="ATSNormal"/>
      </w:pPr>
      <w:r>
        <w:t>Internationally, two major approaches have been used to identify important bird sites: the criteria developed by the Conference of Parties to the Ramsar Convention and the criteria developed by BirdLife International to identify IBAs</w:t>
      </w:r>
      <w:r w:rsidRPr="00D22A21">
        <w:rPr>
          <w:vertAlign w:val="superscript"/>
        </w:rPr>
        <w:footnoteReference w:id="7"/>
      </w:r>
      <w:r>
        <w:t>. The criteria developed by the UK’s Joint Nature Conservation Committee to implement the European Birds Directive were also reviewed.</w:t>
      </w:r>
    </w:p>
    <w:p w14:paraId="6F82904A" w14:textId="77777777" w:rsidR="006A0CB6" w:rsidRDefault="006A0CB6" w:rsidP="006A0CB6">
      <w:pPr>
        <w:pStyle w:val="ATSNormal"/>
      </w:pPr>
      <w:r>
        <w:t>The following descriptions are included only for comparative purposes.  t is noted that whilst consideration is being given here to developing approaches for applying the area protection mechanism of Annex V, that this is being done in the context of the general protections afforded to all areas/species under the Protocol. The application of spatial protection mechanisms in other parts of the world are more likely to be considered where there is a more limited toolbox of conservation measures available.</w:t>
      </w:r>
    </w:p>
    <w:p w14:paraId="7EE65912" w14:textId="77777777" w:rsidR="006A0CB6" w:rsidRDefault="006A0CB6" w:rsidP="006A0CB6">
      <w:pPr>
        <w:pStyle w:val="ATSHeading3"/>
        <w:numPr>
          <w:ilvl w:val="1"/>
          <w:numId w:val="21"/>
        </w:numPr>
      </w:pPr>
      <w:r>
        <w:t>Ramsar Convention criteria</w:t>
      </w:r>
    </w:p>
    <w:p w14:paraId="65F400D9" w14:textId="77777777" w:rsidR="006A0CB6" w:rsidRPr="0079318E" w:rsidRDefault="006A0CB6" w:rsidP="006A0CB6">
      <w:pPr>
        <w:pStyle w:val="ATSNormal"/>
        <w:rPr>
          <w:szCs w:val="22"/>
        </w:rPr>
      </w:pPr>
      <w:r w:rsidRPr="0079318E">
        <w:rPr>
          <w:szCs w:val="22"/>
        </w:rPr>
        <w:t>The Ramsar Convention, or the Convention on Wetlands, entered into force in 1974 and is the intergovernmental treaty that provides the framework for the conservation and wise use of wetlands and their resources.</w:t>
      </w:r>
    </w:p>
    <w:p w14:paraId="5CD161AB" w14:textId="77777777" w:rsidR="006A0CB6" w:rsidRPr="0079318E" w:rsidRDefault="006A0CB6" w:rsidP="006A0CB6">
      <w:pPr>
        <w:autoSpaceDE w:val="0"/>
        <w:autoSpaceDN w:val="0"/>
        <w:adjustRightInd w:val="0"/>
        <w:jc w:val="both"/>
        <w:rPr>
          <w:color w:val="000000"/>
          <w:szCs w:val="22"/>
        </w:rPr>
      </w:pPr>
      <w:r w:rsidRPr="0079318E">
        <w:rPr>
          <w:color w:val="000000"/>
          <w:szCs w:val="22"/>
        </w:rPr>
        <w:t xml:space="preserve">The Parties to the Ramsar Convention have developed nine criteria </w:t>
      </w:r>
      <w:r w:rsidRPr="00160221">
        <w:rPr>
          <w:color w:val="000000"/>
          <w:szCs w:val="22"/>
        </w:rPr>
        <w:t>for identifying wetland sites of international importance</w:t>
      </w:r>
      <w:r w:rsidRPr="0079318E">
        <w:rPr>
          <w:rStyle w:val="Refdenotaalpie"/>
          <w:color w:val="000000"/>
          <w:szCs w:val="22"/>
        </w:rPr>
        <w:footnoteReference w:id="8"/>
      </w:r>
      <w:r w:rsidRPr="00160221">
        <w:rPr>
          <w:color w:val="000000"/>
          <w:szCs w:val="22"/>
        </w:rPr>
        <w:t xml:space="preserve"> </w:t>
      </w:r>
      <w:r w:rsidRPr="0079318E">
        <w:rPr>
          <w:color w:val="000000"/>
          <w:szCs w:val="22"/>
        </w:rPr>
        <w:t xml:space="preserve">five of which </w:t>
      </w:r>
      <w:r w:rsidRPr="00160221">
        <w:rPr>
          <w:color w:val="000000"/>
          <w:szCs w:val="22"/>
        </w:rPr>
        <w:t>a</w:t>
      </w:r>
      <w:r w:rsidRPr="0079318E">
        <w:rPr>
          <w:color w:val="000000"/>
          <w:szCs w:val="22"/>
        </w:rPr>
        <w:t xml:space="preserve">ppear to be </w:t>
      </w:r>
      <w:r w:rsidRPr="00160221">
        <w:rPr>
          <w:color w:val="000000"/>
          <w:szCs w:val="22"/>
        </w:rPr>
        <w:t xml:space="preserve">relevant to identifying important bird breeding sites: </w:t>
      </w:r>
    </w:p>
    <w:p w14:paraId="679CB8FB" w14:textId="77777777" w:rsidR="006A0CB6" w:rsidRPr="0079318E" w:rsidRDefault="006A0CB6" w:rsidP="006A0CB6">
      <w:pPr>
        <w:pStyle w:val="Prrafodelista"/>
        <w:numPr>
          <w:ilvl w:val="0"/>
          <w:numId w:val="22"/>
        </w:numPr>
        <w:autoSpaceDE w:val="0"/>
        <w:autoSpaceDN w:val="0"/>
        <w:adjustRightInd w:val="0"/>
        <w:spacing w:before="120" w:after="120"/>
        <w:ind w:left="357" w:hanging="357"/>
        <w:jc w:val="both"/>
        <w:rPr>
          <w:color w:val="000000"/>
          <w:szCs w:val="22"/>
        </w:rPr>
      </w:pPr>
      <w:r w:rsidRPr="0079318E">
        <w:rPr>
          <w:i/>
          <w:iCs/>
          <w:color w:val="000000"/>
          <w:szCs w:val="22"/>
        </w:rPr>
        <w:t xml:space="preserve">Ramsar Criterion 2 </w:t>
      </w:r>
      <w:r w:rsidRPr="0079318E">
        <w:rPr>
          <w:color w:val="000000"/>
          <w:szCs w:val="22"/>
        </w:rPr>
        <w:t xml:space="preserve">specifies that a wetland should be considered internationally important if it supports </w:t>
      </w:r>
      <w:r w:rsidRPr="0079318E">
        <w:rPr>
          <w:color w:val="000000"/>
          <w:szCs w:val="22"/>
          <w:u w:val="single"/>
        </w:rPr>
        <w:t>vulnerable, endangered, or critically endangered species</w:t>
      </w:r>
      <w:r w:rsidRPr="0079318E">
        <w:rPr>
          <w:color w:val="000000"/>
          <w:szCs w:val="22"/>
        </w:rPr>
        <w:t xml:space="preserve"> or threatened ecological communities; </w:t>
      </w:r>
    </w:p>
    <w:p w14:paraId="0271698D" w14:textId="77777777" w:rsidR="006A0CB6" w:rsidRPr="0079318E" w:rsidRDefault="006A0CB6" w:rsidP="006A0CB6">
      <w:pPr>
        <w:pStyle w:val="Prrafodelista"/>
        <w:numPr>
          <w:ilvl w:val="0"/>
          <w:numId w:val="22"/>
        </w:numPr>
        <w:autoSpaceDE w:val="0"/>
        <w:autoSpaceDN w:val="0"/>
        <w:adjustRightInd w:val="0"/>
        <w:spacing w:before="120" w:after="120"/>
        <w:ind w:left="357" w:hanging="357"/>
        <w:jc w:val="both"/>
        <w:rPr>
          <w:color w:val="000000"/>
          <w:szCs w:val="22"/>
        </w:rPr>
      </w:pPr>
      <w:r w:rsidRPr="0079318E">
        <w:rPr>
          <w:i/>
          <w:iCs/>
          <w:color w:val="000000"/>
          <w:szCs w:val="22"/>
        </w:rPr>
        <w:t xml:space="preserve">Ramsar Criterion 3 </w:t>
      </w:r>
      <w:r w:rsidRPr="0079318E">
        <w:rPr>
          <w:color w:val="000000"/>
          <w:szCs w:val="22"/>
        </w:rPr>
        <w:t xml:space="preserve">specifies that a wetland should be considered internationally important if it supports </w:t>
      </w:r>
      <w:r w:rsidRPr="0079318E">
        <w:rPr>
          <w:color w:val="000000"/>
          <w:szCs w:val="22"/>
          <w:u w:val="single"/>
        </w:rPr>
        <w:t>populations of plant and/or animal species important for maintaining the biological diversity of a particular biogeographic region</w:t>
      </w:r>
      <w:r w:rsidRPr="0079318E">
        <w:rPr>
          <w:color w:val="000000"/>
          <w:szCs w:val="22"/>
        </w:rPr>
        <w:t xml:space="preserve">; </w:t>
      </w:r>
    </w:p>
    <w:p w14:paraId="53EAFD12" w14:textId="77777777" w:rsidR="006A0CB6" w:rsidRPr="0079318E" w:rsidRDefault="006A0CB6" w:rsidP="006A0CB6">
      <w:pPr>
        <w:pStyle w:val="Prrafodelista"/>
        <w:numPr>
          <w:ilvl w:val="0"/>
          <w:numId w:val="22"/>
        </w:numPr>
        <w:autoSpaceDE w:val="0"/>
        <w:autoSpaceDN w:val="0"/>
        <w:adjustRightInd w:val="0"/>
        <w:spacing w:before="120" w:after="120"/>
        <w:ind w:left="357" w:hanging="357"/>
        <w:jc w:val="both"/>
        <w:rPr>
          <w:color w:val="000000"/>
          <w:szCs w:val="22"/>
        </w:rPr>
      </w:pPr>
      <w:r w:rsidRPr="0079318E">
        <w:rPr>
          <w:i/>
          <w:iCs/>
          <w:color w:val="000000"/>
          <w:szCs w:val="22"/>
        </w:rPr>
        <w:t xml:space="preserve">Ramsar Criterion 4 </w:t>
      </w:r>
      <w:r w:rsidRPr="0079318E">
        <w:rPr>
          <w:color w:val="000000"/>
          <w:szCs w:val="22"/>
        </w:rPr>
        <w:t xml:space="preserve">specifies that a wetland should be considered internationally important if it supports plant and/or animal </w:t>
      </w:r>
      <w:r w:rsidRPr="0079318E">
        <w:rPr>
          <w:color w:val="000000"/>
          <w:szCs w:val="22"/>
          <w:u w:val="single"/>
        </w:rPr>
        <w:t>species at a critical stage of their life cycles</w:t>
      </w:r>
      <w:r>
        <w:rPr>
          <w:rStyle w:val="Refdenotaalpie"/>
          <w:color w:val="000000"/>
          <w:szCs w:val="22"/>
          <w:u w:val="single"/>
        </w:rPr>
        <w:footnoteReference w:id="9"/>
      </w:r>
      <w:r w:rsidRPr="0079318E">
        <w:rPr>
          <w:color w:val="000000"/>
          <w:szCs w:val="22"/>
        </w:rPr>
        <w:t xml:space="preserve">, or provides refuge during adverse conditions; </w:t>
      </w:r>
    </w:p>
    <w:p w14:paraId="78FB73E1" w14:textId="77777777" w:rsidR="006A0CB6" w:rsidRPr="0079318E" w:rsidRDefault="006A0CB6" w:rsidP="006A0CB6">
      <w:pPr>
        <w:pStyle w:val="Prrafodelista"/>
        <w:numPr>
          <w:ilvl w:val="0"/>
          <w:numId w:val="22"/>
        </w:numPr>
        <w:autoSpaceDE w:val="0"/>
        <w:autoSpaceDN w:val="0"/>
        <w:adjustRightInd w:val="0"/>
        <w:spacing w:before="120" w:after="120"/>
        <w:ind w:left="357" w:hanging="357"/>
        <w:jc w:val="both"/>
        <w:rPr>
          <w:color w:val="000000"/>
          <w:szCs w:val="22"/>
        </w:rPr>
      </w:pPr>
      <w:r w:rsidRPr="0079318E">
        <w:rPr>
          <w:i/>
          <w:iCs/>
          <w:color w:val="000000"/>
          <w:szCs w:val="22"/>
        </w:rPr>
        <w:t xml:space="preserve">Ramsar Criterion 5 </w:t>
      </w:r>
      <w:r w:rsidRPr="0079318E">
        <w:rPr>
          <w:color w:val="000000"/>
          <w:szCs w:val="22"/>
        </w:rPr>
        <w:t xml:space="preserve">specifies that a wetland should be considered internationally important if it regularly </w:t>
      </w:r>
      <w:r w:rsidRPr="0079318E">
        <w:rPr>
          <w:color w:val="000000"/>
          <w:szCs w:val="22"/>
          <w:u w:val="single"/>
        </w:rPr>
        <w:t>supports 20,000 or more waterbirds</w:t>
      </w:r>
      <w:r w:rsidRPr="0079318E">
        <w:rPr>
          <w:color w:val="000000"/>
          <w:szCs w:val="22"/>
        </w:rPr>
        <w:t xml:space="preserve">; and </w:t>
      </w:r>
    </w:p>
    <w:p w14:paraId="6199757F" w14:textId="77777777" w:rsidR="006A0CB6" w:rsidRPr="0079318E" w:rsidRDefault="006A0CB6" w:rsidP="006A0CB6">
      <w:pPr>
        <w:pStyle w:val="Prrafodelista"/>
        <w:numPr>
          <w:ilvl w:val="0"/>
          <w:numId w:val="22"/>
        </w:numPr>
        <w:autoSpaceDE w:val="0"/>
        <w:autoSpaceDN w:val="0"/>
        <w:adjustRightInd w:val="0"/>
        <w:spacing w:before="120" w:after="120"/>
        <w:ind w:left="357" w:hanging="357"/>
        <w:jc w:val="both"/>
        <w:rPr>
          <w:color w:val="000000"/>
          <w:szCs w:val="22"/>
        </w:rPr>
      </w:pPr>
      <w:r w:rsidRPr="0079318E">
        <w:rPr>
          <w:i/>
          <w:iCs/>
          <w:color w:val="000000"/>
          <w:szCs w:val="22"/>
        </w:rPr>
        <w:t xml:space="preserve">Ramsar Criterion 6 </w:t>
      </w:r>
      <w:r w:rsidRPr="0079318E">
        <w:rPr>
          <w:color w:val="000000"/>
          <w:szCs w:val="22"/>
        </w:rPr>
        <w:t xml:space="preserve">specifies that a wetland should be considered internationally important if it regularly </w:t>
      </w:r>
      <w:r w:rsidRPr="0079318E">
        <w:rPr>
          <w:color w:val="000000"/>
          <w:szCs w:val="22"/>
          <w:u w:val="single"/>
        </w:rPr>
        <w:t>supports 1% of the individuals in a population</w:t>
      </w:r>
      <w:r w:rsidRPr="0079318E">
        <w:rPr>
          <w:color w:val="000000"/>
          <w:szCs w:val="22"/>
        </w:rPr>
        <w:t xml:space="preserve"> of one species or subspecies of waterbird. </w:t>
      </w:r>
    </w:p>
    <w:p w14:paraId="573D8597" w14:textId="77777777" w:rsidR="006A0CB6" w:rsidRDefault="006A0CB6" w:rsidP="006A0CB6">
      <w:pPr>
        <w:pStyle w:val="ATSNormal"/>
        <w:rPr>
          <w:szCs w:val="22"/>
        </w:rPr>
      </w:pPr>
    </w:p>
    <w:p w14:paraId="6E3AE6BE" w14:textId="77777777" w:rsidR="006A0CB6" w:rsidRDefault="006A0CB6" w:rsidP="006A0CB6">
      <w:pPr>
        <w:pStyle w:val="ATSNormal"/>
        <w:rPr>
          <w:szCs w:val="22"/>
        </w:rPr>
      </w:pPr>
      <w:r>
        <w:rPr>
          <w:szCs w:val="22"/>
        </w:rPr>
        <w:t>Underlining added for emphasis.  Note, the focus of the Ramsar convention is wetland areas that support a range of species, not just birds.</w:t>
      </w:r>
    </w:p>
    <w:p w14:paraId="64B2EEA6" w14:textId="77777777" w:rsidR="006A0CB6" w:rsidRPr="00AA7574" w:rsidRDefault="006A0CB6" w:rsidP="006A0CB6">
      <w:pPr>
        <w:pStyle w:val="ATSNormal"/>
        <w:rPr>
          <w:szCs w:val="22"/>
        </w:rPr>
      </w:pPr>
      <w:r>
        <w:rPr>
          <w:szCs w:val="22"/>
        </w:rPr>
        <w:t xml:space="preserve"> </w:t>
      </w:r>
    </w:p>
    <w:p w14:paraId="3F7A383C" w14:textId="77777777" w:rsidR="006A0CB6" w:rsidRPr="0079318E" w:rsidRDefault="006A0CB6" w:rsidP="006A0CB6">
      <w:pPr>
        <w:pStyle w:val="ATSHeading3"/>
        <w:numPr>
          <w:ilvl w:val="1"/>
          <w:numId w:val="21"/>
        </w:numPr>
        <w:rPr>
          <w:szCs w:val="22"/>
        </w:rPr>
      </w:pPr>
      <w:r w:rsidRPr="0079318E">
        <w:rPr>
          <w:szCs w:val="22"/>
        </w:rPr>
        <w:t>IBA criteria</w:t>
      </w:r>
    </w:p>
    <w:p w14:paraId="4ECC3F25" w14:textId="77777777" w:rsidR="006A0CB6" w:rsidRPr="0079318E" w:rsidRDefault="006A0CB6" w:rsidP="006A0CB6">
      <w:pPr>
        <w:pStyle w:val="ATSNormal"/>
        <w:rPr>
          <w:szCs w:val="22"/>
        </w:rPr>
      </w:pPr>
      <w:r w:rsidRPr="0079318E">
        <w:rPr>
          <w:szCs w:val="22"/>
        </w:rPr>
        <w:t>The global level IBA criteria</w:t>
      </w:r>
      <w:r w:rsidRPr="0079318E">
        <w:rPr>
          <w:rStyle w:val="Refdenotaalpie"/>
          <w:szCs w:val="22"/>
        </w:rPr>
        <w:footnoteReference w:id="10"/>
      </w:r>
      <w:r w:rsidRPr="0079318E">
        <w:rPr>
          <w:szCs w:val="22"/>
        </w:rPr>
        <w:t xml:space="preserve"> used in 2015 to identify the Antarctic IBAs</w:t>
      </w:r>
      <w:r w:rsidRPr="0079318E">
        <w:rPr>
          <w:rStyle w:val="Refdenotaalpie"/>
          <w:szCs w:val="22"/>
        </w:rPr>
        <w:footnoteReference w:id="11"/>
      </w:r>
      <w:r w:rsidRPr="0079318E">
        <w:rPr>
          <w:szCs w:val="22"/>
        </w:rPr>
        <w:t xml:space="preserve"> are:</w:t>
      </w:r>
    </w:p>
    <w:p w14:paraId="0C9F571F" w14:textId="77777777" w:rsidR="006A0CB6" w:rsidRPr="0079318E" w:rsidRDefault="006A0CB6" w:rsidP="006A0CB6">
      <w:pPr>
        <w:pStyle w:val="Prrafodelista"/>
        <w:numPr>
          <w:ilvl w:val="0"/>
          <w:numId w:val="23"/>
        </w:numPr>
        <w:autoSpaceDE w:val="0"/>
        <w:autoSpaceDN w:val="0"/>
        <w:adjustRightInd w:val="0"/>
        <w:spacing w:before="120" w:after="120"/>
        <w:ind w:left="357" w:hanging="357"/>
        <w:jc w:val="both"/>
        <w:rPr>
          <w:color w:val="000000"/>
          <w:szCs w:val="22"/>
        </w:rPr>
      </w:pPr>
      <w:r w:rsidRPr="0079318E">
        <w:rPr>
          <w:color w:val="000000"/>
          <w:szCs w:val="22"/>
        </w:rPr>
        <w:lastRenderedPageBreak/>
        <w:t>Criterion A1: sites holding significant numbers of globally threatened species, or other species of global conservation concern;</w:t>
      </w:r>
    </w:p>
    <w:p w14:paraId="57DDEA38" w14:textId="77777777" w:rsidR="006A0CB6" w:rsidRPr="0079318E" w:rsidRDefault="006A0CB6" w:rsidP="006A0CB6">
      <w:pPr>
        <w:pStyle w:val="Prrafodelista"/>
        <w:numPr>
          <w:ilvl w:val="0"/>
          <w:numId w:val="23"/>
        </w:numPr>
        <w:autoSpaceDE w:val="0"/>
        <w:autoSpaceDN w:val="0"/>
        <w:adjustRightInd w:val="0"/>
        <w:spacing w:before="120" w:after="120"/>
        <w:ind w:left="357" w:hanging="357"/>
        <w:jc w:val="both"/>
        <w:rPr>
          <w:color w:val="000000"/>
          <w:szCs w:val="22"/>
        </w:rPr>
      </w:pPr>
      <w:r w:rsidRPr="0079318E">
        <w:rPr>
          <w:color w:val="000000"/>
          <w:szCs w:val="22"/>
        </w:rPr>
        <w:t>Criterion A2: sites known or thought to hold a significant component of a restricted-range species;</w:t>
      </w:r>
    </w:p>
    <w:p w14:paraId="776F5BC1" w14:textId="77777777" w:rsidR="006A0CB6" w:rsidRPr="0079318E" w:rsidRDefault="006A0CB6" w:rsidP="006A0CB6">
      <w:pPr>
        <w:pStyle w:val="Prrafodelista"/>
        <w:numPr>
          <w:ilvl w:val="0"/>
          <w:numId w:val="23"/>
        </w:numPr>
        <w:autoSpaceDE w:val="0"/>
        <w:autoSpaceDN w:val="0"/>
        <w:adjustRightInd w:val="0"/>
        <w:spacing w:before="120" w:after="120"/>
        <w:ind w:left="357" w:hanging="357"/>
        <w:jc w:val="both"/>
        <w:rPr>
          <w:color w:val="000000"/>
          <w:szCs w:val="22"/>
        </w:rPr>
      </w:pPr>
      <w:r w:rsidRPr="0079318E">
        <w:rPr>
          <w:color w:val="000000"/>
          <w:szCs w:val="22"/>
        </w:rPr>
        <w:t xml:space="preserve">Criterion A3: sites known or thought to hold a significant component of the group of species whose distributions are largely or wholly confined to one biome; </w:t>
      </w:r>
    </w:p>
    <w:p w14:paraId="061FED28" w14:textId="77777777" w:rsidR="006A0CB6" w:rsidRPr="0079318E" w:rsidRDefault="006A0CB6" w:rsidP="006A0CB6">
      <w:pPr>
        <w:pStyle w:val="Prrafodelista"/>
        <w:numPr>
          <w:ilvl w:val="0"/>
          <w:numId w:val="23"/>
        </w:numPr>
        <w:autoSpaceDE w:val="0"/>
        <w:autoSpaceDN w:val="0"/>
        <w:adjustRightInd w:val="0"/>
        <w:spacing w:before="120" w:after="120"/>
        <w:ind w:left="357" w:hanging="357"/>
        <w:jc w:val="both"/>
        <w:rPr>
          <w:color w:val="000000"/>
          <w:szCs w:val="22"/>
        </w:rPr>
      </w:pPr>
      <w:r w:rsidRPr="0079318E">
        <w:rPr>
          <w:color w:val="000000"/>
          <w:szCs w:val="22"/>
        </w:rPr>
        <w:t xml:space="preserve">Criterion A4i: sites known or thought to hold, on a regular basis, 1% or more of a biogeographic population of a congregatory waterbird species; </w:t>
      </w:r>
    </w:p>
    <w:p w14:paraId="11D9DCB1" w14:textId="77777777" w:rsidR="006A0CB6" w:rsidRPr="0079318E" w:rsidRDefault="006A0CB6" w:rsidP="006A0CB6">
      <w:pPr>
        <w:pStyle w:val="Prrafodelista"/>
        <w:numPr>
          <w:ilvl w:val="0"/>
          <w:numId w:val="23"/>
        </w:numPr>
        <w:autoSpaceDE w:val="0"/>
        <w:autoSpaceDN w:val="0"/>
        <w:adjustRightInd w:val="0"/>
        <w:spacing w:before="120" w:after="120"/>
        <w:ind w:left="357" w:hanging="357"/>
        <w:jc w:val="both"/>
        <w:rPr>
          <w:color w:val="000000"/>
          <w:szCs w:val="22"/>
        </w:rPr>
      </w:pPr>
      <w:r w:rsidRPr="0079318E">
        <w:rPr>
          <w:color w:val="000000"/>
          <w:szCs w:val="22"/>
        </w:rPr>
        <w:t xml:space="preserve">Criterion A4ii: sites known or thought to hold on a regular basis, 1% or more of the global population of a congregatory seabird or terrestrial species; </w:t>
      </w:r>
    </w:p>
    <w:p w14:paraId="6DF43EE0" w14:textId="77777777" w:rsidR="006A0CB6" w:rsidRPr="0079318E" w:rsidRDefault="006A0CB6" w:rsidP="006A0CB6">
      <w:pPr>
        <w:pStyle w:val="Prrafodelista"/>
        <w:numPr>
          <w:ilvl w:val="0"/>
          <w:numId w:val="23"/>
        </w:numPr>
        <w:autoSpaceDE w:val="0"/>
        <w:autoSpaceDN w:val="0"/>
        <w:adjustRightInd w:val="0"/>
        <w:spacing w:before="120" w:after="120"/>
        <w:ind w:left="357" w:hanging="357"/>
        <w:jc w:val="both"/>
        <w:rPr>
          <w:color w:val="000000"/>
          <w:szCs w:val="22"/>
        </w:rPr>
      </w:pPr>
      <w:r w:rsidRPr="0079318E">
        <w:rPr>
          <w:color w:val="000000"/>
          <w:szCs w:val="22"/>
        </w:rPr>
        <w:t xml:space="preserve">Criterion A4iii: sites known or thought to hold, on a regular basis, at least 20,000 waterbirds, or at least 10,000 pairs of seabirds, of one or more species; </w:t>
      </w:r>
    </w:p>
    <w:p w14:paraId="4E1D09A4" w14:textId="77777777" w:rsidR="006A0CB6" w:rsidRPr="0079318E" w:rsidRDefault="006A0CB6" w:rsidP="006A0CB6">
      <w:pPr>
        <w:pStyle w:val="Prrafodelista"/>
        <w:numPr>
          <w:ilvl w:val="0"/>
          <w:numId w:val="23"/>
        </w:numPr>
        <w:autoSpaceDE w:val="0"/>
        <w:autoSpaceDN w:val="0"/>
        <w:adjustRightInd w:val="0"/>
        <w:spacing w:before="120" w:after="120"/>
        <w:ind w:left="357" w:hanging="357"/>
        <w:jc w:val="both"/>
        <w:rPr>
          <w:color w:val="000000"/>
          <w:szCs w:val="22"/>
        </w:rPr>
      </w:pPr>
      <w:r w:rsidRPr="0079318E">
        <w:rPr>
          <w:color w:val="000000"/>
          <w:szCs w:val="22"/>
        </w:rPr>
        <w:t xml:space="preserve">Criterion A4iv: sites known or thought to be a bottleneck site where migratory species pass regularly during migration in numbers exceeding set thresholds. </w:t>
      </w:r>
    </w:p>
    <w:p w14:paraId="4B07B291" w14:textId="77777777" w:rsidR="006A0CB6" w:rsidRDefault="006A0CB6" w:rsidP="006A0CB6">
      <w:pPr>
        <w:pStyle w:val="ATSNormal"/>
        <w:rPr>
          <w:szCs w:val="22"/>
        </w:rPr>
      </w:pPr>
    </w:p>
    <w:p w14:paraId="015A444A" w14:textId="77777777" w:rsidR="006A0CB6" w:rsidRPr="0079318E" w:rsidRDefault="006A0CB6" w:rsidP="006A0CB6">
      <w:pPr>
        <w:pStyle w:val="ATSHeading3"/>
        <w:numPr>
          <w:ilvl w:val="1"/>
          <w:numId w:val="21"/>
        </w:numPr>
        <w:rPr>
          <w:szCs w:val="22"/>
        </w:rPr>
      </w:pPr>
      <w:r>
        <w:rPr>
          <w:szCs w:val="22"/>
        </w:rPr>
        <w:t>National criteria</w:t>
      </w:r>
    </w:p>
    <w:p w14:paraId="7EFA75AA" w14:textId="77777777" w:rsidR="006A0CB6" w:rsidRDefault="006A0CB6" w:rsidP="006A0CB6">
      <w:pPr>
        <w:pStyle w:val="ATSNormal"/>
      </w:pPr>
      <w:r>
        <w:t>To meet the requirements of the European Union’s 1979 Birds Directive the UK’s Joint Nature Conservation Committee (JNCC) developed Special Protection Area Guidelines</w:t>
      </w:r>
      <w:r>
        <w:rPr>
          <w:rStyle w:val="Refdenotaalpie"/>
        </w:rPr>
        <w:footnoteReference w:id="12"/>
      </w:r>
      <w:r>
        <w:t xml:space="preserve"> that applied a two-stage approach:</w:t>
      </w:r>
    </w:p>
    <w:p w14:paraId="6980F018" w14:textId="77777777" w:rsidR="006A0CB6" w:rsidRDefault="006A0CB6" w:rsidP="006A0CB6">
      <w:pPr>
        <w:pStyle w:val="ATSNormal"/>
      </w:pPr>
      <w:r>
        <w:t xml:space="preserve">Stage 1 (to identify areas which are </w:t>
      </w:r>
      <w:r w:rsidRPr="000C6650">
        <w:rPr>
          <w:u w:val="single"/>
        </w:rPr>
        <w:t>likely to qualify</w:t>
      </w:r>
      <w:r>
        <w:t xml:space="preserve"> for SPA status) has four site criteria:</w:t>
      </w:r>
    </w:p>
    <w:p w14:paraId="1287BF55" w14:textId="77777777" w:rsidR="006A0CB6" w:rsidRDefault="006A0CB6" w:rsidP="006A0CB6">
      <w:pPr>
        <w:pStyle w:val="ATSNormal"/>
        <w:ind w:left="708"/>
      </w:pPr>
      <w:r>
        <w:t>1. An area is used regularly by 1% or more of the Great Britain (or in Northern Ireland, the all-Ireland) population of a species listed in Annex 1 of the Birds Directive in any season.</w:t>
      </w:r>
    </w:p>
    <w:p w14:paraId="7CC3E7F5" w14:textId="77777777" w:rsidR="006A0CB6" w:rsidRDefault="006A0CB6" w:rsidP="006A0CB6">
      <w:pPr>
        <w:pStyle w:val="ATSNormal"/>
        <w:ind w:left="708"/>
      </w:pPr>
      <w:r>
        <w:t>2. An area is used regularly by 1% or more of the biogeographical population of a regularly occurring migratory species (other than those listed in Annex 1) in any season.</w:t>
      </w:r>
    </w:p>
    <w:p w14:paraId="02A6982B" w14:textId="77777777" w:rsidR="006A0CB6" w:rsidRDefault="006A0CB6" w:rsidP="006A0CB6">
      <w:pPr>
        <w:pStyle w:val="ATSNormal"/>
        <w:ind w:left="708"/>
      </w:pPr>
      <w:r>
        <w:t>3. An area is used regularly by over 20,000 waterfowl (as defined by the Ramsar Convention) or 20,000 seabirds in any season.</w:t>
      </w:r>
    </w:p>
    <w:p w14:paraId="4C286E54" w14:textId="77777777" w:rsidR="006A0CB6" w:rsidRDefault="006A0CB6" w:rsidP="006A0CB6">
      <w:pPr>
        <w:pStyle w:val="ATSNormal"/>
        <w:ind w:left="708"/>
      </w:pPr>
      <w:r>
        <w:t>4. An area which meets the requirements of one or more of the Stage 2 guidelines in any season, where the application of Stage 1 guidelines 1, 2, or 3 for a species does not identify an adequate suite of most suitable sites for the conservation of that species.</w:t>
      </w:r>
    </w:p>
    <w:p w14:paraId="461D7C03" w14:textId="77777777" w:rsidR="006A0CB6" w:rsidRDefault="006A0CB6" w:rsidP="006A0CB6">
      <w:pPr>
        <w:pStyle w:val="ATSNormal"/>
      </w:pPr>
    </w:p>
    <w:p w14:paraId="742B545B" w14:textId="77777777" w:rsidR="006A0CB6" w:rsidRDefault="006A0CB6" w:rsidP="006A0CB6">
      <w:pPr>
        <w:pStyle w:val="ATSNormal"/>
      </w:pPr>
      <w:r>
        <w:t>Stage 2 (to select the most suitable areas in number and size for SPA classification) has seven site criteria:</w:t>
      </w:r>
    </w:p>
    <w:p w14:paraId="3D501C06" w14:textId="77777777" w:rsidR="006A0CB6" w:rsidRDefault="006A0CB6" w:rsidP="006A0CB6">
      <w:pPr>
        <w:pStyle w:val="ATSNormal"/>
        <w:ind w:left="708"/>
      </w:pPr>
      <w:r>
        <w:t>1. Population size and density – areas holding or supporting more birds than others and/or holding or supporting birds at higher concentration are favoured for selection.</w:t>
      </w:r>
    </w:p>
    <w:p w14:paraId="454FDA7C" w14:textId="77777777" w:rsidR="006A0CB6" w:rsidRDefault="006A0CB6" w:rsidP="006A0CB6">
      <w:pPr>
        <w:pStyle w:val="ATSNormal"/>
        <w:ind w:left="708"/>
      </w:pPr>
      <w:r>
        <w:t>2. Species range – areas selected for a given species provide as wide a geographic coverage across the species’ range as possible.</w:t>
      </w:r>
    </w:p>
    <w:p w14:paraId="237DABC1" w14:textId="77777777" w:rsidR="006A0CB6" w:rsidRDefault="006A0CB6" w:rsidP="006A0CB6">
      <w:pPr>
        <w:pStyle w:val="ATSNormal"/>
        <w:ind w:left="708"/>
      </w:pPr>
      <w:r>
        <w:t>3. Breeding success – areas of higher breeding success than others are favoured for selection.</w:t>
      </w:r>
    </w:p>
    <w:p w14:paraId="2732C363" w14:textId="77777777" w:rsidR="006A0CB6" w:rsidRDefault="006A0CB6" w:rsidP="006A0CB6">
      <w:pPr>
        <w:pStyle w:val="ATSNormal"/>
        <w:ind w:left="708"/>
      </w:pPr>
      <w:r>
        <w:t>4. History of occupancy – areas known to have a longer history of occupancy or use by the relevant species are favoured for selection.</w:t>
      </w:r>
    </w:p>
    <w:p w14:paraId="617E7040" w14:textId="77777777" w:rsidR="006A0CB6" w:rsidRDefault="006A0CB6" w:rsidP="006A0CB6">
      <w:pPr>
        <w:pStyle w:val="ATSNormal"/>
        <w:ind w:left="708"/>
      </w:pPr>
      <w:r>
        <w:t>5. Multi-species areas – areas holding or supporting the larger number of qualifying species under Article 4 of the Directive are favoured for selection;</w:t>
      </w:r>
    </w:p>
    <w:p w14:paraId="4AA5256F" w14:textId="77777777" w:rsidR="006A0CB6" w:rsidRDefault="006A0CB6" w:rsidP="006A0CB6">
      <w:pPr>
        <w:pStyle w:val="ATSNormal"/>
        <w:ind w:left="708"/>
      </w:pPr>
      <w:r>
        <w:t>6. Naturalness – areas comprising natural or semi-natural habitats are favoured for selection over those which do not.</w:t>
      </w:r>
    </w:p>
    <w:p w14:paraId="3C99F987" w14:textId="77777777" w:rsidR="006A0CB6" w:rsidRPr="00AE00CE" w:rsidRDefault="006A0CB6" w:rsidP="006A0CB6">
      <w:pPr>
        <w:pStyle w:val="ATSNormal"/>
        <w:ind w:left="708"/>
      </w:pPr>
      <w:r>
        <w:lastRenderedPageBreak/>
        <w:t>7. Severe weather refuges – areas used at least once a decade by significant proportions of the biogeographical population of a species in periods of severe weather in any season, and which are vital for the survival of a viable population, are favoured for selection.</w:t>
      </w:r>
    </w:p>
    <w:p w14:paraId="7A068096" w14:textId="77777777" w:rsidR="006A0CB6" w:rsidRDefault="006A0CB6" w:rsidP="006A0CB6"/>
    <w:p w14:paraId="668004CF" w14:textId="77777777" w:rsidR="006A0CB6" w:rsidRDefault="006A0CB6" w:rsidP="006A0CB6">
      <w:r>
        <w:br w:type="page"/>
      </w:r>
    </w:p>
    <w:p w14:paraId="58455F07" w14:textId="77777777" w:rsidR="006A0CB6" w:rsidRDefault="006A0CB6" w:rsidP="006A0CB6">
      <w:pPr>
        <w:pStyle w:val="ATSHeading2"/>
      </w:pPr>
      <w:r>
        <w:lastRenderedPageBreak/>
        <w:t>Appendix 2. Additional observations</w:t>
      </w:r>
    </w:p>
    <w:p w14:paraId="785B639C" w14:textId="77777777" w:rsidR="006A0CB6" w:rsidRDefault="006A0CB6" w:rsidP="006A0CB6">
      <w:pPr>
        <w:pStyle w:val="ATSNormal"/>
      </w:pPr>
    </w:p>
    <w:p w14:paraId="6509503B" w14:textId="77777777" w:rsidR="006A0CB6" w:rsidRDefault="006A0CB6" w:rsidP="006A0CB6">
      <w:pPr>
        <w:pStyle w:val="ATSNormal"/>
      </w:pPr>
      <w:r w:rsidRPr="00976A06">
        <w:t>Consideration and discussion around the development of these criteria has raised several issues relevant to the mechanisms of affording protection to colonies of birds in Antarctica. These are recorded below to aid further discussion.</w:t>
      </w:r>
    </w:p>
    <w:p w14:paraId="3157CB50" w14:textId="77777777" w:rsidR="006A0CB6" w:rsidRPr="00976A06" w:rsidRDefault="006A0CB6" w:rsidP="006A0CB6">
      <w:pPr>
        <w:pStyle w:val="ATSNormal"/>
      </w:pPr>
    </w:p>
    <w:p w14:paraId="101F9AC6" w14:textId="77777777" w:rsidR="006A0CB6" w:rsidRDefault="006A0CB6" w:rsidP="006A0CB6">
      <w:pPr>
        <w:pStyle w:val="ATSNumber1"/>
        <w:numPr>
          <w:ilvl w:val="0"/>
          <w:numId w:val="13"/>
        </w:numPr>
        <w:ind w:left="360"/>
      </w:pPr>
      <w:r w:rsidRPr="001D2E57">
        <w:rPr>
          <w:b/>
        </w:rPr>
        <w:t>Marine foraging areas</w:t>
      </w:r>
      <w:r w:rsidRPr="001D2E57">
        <w:t>.  Pressures being faced by some species may be most significant at foraging (rather than ‘breeding’) locations. In such cases, the best conservation outcomes may not always be achieved by protecting terrestrial breeding colonies; though such designation can help to avoid additional pressures on certain species or populations. It is noted that BirdLife International has identified a series of marine IBAs south of 60</w:t>
      </w:r>
      <w:r w:rsidRPr="001D2E57">
        <w:rPr>
          <w:vertAlign w:val="superscript"/>
        </w:rPr>
        <w:t>o</w:t>
      </w:r>
      <w:r w:rsidRPr="001D2E57">
        <w:t xml:space="preserve"> South, most of which are in the Antarctic Peninsula region (see: </w:t>
      </w:r>
      <w:hyperlink r:id="rId11" w:history="1">
        <w:r w:rsidRPr="00BE75CF">
          <w:rPr>
            <w:rStyle w:val="Hipervnculo"/>
            <w:szCs w:val="22"/>
          </w:rPr>
          <w:t>https://maps.birdlife.org/marineIBAs</w:t>
        </w:r>
      </w:hyperlink>
      <w:r w:rsidRPr="001D2E57">
        <w:t>)</w:t>
      </w:r>
      <w:r>
        <w:t xml:space="preserve">. This </w:t>
      </w:r>
      <w:r w:rsidRPr="001D2E57">
        <w:t>information has not been brought to the attention of or considered by the CEP</w:t>
      </w:r>
      <w:r>
        <w:t xml:space="preserve">, though has been considered by </w:t>
      </w:r>
      <w:r w:rsidRPr="001D2E57">
        <w:t>SC-CAMLR</w:t>
      </w:r>
      <w:r>
        <w:t>’s WG-EMM (</w:t>
      </w:r>
      <w:hyperlink r:id="rId12" w:history="1">
        <w:r w:rsidRPr="00BE75CF">
          <w:rPr>
            <w:rStyle w:val="Hipervnculo"/>
          </w:rPr>
          <w:t>https://www.ccamlr.org/en/wg-emm-2019/30</w:t>
        </w:r>
      </w:hyperlink>
      <w:r>
        <w:t>)</w:t>
      </w:r>
      <w:r w:rsidRPr="001D2E57">
        <w:t>. It is also noted that CCAMLR ha</w:t>
      </w:r>
      <w:r>
        <w:t>s</w:t>
      </w:r>
      <w:r w:rsidRPr="001D2E57">
        <w:t xml:space="preserve"> identified some foraging distributions for some species in the process of preparing MPA proposals. It may be appropriate for the CEP and </w:t>
      </w:r>
      <w:r>
        <w:t>S</w:t>
      </w:r>
      <w:r w:rsidRPr="001D2E57">
        <w:t>C</w:t>
      </w:r>
      <w:r>
        <w:t>-</w:t>
      </w:r>
      <w:r w:rsidRPr="001D2E57">
        <w:t xml:space="preserve">CAMLR to discuss </w:t>
      </w:r>
      <w:r>
        <w:t>whether further work on marine foraging areas might be needed and if so within which body.</w:t>
      </w:r>
    </w:p>
    <w:p w14:paraId="2781682F" w14:textId="77777777" w:rsidR="006A0CB6" w:rsidRPr="001D2E57" w:rsidRDefault="006A0CB6" w:rsidP="006A0CB6">
      <w:pPr>
        <w:pStyle w:val="ATSNumber1"/>
        <w:numPr>
          <w:ilvl w:val="0"/>
          <w:numId w:val="0"/>
        </w:numPr>
      </w:pPr>
    </w:p>
    <w:p w14:paraId="2A86AD24" w14:textId="77777777" w:rsidR="006A0CB6" w:rsidRDefault="006A0CB6" w:rsidP="006A0CB6">
      <w:pPr>
        <w:pStyle w:val="ATSNumber1"/>
        <w:numPr>
          <w:ilvl w:val="0"/>
          <w:numId w:val="13"/>
        </w:numPr>
        <w:ind w:left="360"/>
      </w:pPr>
      <w:r w:rsidRPr="001D2E57">
        <w:rPr>
          <w:b/>
        </w:rPr>
        <w:t>Cooperation with other bodies</w:t>
      </w:r>
      <w:r w:rsidRPr="001D2E57">
        <w:t>.  Cooperation with other relevant international fora should be considered in the protection and conservation of seabirds, including CCAMLR, the Agreement on the Conservation of Albatross and Petrels (ACAP) and the Convention on Migratory Species (CMS) as appropriate.</w:t>
      </w:r>
    </w:p>
    <w:p w14:paraId="0BACFE4C" w14:textId="77777777" w:rsidR="006A0CB6" w:rsidRPr="001D2E57" w:rsidRDefault="006A0CB6" w:rsidP="006A0CB6">
      <w:pPr>
        <w:pStyle w:val="ATSNumber1"/>
        <w:numPr>
          <w:ilvl w:val="0"/>
          <w:numId w:val="0"/>
        </w:numPr>
      </w:pPr>
    </w:p>
    <w:p w14:paraId="06A45047" w14:textId="77777777" w:rsidR="006A0CB6" w:rsidRDefault="006A0CB6" w:rsidP="006A0CB6">
      <w:pPr>
        <w:pStyle w:val="ATSNumber1"/>
        <w:numPr>
          <w:ilvl w:val="0"/>
          <w:numId w:val="13"/>
        </w:numPr>
        <w:ind w:left="360"/>
      </w:pPr>
      <w:r>
        <w:rPr>
          <w:b/>
        </w:rPr>
        <w:t xml:space="preserve">Research and </w:t>
      </w:r>
      <w:r w:rsidRPr="001D2E57">
        <w:rPr>
          <w:b/>
        </w:rPr>
        <w:t>Monitoring</w:t>
      </w:r>
      <w:r w:rsidRPr="001D2E57">
        <w:t xml:space="preserve">.  Research </w:t>
      </w:r>
      <w:r>
        <w:t xml:space="preserve">and monitoring </w:t>
      </w:r>
      <w:r w:rsidRPr="001D2E57">
        <w:t xml:space="preserve">is being undertaken to collect Antarctic bird population data including from remote sensing platforms as well as on-the-ground censuses (e.g. the Antarctic Site Inventory), though </w:t>
      </w:r>
      <w:r>
        <w:t>it</w:t>
      </w:r>
      <w:r w:rsidRPr="001D2E57">
        <w:t xml:space="preserve"> is important that collected data is made readily available to environmental managers to support ongoing consideration of management options. Spatial and temporal population data remains extremely patchy, and there is a pressing need for Governments to consider ways to improve population monitoring across Antarctica</w:t>
      </w:r>
      <w:r>
        <w:rPr>
          <w:rStyle w:val="Refdenotaalpie"/>
        </w:rPr>
        <w:footnoteReference w:id="13"/>
      </w:r>
      <w:r w:rsidRPr="001D2E57">
        <w:t>.</w:t>
      </w:r>
    </w:p>
    <w:p w14:paraId="68A85CC7" w14:textId="77777777" w:rsidR="006A0CB6" w:rsidRPr="001D2E57" w:rsidRDefault="006A0CB6" w:rsidP="006A0CB6">
      <w:pPr>
        <w:pStyle w:val="ATSNumber1"/>
        <w:numPr>
          <w:ilvl w:val="0"/>
          <w:numId w:val="0"/>
        </w:numPr>
      </w:pPr>
    </w:p>
    <w:p w14:paraId="1DFC25D9" w14:textId="77777777" w:rsidR="006A0CB6" w:rsidRDefault="006A0CB6" w:rsidP="006A0CB6">
      <w:pPr>
        <w:pStyle w:val="ATSNumber1"/>
        <w:numPr>
          <w:ilvl w:val="0"/>
          <w:numId w:val="13"/>
        </w:numPr>
        <w:ind w:left="360"/>
      </w:pPr>
      <w:r w:rsidRPr="001D2E57">
        <w:rPr>
          <w:b/>
        </w:rPr>
        <w:t>Ongoing application of criteria</w:t>
      </w:r>
      <w:r w:rsidRPr="001D2E57">
        <w:t xml:space="preserve">.  Criteria (including the IBA criteria) will likely need to be revisited over time as new data and information become available. This will include population and </w:t>
      </w:r>
      <w:r>
        <w:t>location-specific</w:t>
      </w:r>
      <w:r w:rsidRPr="001D2E57">
        <w:t xml:space="preserve"> data, as well as genetic data which may assist in better descriptions of cryptic species (e.g. Antarctic prions). This could also include situations where new colonies are discovered e.g. through remote sensing</w:t>
      </w:r>
      <w:r w:rsidRPr="001D2E57">
        <w:rPr>
          <w:rStyle w:val="Refdenotaalpie"/>
          <w:szCs w:val="22"/>
        </w:rPr>
        <w:footnoteReference w:id="14"/>
      </w:r>
      <w:r w:rsidRPr="001D2E57">
        <w:rPr>
          <w:vertAlign w:val="superscript"/>
        </w:rPr>
        <w:t>,</w:t>
      </w:r>
      <w:r w:rsidRPr="001D2E57">
        <w:rPr>
          <w:rStyle w:val="Refdenotaalpie"/>
          <w:szCs w:val="22"/>
        </w:rPr>
        <w:footnoteReference w:id="15"/>
      </w:r>
      <w:r w:rsidRPr="001D2E57">
        <w:t xml:space="preserve"> </w:t>
      </w:r>
      <w:r>
        <w:t>as well as on-the-ground surveys</w:t>
      </w:r>
      <w:r w:rsidRPr="001D2E57">
        <w:t>.</w:t>
      </w:r>
    </w:p>
    <w:p w14:paraId="6D44AA5B" w14:textId="77777777" w:rsidR="006A0CB6" w:rsidRPr="001D2E57" w:rsidRDefault="006A0CB6" w:rsidP="006A0CB6">
      <w:pPr>
        <w:pStyle w:val="ATSNumber1"/>
        <w:numPr>
          <w:ilvl w:val="0"/>
          <w:numId w:val="0"/>
        </w:numPr>
      </w:pPr>
    </w:p>
    <w:p w14:paraId="7E484B8F" w14:textId="77777777" w:rsidR="006A0CB6" w:rsidRPr="00B35280" w:rsidRDefault="006A0CB6" w:rsidP="006A0CB6">
      <w:pPr>
        <w:pStyle w:val="ATSNumber1"/>
        <w:numPr>
          <w:ilvl w:val="0"/>
          <w:numId w:val="13"/>
        </w:numPr>
        <w:ind w:left="360"/>
      </w:pPr>
      <w:r w:rsidRPr="00B35280">
        <w:rPr>
          <w:b/>
        </w:rPr>
        <w:t>Threats</w:t>
      </w:r>
      <w:r w:rsidRPr="00B35280">
        <w:t>.  Account needs to be taken of the threats to a species in considering options for protection. Threats can be species specific</w:t>
      </w:r>
      <w:r>
        <w:t>, for example s</w:t>
      </w:r>
      <w:r w:rsidRPr="00B35280">
        <w:t xml:space="preserve">ome bird species </w:t>
      </w:r>
      <w:r>
        <w:t>demonstrate an ability to adapt</w:t>
      </w:r>
      <w:r w:rsidRPr="00B35280">
        <w:t xml:space="preserve"> to climate </w:t>
      </w:r>
      <w:r>
        <w:t xml:space="preserve">change </w:t>
      </w:r>
      <w:r w:rsidRPr="00B35280">
        <w:t xml:space="preserve">pressures, whereas others </w:t>
      </w:r>
      <w:r>
        <w:t>may</w:t>
      </w:r>
      <w:r w:rsidRPr="00B35280">
        <w:t xml:space="preserve"> </w:t>
      </w:r>
      <w:r>
        <w:t xml:space="preserve">struggle </w:t>
      </w:r>
      <w:r w:rsidRPr="00B35280">
        <w:t xml:space="preserve">to do so. Threats (impacts) can be direct, indirect and cumulative and a full assessment is needed to ensure appropriate management measures are utilised.  Threats may directly or indirectly result from: </w:t>
      </w:r>
    </w:p>
    <w:p w14:paraId="3687995F" w14:textId="77777777" w:rsidR="006A0CB6" w:rsidRPr="00AB1E93" w:rsidRDefault="006A0CB6" w:rsidP="006A0CB6">
      <w:pPr>
        <w:pStyle w:val="ATSBullet1"/>
        <w:numPr>
          <w:ilvl w:val="0"/>
          <w:numId w:val="11"/>
        </w:numPr>
        <w:ind w:left="924" w:hanging="357"/>
      </w:pPr>
      <w:r w:rsidRPr="00AB1E93">
        <w:lastRenderedPageBreak/>
        <w:t xml:space="preserve">environmental change, including habitat loss (could be habitat gain in same cases) and effects on food availability; </w:t>
      </w:r>
    </w:p>
    <w:p w14:paraId="0B13A50F" w14:textId="77777777" w:rsidR="006A0CB6" w:rsidRPr="00AB1E93" w:rsidRDefault="006A0CB6" w:rsidP="006A0CB6">
      <w:pPr>
        <w:pStyle w:val="ATSBullet1"/>
        <w:numPr>
          <w:ilvl w:val="0"/>
          <w:numId w:val="11"/>
        </w:numPr>
        <w:ind w:left="924" w:hanging="357"/>
      </w:pPr>
      <w:r w:rsidRPr="00AB1E93">
        <w:t>human activity e.g. logistics, science, tourism, infrastructure development and fishing.</w:t>
      </w:r>
    </w:p>
    <w:p w14:paraId="0BAFF83C" w14:textId="77777777" w:rsidR="006A0CB6" w:rsidRDefault="006A0CB6" w:rsidP="006A0CB6">
      <w:pPr>
        <w:pStyle w:val="ATSNormal"/>
        <w:ind w:left="360"/>
      </w:pPr>
      <w:r w:rsidRPr="007656FE">
        <w:t>Consideration may also need to be given to the susceptibility of a species to future threats e.g. increased susceptibility to disease as a result of increased stress as a consequence of climate change and other pressures.</w:t>
      </w:r>
    </w:p>
    <w:p w14:paraId="78D2C9B8" w14:textId="77777777" w:rsidR="006A0CB6" w:rsidRPr="007656FE" w:rsidRDefault="006A0CB6" w:rsidP="006A0CB6">
      <w:pPr>
        <w:pStyle w:val="ATSNormal"/>
      </w:pPr>
    </w:p>
    <w:p w14:paraId="49919353" w14:textId="77777777" w:rsidR="006A0CB6" w:rsidRDefault="006A0CB6" w:rsidP="006A0CB6">
      <w:pPr>
        <w:pStyle w:val="ATSNumber1"/>
        <w:numPr>
          <w:ilvl w:val="0"/>
          <w:numId w:val="13"/>
        </w:numPr>
        <w:ind w:left="360"/>
      </w:pPr>
      <w:r w:rsidRPr="001D2E57">
        <w:rPr>
          <w:b/>
        </w:rPr>
        <w:t>Birds as indicators of broader biodiversity values</w:t>
      </w:r>
      <w:r w:rsidRPr="001D2E57">
        <w:t xml:space="preserve">.  BirdLife International has developed its </w:t>
      </w:r>
      <w:r>
        <w:t xml:space="preserve">assessment </w:t>
      </w:r>
      <w:r w:rsidRPr="001D2E57">
        <w:t xml:space="preserve">approach </w:t>
      </w:r>
      <w:r>
        <w:t xml:space="preserve">over time </w:t>
      </w:r>
      <w:r w:rsidRPr="001D2E57">
        <w:t>and now recognises ‘Important Bird and Biodiversity Areas’ as a component of identifying and protecting ‘Key Biodiversity Areas’</w:t>
      </w:r>
      <w:r w:rsidRPr="001D2E57">
        <w:rPr>
          <w:vertAlign w:val="superscript"/>
        </w:rPr>
        <w:footnoteReference w:id="16"/>
      </w:r>
      <w:r w:rsidRPr="001D2E57">
        <w:t xml:space="preserve">. In time, the CEP and Antarctic Treaty Parties, may need to give consideration to </w:t>
      </w:r>
      <w:r>
        <w:t xml:space="preserve">systematically </w:t>
      </w:r>
      <w:r w:rsidRPr="001D2E57">
        <w:t>assessing and identifying broader scale ecological management units, ecosystems, and/or habitats within the A</w:t>
      </w:r>
      <w:r>
        <w:t xml:space="preserve">ntarctic protected area system </w:t>
      </w:r>
      <w:r w:rsidRPr="001D2E57">
        <w:t>that integrate and account for a range of biodiversity values.</w:t>
      </w:r>
    </w:p>
    <w:p w14:paraId="70CDBE2D" w14:textId="77777777" w:rsidR="006A0CB6" w:rsidRDefault="006A0CB6" w:rsidP="006A0CB6"/>
    <w:p w14:paraId="02E170DD" w14:textId="77777777" w:rsidR="006A0CB6" w:rsidRDefault="006A0CB6" w:rsidP="00952E9F"/>
    <w:p w14:paraId="73B12AD1" w14:textId="77777777" w:rsidR="006A0CB6" w:rsidRDefault="006A0CB6" w:rsidP="00952E9F"/>
    <w:sectPr w:rsidR="006A0CB6"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D750A" w14:textId="77777777" w:rsidR="00000000" w:rsidRDefault="006A0CB6">
      <w:r>
        <w:separator/>
      </w:r>
    </w:p>
  </w:endnote>
  <w:endnote w:type="continuationSeparator" w:id="0">
    <w:p w14:paraId="221FE025" w14:textId="77777777" w:rsidR="00000000" w:rsidRDefault="006A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3399" w14:textId="77777777" w:rsidR="00FA0B9F" w:rsidRDefault="006A0CB6" w:rsidP="00CF5C82">
    <w:pPr>
      <w:framePr w:wrap="around" w:vAnchor="text" w:hAnchor="margin" w:xAlign="right" w:y="1"/>
    </w:pPr>
    <w:r>
      <w:fldChar w:fldCharType="begin"/>
    </w:r>
    <w:r>
      <w:instrText xml:space="preserve">PAGE  </w:instrText>
    </w:r>
    <w:r>
      <w:fldChar w:fldCharType="end"/>
    </w:r>
  </w:p>
  <w:p w14:paraId="3694279C" w14:textId="77777777" w:rsidR="00FA0B9F" w:rsidRDefault="006A0CB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984F" w14:textId="77777777" w:rsidR="00FA0B9F" w:rsidRDefault="006A0CB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AF0DAC0" w14:textId="7E2D7635" w:rsidR="00FA0B9F" w:rsidRDefault="006A0CB6" w:rsidP="006A0CB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99AEC" w14:textId="77777777" w:rsidR="00E311C9" w:rsidRDefault="006A0CB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2790981" w14:textId="77777777" w:rsidR="00E311C9" w:rsidRDefault="006A0CB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CBC7C" w14:textId="77777777" w:rsidR="00000000" w:rsidRDefault="006A0CB6">
      <w:r>
        <w:separator/>
      </w:r>
    </w:p>
  </w:footnote>
  <w:footnote w:type="continuationSeparator" w:id="0">
    <w:p w14:paraId="6DAED2C1" w14:textId="77777777" w:rsidR="00000000" w:rsidRDefault="006A0CB6">
      <w:r>
        <w:continuationSeparator/>
      </w:r>
    </w:p>
  </w:footnote>
  <w:footnote w:id="1">
    <w:p w14:paraId="2005BB30" w14:textId="77777777" w:rsidR="006A0CB6" w:rsidRDefault="006A0CB6" w:rsidP="006A0CB6">
      <w:pPr>
        <w:pStyle w:val="Textonotapie"/>
      </w:pPr>
      <w:r>
        <w:rPr>
          <w:rStyle w:val="Refdenotaalpie"/>
        </w:rPr>
        <w:footnoteRef/>
      </w:r>
      <w:r>
        <w:t xml:space="preserve"> </w:t>
      </w:r>
      <w:r w:rsidRPr="00E81753">
        <w:rPr>
          <w:sz w:val="20"/>
          <w:szCs w:val="20"/>
        </w:rPr>
        <w:t>The term ‘</w:t>
      </w:r>
      <w:r>
        <w:rPr>
          <w:sz w:val="20"/>
          <w:szCs w:val="20"/>
        </w:rPr>
        <w:t>bird areas</w:t>
      </w:r>
      <w:r w:rsidRPr="00E81753">
        <w:rPr>
          <w:sz w:val="20"/>
          <w:szCs w:val="20"/>
        </w:rPr>
        <w:t xml:space="preserve">’ is used throughout this document, </w:t>
      </w:r>
      <w:r>
        <w:rPr>
          <w:sz w:val="20"/>
          <w:szCs w:val="20"/>
        </w:rPr>
        <w:t xml:space="preserve">which is intended to include ‘colonies’ of birds, which is </w:t>
      </w:r>
      <w:r w:rsidRPr="00E81753">
        <w:rPr>
          <w:sz w:val="20"/>
          <w:szCs w:val="20"/>
        </w:rPr>
        <w:t xml:space="preserve">appropriate for many Antarctic breeding species which aggregate very strongly when breeding, </w:t>
      </w:r>
      <w:r>
        <w:rPr>
          <w:sz w:val="20"/>
          <w:szCs w:val="20"/>
        </w:rPr>
        <w:t>as well as other locations where birds s</w:t>
      </w:r>
      <w:r w:rsidRPr="00E81753">
        <w:rPr>
          <w:sz w:val="20"/>
          <w:szCs w:val="20"/>
        </w:rPr>
        <w:t xml:space="preserve">uch as snow petrels and Wilsons storm petrels, </w:t>
      </w:r>
      <w:r>
        <w:rPr>
          <w:sz w:val="20"/>
          <w:szCs w:val="20"/>
        </w:rPr>
        <w:t xml:space="preserve">only </w:t>
      </w:r>
      <w:r w:rsidRPr="00E81753">
        <w:rPr>
          <w:sz w:val="20"/>
          <w:szCs w:val="20"/>
        </w:rPr>
        <w:t>loosely aggregate when breeding.</w:t>
      </w:r>
      <w:r>
        <w:rPr>
          <w:sz w:val="20"/>
          <w:szCs w:val="20"/>
        </w:rPr>
        <w:t xml:space="preserve">  The term ‘colony’ is used when it clearly applies to a certain species or when referring to Article 3(2)(c) of Annex V to the Protocol which uses this term.</w:t>
      </w:r>
    </w:p>
  </w:footnote>
  <w:footnote w:id="2">
    <w:p w14:paraId="16EAD737" w14:textId="77777777" w:rsidR="006A0CB6" w:rsidRDefault="006A0CB6" w:rsidP="006A0CB6">
      <w:pPr>
        <w:pStyle w:val="Textonotapie"/>
      </w:pPr>
      <w:r>
        <w:rPr>
          <w:rStyle w:val="Refdenotaalpie"/>
        </w:rPr>
        <w:footnoteRef/>
      </w:r>
      <w:r>
        <w:t xml:space="preserve"> </w:t>
      </w:r>
      <w:r w:rsidRPr="00FE1FA9">
        <w:rPr>
          <w:sz w:val="20"/>
          <w:szCs w:val="20"/>
        </w:rPr>
        <w:t xml:space="preserve">Harris, C.M., Lorenz, K., Fishpool, L.D.C., Lascelles, B., Cooper, J., Croxall, J.P., Emmerson, L.M., Fijn, R., Fraser, W.L., Jouventin, P., LaRue, M.A., Le Maho, Y., Lynch, H.J., Naveen, R., Patterson-Fraser, D.L., Peter, H.-U., Poncet, S., Phillips, R.A., Southwell, C.J., van Franeker, J.A., Weimerskirch, H., Wienecke, B., &amp; Woehler, E.J. 2015. </w:t>
      </w:r>
      <w:r w:rsidRPr="00FE1FA9">
        <w:rPr>
          <w:i/>
          <w:iCs/>
          <w:sz w:val="20"/>
          <w:szCs w:val="20"/>
        </w:rPr>
        <w:t>Important Bird Areas in Antarctica 2015 Summary</w:t>
      </w:r>
      <w:r w:rsidRPr="00FE1FA9">
        <w:rPr>
          <w:sz w:val="20"/>
          <w:szCs w:val="20"/>
        </w:rPr>
        <w:t>. BirdLife International and Environmental Research &amp; Assessment Ltd., Cambridge.</w:t>
      </w:r>
    </w:p>
  </w:footnote>
  <w:footnote w:id="3">
    <w:p w14:paraId="4A4F03FD" w14:textId="77777777" w:rsidR="006A0CB6" w:rsidRDefault="006A0CB6" w:rsidP="006A0CB6">
      <w:pPr>
        <w:pStyle w:val="Textonotapie"/>
      </w:pPr>
      <w:r>
        <w:rPr>
          <w:rStyle w:val="Refdenotaalpie"/>
        </w:rPr>
        <w:footnoteRef/>
      </w:r>
      <w:r>
        <w:t xml:space="preserve"> </w:t>
      </w:r>
      <w:r w:rsidRPr="008B7135">
        <w:rPr>
          <w:sz w:val="20"/>
          <w:szCs w:val="20"/>
        </w:rPr>
        <w:t xml:space="preserve">See for example: Trathan, P.N., Wienecke, B., Barbraud, C., Jenouvrier, S. et al. 2020. </w:t>
      </w:r>
      <w:r w:rsidRPr="00582586">
        <w:rPr>
          <w:sz w:val="20"/>
          <w:szCs w:val="20"/>
        </w:rPr>
        <w:t xml:space="preserve">The emperor penguin - Vulnerable to projected rates of warming and sea ice loss. Biological Conservation, 241 </w:t>
      </w:r>
      <w:hyperlink r:id="rId1" w:history="1">
        <w:r w:rsidRPr="00BE75CF">
          <w:rPr>
            <w:rStyle w:val="Hipervnculo"/>
            <w:sz w:val="20"/>
            <w:szCs w:val="20"/>
          </w:rPr>
          <w:t>https://doi.org/10.1016/j.biocon.2019.108216</w:t>
        </w:r>
      </w:hyperlink>
      <w:r>
        <w:rPr>
          <w:sz w:val="20"/>
          <w:szCs w:val="20"/>
        </w:rPr>
        <w:t xml:space="preserve"> </w:t>
      </w:r>
    </w:p>
  </w:footnote>
  <w:footnote w:id="4">
    <w:p w14:paraId="5458E4CA" w14:textId="77777777" w:rsidR="006A0CB6" w:rsidRDefault="006A0CB6" w:rsidP="006A0CB6">
      <w:pPr>
        <w:pStyle w:val="Textonotapie"/>
      </w:pPr>
      <w:r w:rsidRPr="00FE1FA9">
        <w:rPr>
          <w:rStyle w:val="Refdenotaalpie"/>
          <w:sz w:val="20"/>
          <w:szCs w:val="20"/>
        </w:rPr>
        <w:footnoteRef/>
      </w:r>
      <w:r w:rsidRPr="00FE1FA9">
        <w:rPr>
          <w:sz w:val="20"/>
          <w:szCs w:val="20"/>
        </w:rPr>
        <w:t xml:space="preserve"> Harris, C.M., Lorenz, K., Fishpool, L.D.C., Lascelles, B., Cooper, J., Croxall, J.P., Emmerson, L.M., Fijn, R., Fraser, W.L., Jouventin, P., LaRue, M.A., Le Maho, Y., Lynch, H.J., Naveen, R., Patterson-Fraser, D.L., Peter, H.-U., Poncet, S., Phillips, R.A., Southwell, C.J., van Franeker, J.A., Weimerskirch, H., Wienecke, B., &amp; Woehler, E.J. 2015. </w:t>
      </w:r>
      <w:r w:rsidRPr="00FE1FA9">
        <w:rPr>
          <w:i/>
          <w:iCs/>
          <w:sz w:val="20"/>
          <w:szCs w:val="20"/>
        </w:rPr>
        <w:t>Important Bird Areas in Antarctica 2015 Summary</w:t>
      </w:r>
      <w:r w:rsidRPr="00FE1FA9">
        <w:rPr>
          <w:sz w:val="20"/>
          <w:szCs w:val="20"/>
        </w:rPr>
        <w:t>. BirdLife International and Environmental Research &amp; Assessment Ltd., Cambridge.</w:t>
      </w:r>
    </w:p>
  </w:footnote>
  <w:footnote w:id="5">
    <w:p w14:paraId="714DF817" w14:textId="77777777" w:rsidR="006A0CB6" w:rsidRDefault="006A0CB6" w:rsidP="006A0CB6">
      <w:pPr>
        <w:autoSpaceDE w:val="0"/>
        <w:autoSpaceDN w:val="0"/>
        <w:adjustRightInd w:val="0"/>
      </w:pPr>
      <w:r w:rsidRPr="00A33AE8">
        <w:rPr>
          <w:rStyle w:val="Refdenotaalpie"/>
          <w:sz w:val="20"/>
          <w:szCs w:val="20"/>
        </w:rPr>
        <w:footnoteRef/>
      </w:r>
      <w:r w:rsidRPr="00A33AE8">
        <w:rPr>
          <w:sz w:val="20"/>
          <w:szCs w:val="20"/>
        </w:rPr>
        <w:t xml:space="preserve"> See for example: Southwell, C., Emmerson, L., Takahashi, A., Barbraud, C., Delord, K. and Weimerskirch, H. 2017. Large-scale population assessment informs conservation management for seabirds in Antarctica and the Southern Ocean: A case study of Adelie penguins.  Global Ecology and Conservation, 9, 104-115. </w:t>
      </w:r>
      <w:r w:rsidRPr="00A33AE8">
        <w:rPr>
          <w:color w:val="0081AD"/>
          <w:sz w:val="20"/>
          <w:szCs w:val="20"/>
        </w:rPr>
        <w:t>http://dx.doi.org/10.1016/j.gecco.2016.12.004</w:t>
      </w:r>
    </w:p>
  </w:footnote>
  <w:footnote w:id="6">
    <w:p w14:paraId="57337AF9" w14:textId="77777777" w:rsidR="006A0CB6" w:rsidRPr="002E25F2" w:rsidRDefault="006A0CB6" w:rsidP="006A0CB6">
      <w:pPr>
        <w:autoSpaceDE w:val="0"/>
        <w:autoSpaceDN w:val="0"/>
        <w:adjustRightInd w:val="0"/>
        <w:rPr>
          <w:sz w:val="20"/>
          <w:szCs w:val="20"/>
        </w:rPr>
      </w:pPr>
      <w:r>
        <w:rPr>
          <w:rStyle w:val="Refdenotaalpie"/>
        </w:rPr>
        <w:footnoteRef/>
      </w:r>
      <w:r>
        <w:t xml:space="preserve"> </w:t>
      </w:r>
      <w:r>
        <w:rPr>
          <w:sz w:val="20"/>
          <w:szCs w:val="20"/>
        </w:rPr>
        <w:t xml:space="preserve">See for example: </w:t>
      </w:r>
      <w:r w:rsidRPr="002E25F2">
        <w:rPr>
          <w:sz w:val="20"/>
          <w:szCs w:val="20"/>
        </w:rPr>
        <w:t>Handley J</w:t>
      </w:r>
      <w:r>
        <w:rPr>
          <w:sz w:val="20"/>
          <w:szCs w:val="20"/>
        </w:rPr>
        <w:t>.</w:t>
      </w:r>
      <w:r w:rsidRPr="002E25F2">
        <w:rPr>
          <w:sz w:val="20"/>
          <w:szCs w:val="20"/>
        </w:rPr>
        <w:t>, Rouyer M-M</w:t>
      </w:r>
      <w:r>
        <w:rPr>
          <w:sz w:val="20"/>
          <w:szCs w:val="20"/>
        </w:rPr>
        <w:t>.</w:t>
      </w:r>
      <w:r w:rsidRPr="002E25F2">
        <w:rPr>
          <w:sz w:val="20"/>
          <w:szCs w:val="20"/>
        </w:rPr>
        <w:t>, Pearmain E</w:t>
      </w:r>
      <w:r>
        <w:rPr>
          <w:sz w:val="20"/>
          <w:szCs w:val="20"/>
        </w:rPr>
        <w:t>.</w:t>
      </w:r>
      <w:r w:rsidRPr="002E25F2">
        <w:rPr>
          <w:sz w:val="20"/>
          <w:szCs w:val="20"/>
        </w:rPr>
        <w:t>J</w:t>
      </w:r>
      <w:r>
        <w:rPr>
          <w:sz w:val="20"/>
          <w:szCs w:val="20"/>
        </w:rPr>
        <w:t>.</w:t>
      </w:r>
      <w:r w:rsidRPr="002E25F2">
        <w:rPr>
          <w:sz w:val="20"/>
          <w:szCs w:val="20"/>
        </w:rPr>
        <w:t>, Warwick-Evans V</w:t>
      </w:r>
      <w:r>
        <w:rPr>
          <w:sz w:val="20"/>
          <w:szCs w:val="20"/>
        </w:rPr>
        <w:t>.</w:t>
      </w:r>
      <w:r w:rsidRPr="002E25F2">
        <w:rPr>
          <w:sz w:val="20"/>
          <w:szCs w:val="20"/>
        </w:rPr>
        <w:t>, Teschke K</w:t>
      </w:r>
      <w:r>
        <w:rPr>
          <w:sz w:val="20"/>
          <w:szCs w:val="20"/>
        </w:rPr>
        <w:t>.</w:t>
      </w:r>
      <w:r w:rsidRPr="002E25F2">
        <w:rPr>
          <w:sz w:val="20"/>
          <w:szCs w:val="20"/>
        </w:rPr>
        <w:t>, Hinke J</w:t>
      </w:r>
      <w:r>
        <w:rPr>
          <w:sz w:val="20"/>
          <w:szCs w:val="20"/>
        </w:rPr>
        <w:t>.</w:t>
      </w:r>
      <w:r w:rsidRPr="002E25F2">
        <w:rPr>
          <w:sz w:val="20"/>
          <w:szCs w:val="20"/>
        </w:rPr>
        <w:t>T</w:t>
      </w:r>
      <w:r>
        <w:rPr>
          <w:sz w:val="20"/>
          <w:szCs w:val="20"/>
        </w:rPr>
        <w:t>.</w:t>
      </w:r>
      <w:r w:rsidRPr="002E25F2">
        <w:rPr>
          <w:sz w:val="20"/>
          <w:szCs w:val="20"/>
        </w:rPr>
        <w:t>, Lynch H</w:t>
      </w:r>
      <w:r>
        <w:rPr>
          <w:sz w:val="20"/>
          <w:szCs w:val="20"/>
        </w:rPr>
        <w:t>.</w:t>
      </w:r>
      <w:r w:rsidRPr="002E25F2">
        <w:rPr>
          <w:sz w:val="20"/>
          <w:szCs w:val="20"/>
        </w:rPr>
        <w:t>, Emmerson L</w:t>
      </w:r>
      <w:r>
        <w:rPr>
          <w:sz w:val="20"/>
          <w:szCs w:val="20"/>
        </w:rPr>
        <w:t>.</w:t>
      </w:r>
      <w:r w:rsidRPr="002E25F2">
        <w:rPr>
          <w:sz w:val="20"/>
          <w:szCs w:val="20"/>
        </w:rPr>
        <w:t>, Southwell C</w:t>
      </w:r>
      <w:r>
        <w:rPr>
          <w:sz w:val="20"/>
          <w:szCs w:val="20"/>
        </w:rPr>
        <w:t>.</w:t>
      </w:r>
      <w:r w:rsidRPr="002E25F2">
        <w:rPr>
          <w:sz w:val="20"/>
          <w:szCs w:val="20"/>
        </w:rPr>
        <w:t>, Griffith G</w:t>
      </w:r>
      <w:r>
        <w:rPr>
          <w:sz w:val="20"/>
          <w:szCs w:val="20"/>
        </w:rPr>
        <w:t>.</w:t>
      </w:r>
      <w:r w:rsidRPr="002E25F2">
        <w:rPr>
          <w:sz w:val="20"/>
          <w:szCs w:val="20"/>
        </w:rPr>
        <w:t>, Cárdenas C</w:t>
      </w:r>
      <w:r>
        <w:rPr>
          <w:sz w:val="20"/>
          <w:szCs w:val="20"/>
        </w:rPr>
        <w:t>.</w:t>
      </w:r>
      <w:r w:rsidRPr="002E25F2">
        <w:rPr>
          <w:sz w:val="20"/>
          <w:szCs w:val="20"/>
        </w:rPr>
        <w:t>A</w:t>
      </w:r>
      <w:r>
        <w:rPr>
          <w:sz w:val="20"/>
          <w:szCs w:val="20"/>
        </w:rPr>
        <w:t>.</w:t>
      </w:r>
      <w:r w:rsidRPr="002E25F2">
        <w:rPr>
          <w:sz w:val="20"/>
          <w:szCs w:val="20"/>
        </w:rPr>
        <w:t>, Franco A</w:t>
      </w:r>
      <w:r>
        <w:rPr>
          <w:sz w:val="20"/>
          <w:szCs w:val="20"/>
        </w:rPr>
        <w:t>.</w:t>
      </w:r>
      <w:r w:rsidRPr="002E25F2">
        <w:rPr>
          <w:sz w:val="20"/>
          <w:szCs w:val="20"/>
        </w:rPr>
        <w:t>M</w:t>
      </w:r>
      <w:r>
        <w:rPr>
          <w:sz w:val="20"/>
          <w:szCs w:val="20"/>
        </w:rPr>
        <w:t>.</w:t>
      </w:r>
      <w:r w:rsidRPr="002E25F2">
        <w:rPr>
          <w:sz w:val="20"/>
          <w:szCs w:val="20"/>
        </w:rPr>
        <w:t>A</w:t>
      </w:r>
      <w:r>
        <w:rPr>
          <w:sz w:val="20"/>
          <w:szCs w:val="20"/>
        </w:rPr>
        <w:t>.</w:t>
      </w:r>
      <w:r w:rsidRPr="002E25F2">
        <w:rPr>
          <w:sz w:val="20"/>
          <w:szCs w:val="20"/>
        </w:rPr>
        <w:t>, Trathan P</w:t>
      </w:r>
      <w:r>
        <w:rPr>
          <w:sz w:val="20"/>
          <w:szCs w:val="20"/>
        </w:rPr>
        <w:t>.</w:t>
      </w:r>
      <w:r w:rsidRPr="002E25F2">
        <w:rPr>
          <w:sz w:val="20"/>
          <w:szCs w:val="20"/>
        </w:rPr>
        <w:t xml:space="preserve"> and Dias M</w:t>
      </w:r>
      <w:r>
        <w:rPr>
          <w:sz w:val="20"/>
          <w:szCs w:val="20"/>
        </w:rPr>
        <w:t>.</w:t>
      </w:r>
      <w:r w:rsidRPr="002E25F2">
        <w:rPr>
          <w:sz w:val="20"/>
          <w:szCs w:val="20"/>
        </w:rPr>
        <w:t>P</w:t>
      </w:r>
      <w:r>
        <w:rPr>
          <w:sz w:val="20"/>
          <w:szCs w:val="20"/>
        </w:rPr>
        <w:t>.</w:t>
      </w:r>
      <w:r w:rsidRPr="002E25F2">
        <w:rPr>
          <w:sz w:val="20"/>
          <w:szCs w:val="20"/>
        </w:rPr>
        <w:t xml:space="preserve"> 2021</w:t>
      </w:r>
      <w:r>
        <w:rPr>
          <w:sz w:val="20"/>
          <w:szCs w:val="20"/>
        </w:rPr>
        <w:t>.</w:t>
      </w:r>
      <w:r w:rsidRPr="002E25F2">
        <w:rPr>
          <w:sz w:val="20"/>
          <w:szCs w:val="20"/>
        </w:rPr>
        <w:t xml:space="preserve"> Marine Important Bird and Biodiversity Areas for Penguins in Antarctica, Targets for Conservation Action. Front. Mar. Sci. 7:602972. doi: 10.3389/fmars.2020.602972</w:t>
      </w:r>
    </w:p>
    <w:p w14:paraId="6D017C98" w14:textId="77777777" w:rsidR="006A0CB6" w:rsidRDefault="006A0CB6" w:rsidP="006A0CB6">
      <w:pPr>
        <w:autoSpaceDE w:val="0"/>
        <w:autoSpaceDN w:val="0"/>
        <w:adjustRightInd w:val="0"/>
      </w:pPr>
    </w:p>
  </w:footnote>
  <w:footnote w:id="7">
    <w:p w14:paraId="6D15C0C3" w14:textId="77777777" w:rsidR="006A0CB6" w:rsidRDefault="006A0CB6" w:rsidP="006A0CB6">
      <w:pPr>
        <w:pStyle w:val="Textonotapie"/>
      </w:pPr>
      <w:r w:rsidRPr="006F1680">
        <w:rPr>
          <w:rStyle w:val="Refdenotaalpie"/>
          <w:sz w:val="20"/>
          <w:szCs w:val="20"/>
        </w:rPr>
        <w:footnoteRef/>
      </w:r>
      <w:r w:rsidRPr="006F1680">
        <w:rPr>
          <w:sz w:val="20"/>
          <w:szCs w:val="20"/>
        </w:rPr>
        <w:t xml:space="preserve"> Information drawn from Hall, R. 2007. Overview of criteria that may be used in the development of new criteria for the identification of internationally important breeding sites critical for species listed in Annex 1 of ACAP.  Paper presented as AC3 Doc 19 Rev. 1 to the Third Meeting of the ACAP Advisory Committee, Valdivia, Chile, 19-22 June 2007.</w:t>
      </w:r>
    </w:p>
  </w:footnote>
  <w:footnote w:id="8">
    <w:p w14:paraId="7690E841" w14:textId="77777777" w:rsidR="006A0CB6" w:rsidRDefault="006A0CB6" w:rsidP="006A0CB6">
      <w:pPr>
        <w:pStyle w:val="Textonotapie"/>
      </w:pPr>
      <w:r w:rsidRPr="006F1680">
        <w:rPr>
          <w:rStyle w:val="Refdenotaalpie"/>
          <w:sz w:val="20"/>
          <w:szCs w:val="20"/>
        </w:rPr>
        <w:footnoteRef/>
      </w:r>
      <w:r w:rsidRPr="006F1680">
        <w:rPr>
          <w:sz w:val="20"/>
          <w:szCs w:val="20"/>
        </w:rPr>
        <w:t xml:space="preserve"> Ramsar Regional Center – East Asia. (2017). The Designation and Management of Ramsar Sites – A practitioner’s guide. Available at </w:t>
      </w:r>
      <w:r w:rsidRPr="006F1680">
        <w:rPr>
          <w:b/>
          <w:bCs/>
          <w:sz w:val="20"/>
          <w:szCs w:val="20"/>
        </w:rPr>
        <w:t xml:space="preserve">www.ramsar.org </w:t>
      </w:r>
      <w:r w:rsidRPr="006F1680">
        <w:rPr>
          <w:sz w:val="20"/>
          <w:szCs w:val="20"/>
        </w:rPr>
        <w:t xml:space="preserve">and </w:t>
      </w:r>
      <w:r w:rsidRPr="006F1680">
        <w:rPr>
          <w:b/>
          <w:bCs/>
          <w:sz w:val="20"/>
          <w:szCs w:val="20"/>
        </w:rPr>
        <w:t>www.rrcea.org</w:t>
      </w:r>
    </w:p>
  </w:footnote>
  <w:footnote w:id="9">
    <w:p w14:paraId="302B09B7" w14:textId="77777777" w:rsidR="006A0CB6" w:rsidRDefault="006A0CB6" w:rsidP="006A0CB6">
      <w:pPr>
        <w:pStyle w:val="Textocomentario"/>
        <w:spacing w:after="0"/>
      </w:pPr>
      <w:r>
        <w:rPr>
          <w:rStyle w:val="Refdenotaalpie"/>
        </w:rPr>
        <w:footnoteRef/>
      </w:r>
      <w:r>
        <w:t xml:space="preserve"> </w:t>
      </w:r>
      <w:r>
        <w:rPr>
          <w:rFonts w:ascii="Times New Roman" w:hAnsi="Times New Roman"/>
          <w:lang w:val="en-GB"/>
        </w:rPr>
        <w:t>The</w:t>
      </w:r>
      <w:r w:rsidRPr="00EB3A43">
        <w:rPr>
          <w:rFonts w:ascii="Times New Roman" w:hAnsi="Times New Roman"/>
          <w:lang w:val="en-GB"/>
        </w:rPr>
        <w:t xml:space="preserve"> RAMSAR criteria place emphasis on ‘critical stages of life cycles’. </w:t>
      </w:r>
      <w:r>
        <w:rPr>
          <w:rFonts w:ascii="Times New Roman" w:hAnsi="Times New Roman"/>
          <w:lang w:val="en-GB"/>
        </w:rPr>
        <w:t xml:space="preserve"> </w:t>
      </w:r>
      <w:r w:rsidRPr="00EB3A43">
        <w:rPr>
          <w:rFonts w:ascii="Times New Roman" w:hAnsi="Times New Roman"/>
          <w:lang w:val="en-GB"/>
        </w:rPr>
        <w:t xml:space="preserve">For Antarctic seabirds, moulting is an important stage of the life cycle. </w:t>
      </w:r>
      <w:r>
        <w:rPr>
          <w:rFonts w:ascii="Times New Roman" w:hAnsi="Times New Roman"/>
          <w:lang w:val="en-GB"/>
        </w:rPr>
        <w:t xml:space="preserve"> </w:t>
      </w:r>
      <w:r w:rsidRPr="00EB3A43">
        <w:rPr>
          <w:rFonts w:ascii="Times New Roman" w:hAnsi="Times New Roman"/>
          <w:lang w:val="en-GB"/>
        </w:rPr>
        <w:t xml:space="preserve">Moulting sites tend to be more spatially dispersed than breeding sites, so considering them in IBA identification or ASPA designation might not be practical, </w:t>
      </w:r>
      <w:r>
        <w:rPr>
          <w:rFonts w:ascii="Times New Roman" w:hAnsi="Times New Roman"/>
          <w:lang w:val="en-GB"/>
        </w:rPr>
        <w:t>though aspects</w:t>
      </w:r>
      <w:r w:rsidRPr="00EB3A43">
        <w:rPr>
          <w:rFonts w:ascii="Times New Roman" w:hAnsi="Times New Roman"/>
          <w:lang w:val="en-GB"/>
        </w:rPr>
        <w:t xml:space="preserve"> related to birds’ non-breeding needs are also ‘important’.</w:t>
      </w:r>
    </w:p>
  </w:footnote>
  <w:footnote w:id="10">
    <w:p w14:paraId="7E206DF2" w14:textId="77777777" w:rsidR="006A0CB6" w:rsidRDefault="006A0CB6" w:rsidP="006A0CB6">
      <w:pPr>
        <w:pStyle w:val="Textonotapie"/>
      </w:pPr>
      <w:r w:rsidRPr="006F1680">
        <w:rPr>
          <w:rStyle w:val="Refdenotaalpie"/>
          <w:sz w:val="20"/>
          <w:szCs w:val="20"/>
        </w:rPr>
        <w:footnoteRef/>
      </w:r>
      <w:r w:rsidRPr="006F1680">
        <w:rPr>
          <w:sz w:val="20"/>
          <w:szCs w:val="20"/>
        </w:rPr>
        <w:t xml:space="preserve"> Fishpool, L.D.C. &amp; Evans, M.I. (eds) (2001) </w:t>
      </w:r>
      <w:r w:rsidRPr="006F1680">
        <w:rPr>
          <w:i/>
          <w:iCs/>
          <w:sz w:val="20"/>
          <w:szCs w:val="20"/>
        </w:rPr>
        <w:t>Important Bird Areas in Africa and associated islands. Priority sites for conservation</w:t>
      </w:r>
      <w:r w:rsidRPr="006F1680">
        <w:rPr>
          <w:sz w:val="20"/>
          <w:szCs w:val="20"/>
        </w:rPr>
        <w:t>. Pisces Publications, Cambridge: BirdLife International.</w:t>
      </w:r>
    </w:p>
  </w:footnote>
  <w:footnote w:id="11">
    <w:p w14:paraId="3D26CD28" w14:textId="77777777" w:rsidR="006A0CB6" w:rsidRDefault="006A0CB6" w:rsidP="006A0CB6">
      <w:pPr>
        <w:pStyle w:val="Textonotapie"/>
      </w:pPr>
      <w:r w:rsidRPr="006F1680">
        <w:rPr>
          <w:rStyle w:val="Refdenotaalpie"/>
          <w:sz w:val="20"/>
          <w:szCs w:val="20"/>
        </w:rPr>
        <w:footnoteRef/>
      </w:r>
      <w:r w:rsidRPr="006F1680">
        <w:rPr>
          <w:sz w:val="20"/>
          <w:szCs w:val="20"/>
        </w:rPr>
        <w:t xml:space="preserve"> Harris, C.M., Lorenz, K., Fishpool, L.D.C., Lascelles, B., Cooper, J., Croxall, J.P., Emmerson, L.M., Fijn, R., Fraser, W.L., Jouventin, P., LaRue, M.A., Le Maho, Y., Lynch, H.J., Naveen, R., Patterson-Fraser, D.L., Peter, H.-U., Poncet, S., Phillips, R.A., Southwell, C.J., van Franeker, J.A., Weimerskirch, H., Wienecke, B., &amp; Woehler, E.J. 2015. </w:t>
      </w:r>
      <w:r w:rsidRPr="006F1680">
        <w:rPr>
          <w:i/>
          <w:iCs/>
          <w:sz w:val="20"/>
          <w:szCs w:val="20"/>
        </w:rPr>
        <w:t>Important Bird Areas in Antarctica 2015 Summary</w:t>
      </w:r>
      <w:r w:rsidRPr="006F1680">
        <w:rPr>
          <w:sz w:val="20"/>
          <w:szCs w:val="20"/>
        </w:rPr>
        <w:t>. BirdLife International and Environmental Research &amp; Assessment Ltd., Cambridge.</w:t>
      </w:r>
    </w:p>
  </w:footnote>
  <w:footnote w:id="12">
    <w:p w14:paraId="14995545" w14:textId="77777777" w:rsidR="006A0CB6" w:rsidRDefault="006A0CB6" w:rsidP="006A0CB6">
      <w:pPr>
        <w:pStyle w:val="Textonotapie"/>
      </w:pPr>
      <w:r w:rsidRPr="006F1680">
        <w:rPr>
          <w:rStyle w:val="Refdenotaalpie"/>
          <w:sz w:val="20"/>
          <w:szCs w:val="20"/>
        </w:rPr>
        <w:footnoteRef/>
      </w:r>
      <w:r w:rsidRPr="006F1680">
        <w:rPr>
          <w:sz w:val="20"/>
          <w:szCs w:val="20"/>
        </w:rPr>
        <w:t xml:space="preserve"> Available from: https://jncc.gov.uk/our-work/special-protection-areas-overview/</w:t>
      </w:r>
    </w:p>
  </w:footnote>
  <w:footnote w:id="13">
    <w:p w14:paraId="5968F475" w14:textId="77777777" w:rsidR="006A0CB6" w:rsidRDefault="006A0CB6" w:rsidP="006A0CB6">
      <w:r w:rsidRPr="006F1680">
        <w:rPr>
          <w:rStyle w:val="Refdenotaalpie"/>
          <w:sz w:val="20"/>
          <w:szCs w:val="20"/>
        </w:rPr>
        <w:footnoteRef/>
      </w:r>
      <w:r w:rsidRPr="006F1680">
        <w:rPr>
          <w:sz w:val="20"/>
          <w:szCs w:val="20"/>
        </w:rPr>
        <w:t xml:space="preserve"> </w:t>
      </w:r>
      <w:r w:rsidRPr="006F1680">
        <w:rPr>
          <w:sz w:val="20"/>
          <w:szCs w:val="20"/>
          <w:lang w:val="en-US"/>
        </w:rPr>
        <w:t>Of relevance to long-term / adaptive monitoring see: Lindenmayer, D.B. and Likens, G.E. 2009. Adaptive monitoring: a new paradigm for long-term research and monitoring.  Trends in Ecology and Evolution, 24(9) pp482-486. https://doi.org/10.1016/j.tree.2009.03.005</w:t>
      </w:r>
    </w:p>
  </w:footnote>
  <w:footnote w:id="14">
    <w:p w14:paraId="2A7715C8" w14:textId="77777777" w:rsidR="006A0CB6" w:rsidRDefault="006A0CB6" w:rsidP="006A0CB6">
      <w:r w:rsidRPr="006F1680">
        <w:rPr>
          <w:rStyle w:val="Refdenotaalpie"/>
          <w:sz w:val="20"/>
          <w:szCs w:val="20"/>
        </w:rPr>
        <w:footnoteRef/>
      </w:r>
      <w:r w:rsidRPr="006F1680">
        <w:rPr>
          <w:sz w:val="20"/>
          <w:szCs w:val="20"/>
        </w:rPr>
        <w:t xml:space="preserve"> </w:t>
      </w:r>
      <w:r w:rsidRPr="006F1680">
        <w:rPr>
          <w:rFonts w:cs="Calibri"/>
          <w:color w:val="000000"/>
          <w:sz w:val="20"/>
          <w:szCs w:val="20"/>
          <w:lang w:val="en-US"/>
        </w:rPr>
        <w:t xml:space="preserve">Borowicz, A., McDowall, P., Youngflesh, C., Sayre-McCord, T., Clucas, G., Herman, R., Forrest, S., Rider, M., Schwaller, M., Hart, T., Jenouvrier, S., Polito, M.J., Singh, H. and Lynch, H.J. 2018. </w:t>
      </w:r>
      <w:r w:rsidRPr="006F1680">
        <w:rPr>
          <w:rFonts w:cs="Calibri"/>
          <w:bCs/>
          <w:iCs/>
          <w:color w:val="000000"/>
          <w:sz w:val="20"/>
          <w:szCs w:val="20"/>
          <w:lang w:val="en-US"/>
        </w:rPr>
        <w:t xml:space="preserve">Multi-modal survey of Adélie penguin mega-colonies reveals the Danger Islands as a seabird hotspot. Science Reports 8, 3926. </w:t>
      </w:r>
      <w:r w:rsidRPr="006F1680">
        <w:rPr>
          <w:rFonts w:cs="Calibri"/>
          <w:color w:val="000000"/>
          <w:sz w:val="20"/>
          <w:szCs w:val="20"/>
          <w:lang w:val="en-US"/>
        </w:rPr>
        <w:t>10.1038/s41598-018-22313-w</w:t>
      </w:r>
    </w:p>
  </w:footnote>
  <w:footnote w:id="15">
    <w:p w14:paraId="358B5500" w14:textId="77777777" w:rsidR="006A0CB6" w:rsidRDefault="006A0CB6" w:rsidP="006A0CB6">
      <w:r w:rsidRPr="006F1680">
        <w:rPr>
          <w:rStyle w:val="Refdenotaalpie"/>
          <w:sz w:val="20"/>
          <w:szCs w:val="20"/>
        </w:rPr>
        <w:footnoteRef/>
      </w:r>
      <w:r w:rsidRPr="006F1680">
        <w:rPr>
          <w:sz w:val="20"/>
          <w:szCs w:val="20"/>
        </w:rPr>
        <w:t xml:space="preserve"> </w:t>
      </w:r>
      <w:r w:rsidRPr="006F1680">
        <w:rPr>
          <w:rFonts w:cs="Calibri"/>
          <w:color w:val="000000"/>
          <w:sz w:val="20"/>
          <w:szCs w:val="20"/>
          <w:lang w:val="en-US"/>
        </w:rPr>
        <w:t xml:space="preserve">Schwaller, M.R., Lynch, H.J., Tarroux, A. and Prehn, B. 2018. </w:t>
      </w:r>
      <w:r w:rsidRPr="006F1680">
        <w:rPr>
          <w:rFonts w:cs="Calibri"/>
          <w:bCs/>
          <w:iCs/>
          <w:color w:val="000000"/>
          <w:sz w:val="20"/>
          <w:szCs w:val="20"/>
          <w:lang w:val="en-US"/>
        </w:rPr>
        <w:t xml:space="preserve">A continent-wide search for Antarctic petrel breeding sites with satellite remote sensing. </w:t>
      </w:r>
      <w:r w:rsidRPr="006F1680">
        <w:rPr>
          <w:rFonts w:cs="Calibri"/>
          <w:color w:val="000000"/>
          <w:sz w:val="20"/>
          <w:szCs w:val="20"/>
          <w:lang w:val="en-US"/>
        </w:rPr>
        <w:t>Remote Sensing of Environment, 210, pp444-451. https://doi.org/10.1016/j.rse.2018.02.071</w:t>
      </w:r>
    </w:p>
  </w:footnote>
  <w:footnote w:id="16">
    <w:p w14:paraId="3D48B572" w14:textId="77777777" w:rsidR="006A0CB6" w:rsidRPr="006F1680" w:rsidRDefault="006A0CB6" w:rsidP="006A0CB6">
      <w:pPr>
        <w:rPr>
          <w:rFonts w:cs="Times"/>
          <w:color w:val="000000"/>
          <w:sz w:val="20"/>
          <w:szCs w:val="20"/>
        </w:rPr>
      </w:pPr>
      <w:r w:rsidRPr="006F1680">
        <w:rPr>
          <w:rStyle w:val="Refdenotaalpie"/>
          <w:sz w:val="20"/>
          <w:szCs w:val="20"/>
        </w:rPr>
        <w:footnoteRef/>
      </w:r>
      <w:r w:rsidRPr="006F1680">
        <w:rPr>
          <w:sz w:val="20"/>
          <w:szCs w:val="20"/>
        </w:rPr>
        <w:t xml:space="preserve"> </w:t>
      </w:r>
      <w:r w:rsidRPr="006F1680">
        <w:rPr>
          <w:rFonts w:cs="Calibri"/>
          <w:color w:val="000000"/>
          <w:sz w:val="20"/>
          <w:szCs w:val="20"/>
        </w:rPr>
        <w:t>Key Biodiversity Areas (KBA</w:t>
      </w:r>
      <w:r>
        <w:rPr>
          <w:rFonts w:cs="Calibri"/>
          <w:color w:val="000000"/>
          <w:sz w:val="20"/>
          <w:szCs w:val="20"/>
        </w:rPr>
        <w:t>s</w:t>
      </w:r>
      <w:r w:rsidRPr="006F1680">
        <w:rPr>
          <w:rFonts w:cs="Calibri"/>
          <w:color w:val="000000"/>
          <w:sz w:val="20"/>
          <w:szCs w:val="20"/>
        </w:rPr>
        <w:t>) – sites that contribute to the global persistence of biodiversity, including vital habitat for threatened plant and animal species in terrestrial, freshwater and marine ecosystems.</w:t>
      </w:r>
    </w:p>
    <w:p w14:paraId="2965A517" w14:textId="77777777" w:rsidR="006A0CB6" w:rsidRPr="006F1680" w:rsidRDefault="006A0CB6" w:rsidP="006A0CB6">
      <w:pPr>
        <w:rPr>
          <w:rFonts w:cs="Times"/>
          <w:color w:val="000000"/>
          <w:sz w:val="20"/>
          <w:szCs w:val="20"/>
        </w:rPr>
      </w:pPr>
      <w:r w:rsidRPr="006F1680">
        <w:rPr>
          <w:rFonts w:cs="Calibri"/>
          <w:color w:val="000000"/>
          <w:sz w:val="20"/>
          <w:szCs w:val="20"/>
        </w:rPr>
        <w:t>Important Bird and Biodiversity Areas (IBAs) – KBAs identified for birds using internationally agreed criteria applied locally by BirdLife Partners and experts</w:t>
      </w:r>
    </w:p>
    <w:p w14:paraId="3B7B328E" w14:textId="77777777" w:rsidR="006A0CB6" w:rsidRDefault="006A0CB6" w:rsidP="006A0C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91FED" w14:paraId="103CA7DC" w14:textId="77777777" w:rsidTr="00490760">
      <w:trPr>
        <w:trHeight w:val="344"/>
        <w:jc w:val="center"/>
      </w:trPr>
      <w:tc>
        <w:tcPr>
          <w:tcW w:w="5495" w:type="dxa"/>
        </w:tcPr>
        <w:p w14:paraId="3E047F34" w14:textId="77777777" w:rsidR="00DB7C09" w:rsidRDefault="006A0CB6" w:rsidP="00F968D4"/>
      </w:tc>
      <w:tc>
        <w:tcPr>
          <w:tcW w:w="4253" w:type="dxa"/>
          <w:gridSpan w:val="2"/>
        </w:tcPr>
        <w:p w14:paraId="4D90CE79" w14:textId="77777777" w:rsidR="00DB7C09" w:rsidRPr="00BD47E4" w:rsidRDefault="006A0CB6" w:rsidP="002A07BC">
          <w:pPr>
            <w:jc w:val="right"/>
            <w:rPr>
              <w:b/>
              <w:sz w:val="32"/>
              <w:szCs w:val="32"/>
            </w:rPr>
          </w:pPr>
          <w:bookmarkStart w:id="2" w:name="type"/>
          <w:r w:rsidRPr="00BD47E4">
            <w:rPr>
              <w:b/>
              <w:sz w:val="32"/>
              <w:szCs w:val="32"/>
            </w:rPr>
            <w:t>IP</w:t>
          </w:r>
          <w:bookmarkEnd w:id="2"/>
        </w:p>
      </w:tc>
      <w:tc>
        <w:tcPr>
          <w:tcW w:w="1524" w:type="dxa"/>
          <w:gridSpan w:val="2"/>
        </w:tcPr>
        <w:p w14:paraId="474DD6F7" w14:textId="77777777" w:rsidR="00DB7C09" w:rsidRPr="00BD47E4" w:rsidRDefault="006A0CB6" w:rsidP="00DB7C09">
          <w:pPr>
            <w:rPr>
              <w:b/>
              <w:sz w:val="32"/>
              <w:szCs w:val="32"/>
            </w:rPr>
          </w:pPr>
          <w:bookmarkStart w:id="3" w:name="number"/>
          <w:r w:rsidRPr="00BD47E4">
            <w:rPr>
              <w:b/>
              <w:sz w:val="32"/>
              <w:szCs w:val="32"/>
            </w:rPr>
            <w:t>23</w:t>
          </w:r>
          <w:bookmarkEnd w:id="3"/>
        </w:p>
      </w:tc>
    </w:tr>
    <w:tr w:rsidR="00691FED" w14:paraId="2F1FB6B6" w14:textId="77777777" w:rsidTr="00490760">
      <w:trPr>
        <w:trHeight w:val="2165"/>
        <w:jc w:val="center"/>
      </w:trPr>
      <w:tc>
        <w:tcPr>
          <w:tcW w:w="5495" w:type="dxa"/>
        </w:tcPr>
        <w:p w14:paraId="02006C81" w14:textId="77777777" w:rsidR="00490760" w:rsidRPr="00EE4D48" w:rsidRDefault="006A0CB6" w:rsidP="002A07BC">
          <w:pPr>
            <w:rPr>
              <w:b/>
              <w:sz w:val="28"/>
              <w:szCs w:val="28"/>
            </w:rPr>
          </w:pPr>
          <w:r>
            <w:rPr>
              <w:b/>
              <w:noProof/>
              <w:sz w:val="28"/>
              <w:szCs w:val="28"/>
            </w:rPr>
            <w:drawing>
              <wp:inline distT="0" distB="0" distL="0" distR="0" wp14:anchorId="3F98CCB0" wp14:editId="63F152C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8493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54F5293" w14:textId="77777777" w:rsidR="00490760" w:rsidRPr="00FE5146" w:rsidRDefault="006A0CB6" w:rsidP="00490760">
          <w:pPr>
            <w:jc w:val="right"/>
            <w:rPr>
              <w:sz w:val="144"/>
              <w:szCs w:val="144"/>
            </w:rPr>
          </w:pPr>
          <w:r w:rsidRPr="00FE5146">
            <w:rPr>
              <w:sz w:val="144"/>
              <w:szCs w:val="144"/>
            </w:rPr>
            <w:t>ENG</w:t>
          </w:r>
        </w:p>
      </w:tc>
    </w:tr>
    <w:tr w:rsidR="00691FED" w14:paraId="187CD3E5" w14:textId="77777777" w:rsidTr="00BD47E4">
      <w:trPr>
        <w:trHeight w:val="409"/>
        <w:jc w:val="center"/>
      </w:trPr>
      <w:tc>
        <w:tcPr>
          <w:tcW w:w="9039" w:type="dxa"/>
          <w:gridSpan w:val="2"/>
        </w:tcPr>
        <w:p w14:paraId="6EB11E69" w14:textId="77777777" w:rsidR="00BD47E4" w:rsidRDefault="006A0CB6" w:rsidP="002C30DA">
          <w:pPr>
            <w:jc w:val="right"/>
          </w:pPr>
          <w:r>
            <w:t>Agenda Item:</w:t>
          </w:r>
        </w:p>
      </w:tc>
      <w:tc>
        <w:tcPr>
          <w:tcW w:w="1843" w:type="dxa"/>
          <w:gridSpan w:val="2"/>
        </w:tcPr>
        <w:p w14:paraId="1BE88820" w14:textId="77777777" w:rsidR="00BD47E4" w:rsidRDefault="006A0CB6" w:rsidP="002C30DA">
          <w:pPr>
            <w:jc w:val="right"/>
          </w:pPr>
          <w:bookmarkStart w:id="4" w:name="agenda"/>
          <w:r>
            <w:t>CEP 9e</w:t>
          </w:r>
          <w:bookmarkEnd w:id="4"/>
        </w:p>
      </w:tc>
      <w:tc>
        <w:tcPr>
          <w:tcW w:w="390" w:type="dxa"/>
        </w:tcPr>
        <w:p w14:paraId="42BAEF58" w14:textId="77777777" w:rsidR="00BD47E4" w:rsidRDefault="006A0CB6" w:rsidP="00387A65">
          <w:pPr>
            <w:jc w:val="right"/>
          </w:pPr>
        </w:p>
      </w:tc>
    </w:tr>
    <w:tr w:rsidR="00691FED" w14:paraId="2FB7BFC9" w14:textId="77777777" w:rsidTr="00BD47E4">
      <w:trPr>
        <w:trHeight w:val="397"/>
        <w:jc w:val="center"/>
      </w:trPr>
      <w:tc>
        <w:tcPr>
          <w:tcW w:w="9039" w:type="dxa"/>
          <w:gridSpan w:val="2"/>
        </w:tcPr>
        <w:p w14:paraId="07D9B244" w14:textId="77777777" w:rsidR="00BD47E4" w:rsidRDefault="006A0CB6" w:rsidP="002C30DA">
          <w:pPr>
            <w:jc w:val="right"/>
          </w:pPr>
          <w:r>
            <w:t>Presented by:</w:t>
          </w:r>
        </w:p>
      </w:tc>
      <w:tc>
        <w:tcPr>
          <w:tcW w:w="1843" w:type="dxa"/>
          <w:gridSpan w:val="2"/>
        </w:tcPr>
        <w:p w14:paraId="6D3B1280" w14:textId="77777777" w:rsidR="006A0CB6" w:rsidRDefault="006A0CB6" w:rsidP="002C30DA">
          <w:pPr>
            <w:jc w:val="right"/>
          </w:pPr>
          <w:bookmarkStart w:id="5" w:name="party"/>
          <w:r>
            <w:t xml:space="preserve">Australia, Germany, </w:t>
          </w:r>
        </w:p>
        <w:p w14:paraId="4598856A" w14:textId="230E0DFB" w:rsidR="00BD47E4" w:rsidRDefault="006A0CB6" w:rsidP="002C30DA">
          <w:pPr>
            <w:jc w:val="right"/>
          </w:pPr>
          <w:r>
            <w:t xml:space="preserve">New Zealand, Norway, Spain, United </w:t>
          </w:r>
          <w:r>
            <w:t>Kingdom, United States</w:t>
          </w:r>
          <w:bookmarkEnd w:id="5"/>
        </w:p>
      </w:tc>
      <w:tc>
        <w:tcPr>
          <w:tcW w:w="390" w:type="dxa"/>
        </w:tcPr>
        <w:p w14:paraId="0742FB85" w14:textId="77777777" w:rsidR="00BD47E4" w:rsidRDefault="006A0CB6" w:rsidP="00387A65">
          <w:pPr>
            <w:jc w:val="right"/>
          </w:pPr>
        </w:p>
      </w:tc>
    </w:tr>
    <w:tr w:rsidR="00691FED" w14:paraId="30A878BE" w14:textId="77777777" w:rsidTr="00BD47E4">
      <w:trPr>
        <w:trHeight w:val="409"/>
        <w:jc w:val="center"/>
      </w:trPr>
      <w:tc>
        <w:tcPr>
          <w:tcW w:w="9039" w:type="dxa"/>
          <w:gridSpan w:val="2"/>
        </w:tcPr>
        <w:p w14:paraId="37454AC7" w14:textId="77777777" w:rsidR="00BD47E4" w:rsidRDefault="006A0CB6" w:rsidP="002C30DA">
          <w:pPr>
            <w:jc w:val="right"/>
          </w:pPr>
          <w:r>
            <w:t>Original:</w:t>
          </w:r>
        </w:p>
      </w:tc>
      <w:tc>
        <w:tcPr>
          <w:tcW w:w="1843" w:type="dxa"/>
          <w:gridSpan w:val="2"/>
        </w:tcPr>
        <w:p w14:paraId="78527614" w14:textId="77777777" w:rsidR="00BD47E4" w:rsidRDefault="006A0CB6" w:rsidP="002C30DA">
          <w:pPr>
            <w:jc w:val="right"/>
          </w:pPr>
          <w:bookmarkStart w:id="6" w:name="language"/>
          <w:r>
            <w:t>English</w:t>
          </w:r>
          <w:bookmarkEnd w:id="6"/>
        </w:p>
      </w:tc>
      <w:tc>
        <w:tcPr>
          <w:tcW w:w="390" w:type="dxa"/>
        </w:tcPr>
        <w:p w14:paraId="0E88C98A" w14:textId="77777777" w:rsidR="00BD47E4" w:rsidRDefault="006A0CB6" w:rsidP="00387A65">
          <w:pPr>
            <w:jc w:val="right"/>
          </w:pPr>
        </w:p>
      </w:tc>
    </w:tr>
    <w:tr w:rsidR="00691FED" w14:paraId="20A46F5B" w14:textId="77777777" w:rsidTr="00BD47E4">
      <w:trPr>
        <w:trHeight w:val="409"/>
        <w:jc w:val="center"/>
      </w:trPr>
      <w:tc>
        <w:tcPr>
          <w:tcW w:w="9039" w:type="dxa"/>
          <w:gridSpan w:val="2"/>
        </w:tcPr>
        <w:p w14:paraId="4A2CE10C" w14:textId="77777777" w:rsidR="0097629D" w:rsidRDefault="006A0CB6" w:rsidP="002C30DA">
          <w:pPr>
            <w:jc w:val="right"/>
          </w:pPr>
          <w:r>
            <w:t>Submitted:</w:t>
          </w:r>
        </w:p>
      </w:tc>
      <w:tc>
        <w:tcPr>
          <w:tcW w:w="1843" w:type="dxa"/>
          <w:gridSpan w:val="2"/>
        </w:tcPr>
        <w:p w14:paraId="36C262E6" w14:textId="77777777" w:rsidR="0097629D" w:rsidRDefault="006A0CB6" w:rsidP="0097629D">
          <w:pPr>
            <w:jc w:val="right"/>
          </w:pPr>
          <w:bookmarkStart w:id="7" w:name="date_submission"/>
          <w:r>
            <w:t>30/4/2021</w:t>
          </w:r>
          <w:bookmarkEnd w:id="7"/>
        </w:p>
      </w:tc>
      <w:tc>
        <w:tcPr>
          <w:tcW w:w="390" w:type="dxa"/>
        </w:tcPr>
        <w:p w14:paraId="5A58EDB7" w14:textId="77777777" w:rsidR="0097629D" w:rsidRDefault="006A0CB6" w:rsidP="00387A65">
          <w:pPr>
            <w:jc w:val="right"/>
          </w:pPr>
        </w:p>
      </w:tc>
    </w:tr>
  </w:tbl>
  <w:p w14:paraId="5F50C2C9" w14:textId="77777777" w:rsidR="00AE5DD0" w:rsidRDefault="006A0C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91FED" w14:paraId="5EF64869" w14:textId="77777777">
      <w:trPr>
        <w:trHeight w:val="354"/>
        <w:jc w:val="center"/>
      </w:trPr>
      <w:tc>
        <w:tcPr>
          <w:tcW w:w="9694" w:type="dxa"/>
        </w:tcPr>
        <w:p w14:paraId="0B11C14E" w14:textId="74C61DF4" w:rsidR="00AE5DD0" w:rsidRPr="00BD47E4" w:rsidRDefault="006A0CB6" w:rsidP="00C26F2D">
          <w:pPr>
            <w:jc w:val="right"/>
            <w:rPr>
              <w:b/>
              <w:sz w:val="32"/>
              <w:szCs w:val="32"/>
            </w:rPr>
          </w:pPr>
          <w:r>
            <w:rPr>
              <w:b/>
              <w:sz w:val="32"/>
              <w:szCs w:val="32"/>
            </w:rPr>
            <w:t>IP</w:t>
          </w:r>
        </w:p>
      </w:tc>
      <w:tc>
        <w:tcPr>
          <w:tcW w:w="1332" w:type="dxa"/>
        </w:tcPr>
        <w:p w14:paraId="43318CE0" w14:textId="2012AD1A" w:rsidR="00AE5DD0" w:rsidRPr="00BD47E4" w:rsidRDefault="006A0CB6" w:rsidP="00080F4C">
          <w:pPr>
            <w:rPr>
              <w:b/>
              <w:sz w:val="32"/>
              <w:szCs w:val="32"/>
            </w:rPr>
          </w:pPr>
          <w:r>
            <w:rPr>
              <w:b/>
              <w:sz w:val="32"/>
              <w:szCs w:val="32"/>
            </w:rPr>
            <w:t>23</w:t>
          </w:r>
        </w:p>
      </w:tc>
    </w:tr>
  </w:tbl>
  <w:p w14:paraId="2944D896" w14:textId="77777777" w:rsidR="00AE5DD0" w:rsidRDefault="006A0C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080270F"/>
    <w:multiLevelType w:val="multilevel"/>
    <w:tmpl w:val="753CEED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286577EA"/>
    <w:multiLevelType w:val="hybridMultilevel"/>
    <w:tmpl w:val="21A63D98"/>
    <w:lvl w:ilvl="0" w:tplc="80C0AE14">
      <w:start w:val="1"/>
      <w:numFmt w:val="bullet"/>
      <w:pStyle w:val="ATSBullet1"/>
      <w:lvlText w:val=""/>
      <w:lvlJc w:val="left"/>
      <w:pPr>
        <w:tabs>
          <w:tab w:val="num" w:pos="360"/>
        </w:tabs>
        <w:ind w:left="360" w:hanging="360"/>
      </w:pPr>
      <w:rPr>
        <w:rFonts w:ascii="Symbol" w:hAnsi="Symbol" w:hint="default"/>
        <w:color w:val="auto"/>
      </w:rPr>
    </w:lvl>
    <w:lvl w:ilvl="1" w:tplc="E83842C0" w:tentative="1">
      <w:start w:val="1"/>
      <w:numFmt w:val="bullet"/>
      <w:lvlText w:val="o"/>
      <w:lvlJc w:val="left"/>
      <w:pPr>
        <w:tabs>
          <w:tab w:val="num" w:pos="1440"/>
        </w:tabs>
        <w:ind w:left="1440" w:hanging="360"/>
      </w:pPr>
      <w:rPr>
        <w:rFonts w:ascii="Courier New" w:hAnsi="Courier New" w:cs="Courier New" w:hint="default"/>
      </w:rPr>
    </w:lvl>
    <w:lvl w:ilvl="2" w:tplc="0E0AE694" w:tentative="1">
      <w:start w:val="1"/>
      <w:numFmt w:val="bullet"/>
      <w:lvlText w:val=""/>
      <w:lvlJc w:val="left"/>
      <w:pPr>
        <w:tabs>
          <w:tab w:val="num" w:pos="2160"/>
        </w:tabs>
        <w:ind w:left="2160" w:hanging="360"/>
      </w:pPr>
      <w:rPr>
        <w:rFonts w:ascii="Wingdings" w:hAnsi="Wingdings" w:hint="default"/>
      </w:rPr>
    </w:lvl>
    <w:lvl w:ilvl="3" w:tplc="7E0E66D6" w:tentative="1">
      <w:start w:val="1"/>
      <w:numFmt w:val="bullet"/>
      <w:lvlText w:val=""/>
      <w:lvlJc w:val="left"/>
      <w:pPr>
        <w:tabs>
          <w:tab w:val="num" w:pos="2880"/>
        </w:tabs>
        <w:ind w:left="2880" w:hanging="360"/>
      </w:pPr>
      <w:rPr>
        <w:rFonts w:ascii="Symbol" w:hAnsi="Symbol" w:hint="default"/>
      </w:rPr>
    </w:lvl>
    <w:lvl w:ilvl="4" w:tplc="90A44C8C" w:tentative="1">
      <w:start w:val="1"/>
      <w:numFmt w:val="bullet"/>
      <w:lvlText w:val="o"/>
      <w:lvlJc w:val="left"/>
      <w:pPr>
        <w:tabs>
          <w:tab w:val="num" w:pos="3600"/>
        </w:tabs>
        <w:ind w:left="3600" w:hanging="360"/>
      </w:pPr>
      <w:rPr>
        <w:rFonts w:ascii="Courier New" w:hAnsi="Courier New" w:cs="Courier New" w:hint="default"/>
      </w:rPr>
    </w:lvl>
    <w:lvl w:ilvl="5" w:tplc="19E496AA" w:tentative="1">
      <w:start w:val="1"/>
      <w:numFmt w:val="bullet"/>
      <w:lvlText w:val=""/>
      <w:lvlJc w:val="left"/>
      <w:pPr>
        <w:tabs>
          <w:tab w:val="num" w:pos="4320"/>
        </w:tabs>
        <w:ind w:left="4320" w:hanging="360"/>
      </w:pPr>
      <w:rPr>
        <w:rFonts w:ascii="Wingdings" w:hAnsi="Wingdings" w:hint="default"/>
      </w:rPr>
    </w:lvl>
    <w:lvl w:ilvl="6" w:tplc="843441B6" w:tentative="1">
      <w:start w:val="1"/>
      <w:numFmt w:val="bullet"/>
      <w:lvlText w:val=""/>
      <w:lvlJc w:val="left"/>
      <w:pPr>
        <w:tabs>
          <w:tab w:val="num" w:pos="5040"/>
        </w:tabs>
        <w:ind w:left="5040" w:hanging="360"/>
      </w:pPr>
      <w:rPr>
        <w:rFonts w:ascii="Symbol" w:hAnsi="Symbol" w:hint="default"/>
      </w:rPr>
    </w:lvl>
    <w:lvl w:ilvl="7" w:tplc="6AACA570" w:tentative="1">
      <w:start w:val="1"/>
      <w:numFmt w:val="bullet"/>
      <w:lvlText w:val="o"/>
      <w:lvlJc w:val="left"/>
      <w:pPr>
        <w:tabs>
          <w:tab w:val="num" w:pos="5760"/>
        </w:tabs>
        <w:ind w:left="5760" w:hanging="360"/>
      </w:pPr>
      <w:rPr>
        <w:rFonts w:ascii="Courier New" w:hAnsi="Courier New" w:cs="Courier New" w:hint="default"/>
      </w:rPr>
    </w:lvl>
    <w:lvl w:ilvl="8" w:tplc="46FCB66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3F4048"/>
    <w:multiLevelType w:val="hybridMultilevel"/>
    <w:tmpl w:val="B54237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D35C15"/>
    <w:multiLevelType w:val="hybridMultilevel"/>
    <w:tmpl w:val="A8A2E45C"/>
    <w:lvl w:ilvl="0" w:tplc="B590C440">
      <w:start w:val="1"/>
      <w:numFmt w:val="decimal"/>
      <w:lvlText w:val="%1)"/>
      <w:lvlJc w:val="left"/>
      <w:pPr>
        <w:tabs>
          <w:tab w:val="num" w:pos="340"/>
        </w:tabs>
        <w:ind w:left="340" w:hanging="340"/>
      </w:pPr>
      <w:rPr>
        <w:rFonts w:hint="default"/>
      </w:rPr>
    </w:lvl>
    <w:lvl w:ilvl="1" w:tplc="72F49F50" w:tentative="1">
      <w:start w:val="1"/>
      <w:numFmt w:val="lowerLetter"/>
      <w:lvlText w:val="%2."/>
      <w:lvlJc w:val="left"/>
      <w:pPr>
        <w:tabs>
          <w:tab w:val="num" w:pos="1440"/>
        </w:tabs>
        <w:ind w:left="1440" w:hanging="360"/>
      </w:pPr>
    </w:lvl>
    <w:lvl w:ilvl="2" w:tplc="46EADE1E" w:tentative="1">
      <w:start w:val="1"/>
      <w:numFmt w:val="lowerRoman"/>
      <w:lvlText w:val="%3."/>
      <w:lvlJc w:val="right"/>
      <w:pPr>
        <w:tabs>
          <w:tab w:val="num" w:pos="2160"/>
        </w:tabs>
        <w:ind w:left="2160" w:hanging="180"/>
      </w:pPr>
    </w:lvl>
    <w:lvl w:ilvl="3" w:tplc="B5588D2E" w:tentative="1">
      <w:start w:val="1"/>
      <w:numFmt w:val="decimal"/>
      <w:lvlText w:val="%4."/>
      <w:lvlJc w:val="left"/>
      <w:pPr>
        <w:tabs>
          <w:tab w:val="num" w:pos="2880"/>
        </w:tabs>
        <w:ind w:left="2880" w:hanging="360"/>
      </w:pPr>
    </w:lvl>
    <w:lvl w:ilvl="4" w:tplc="A2F2A666" w:tentative="1">
      <w:start w:val="1"/>
      <w:numFmt w:val="lowerLetter"/>
      <w:lvlText w:val="%5."/>
      <w:lvlJc w:val="left"/>
      <w:pPr>
        <w:tabs>
          <w:tab w:val="num" w:pos="3600"/>
        </w:tabs>
        <w:ind w:left="3600" w:hanging="360"/>
      </w:pPr>
    </w:lvl>
    <w:lvl w:ilvl="5" w:tplc="08D89B38" w:tentative="1">
      <w:start w:val="1"/>
      <w:numFmt w:val="lowerRoman"/>
      <w:lvlText w:val="%6."/>
      <w:lvlJc w:val="right"/>
      <w:pPr>
        <w:tabs>
          <w:tab w:val="num" w:pos="4320"/>
        </w:tabs>
        <w:ind w:left="4320" w:hanging="180"/>
      </w:pPr>
    </w:lvl>
    <w:lvl w:ilvl="6" w:tplc="1EB208D8" w:tentative="1">
      <w:start w:val="1"/>
      <w:numFmt w:val="decimal"/>
      <w:lvlText w:val="%7."/>
      <w:lvlJc w:val="left"/>
      <w:pPr>
        <w:tabs>
          <w:tab w:val="num" w:pos="5040"/>
        </w:tabs>
        <w:ind w:left="5040" w:hanging="360"/>
      </w:pPr>
    </w:lvl>
    <w:lvl w:ilvl="7" w:tplc="C28C2B76" w:tentative="1">
      <w:start w:val="1"/>
      <w:numFmt w:val="lowerLetter"/>
      <w:lvlText w:val="%8."/>
      <w:lvlJc w:val="left"/>
      <w:pPr>
        <w:tabs>
          <w:tab w:val="num" w:pos="5760"/>
        </w:tabs>
        <w:ind w:left="5760" w:hanging="360"/>
      </w:pPr>
    </w:lvl>
    <w:lvl w:ilvl="8" w:tplc="C5B8A3CC" w:tentative="1">
      <w:start w:val="1"/>
      <w:numFmt w:val="lowerRoman"/>
      <w:lvlText w:val="%9."/>
      <w:lvlJc w:val="right"/>
      <w:pPr>
        <w:tabs>
          <w:tab w:val="num" w:pos="6480"/>
        </w:tabs>
        <w:ind w:left="6480" w:hanging="180"/>
      </w:pPr>
    </w:lvl>
  </w:abstractNum>
  <w:abstractNum w:abstractNumId="15" w15:restartNumberingAfterBreak="0">
    <w:nsid w:val="4AF13712"/>
    <w:multiLevelType w:val="hybridMultilevel"/>
    <w:tmpl w:val="B26A1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42F3AFA"/>
    <w:multiLevelType w:val="hybridMultilevel"/>
    <w:tmpl w:val="9DF09BE6"/>
    <w:lvl w:ilvl="0" w:tplc="F42A94EE">
      <w:start w:val="1"/>
      <w:numFmt w:val="decimal"/>
      <w:lvlText w:val="%1."/>
      <w:lvlJc w:val="left"/>
      <w:pPr>
        <w:tabs>
          <w:tab w:val="num" w:pos="1057"/>
        </w:tabs>
        <w:ind w:left="1057" w:hanging="360"/>
      </w:pPr>
      <w:rPr>
        <w:rFonts w:hint="default"/>
      </w:rPr>
    </w:lvl>
    <w:lvl w:ilvl="1" w:tplc="EE1AF2F2" w:tentative="1">
      <w:start w:val="1"/>
      <w:numFmt w:val="lowerLetter"/>
      <w:lvlText w:val="%2."/>
      <w:lvlJc w:val="left"/>
      <w:pPr>
        <w:tabs>
          <w:tab w:val="num" w:pos="2137"/>
        </w:tabs>
        <w:ind w:left="2137" w:hanging="360"/>
      </w:pPr>
    </w:lvl>
    <w:lvl w:ilvl="2" w:tplc="CDB671FE" w:tentative="1">
      <w:start w:val="1"/>
      <w:numFmt w:val="lowerRoman"/>
      <w:lvlText w:val="%3."/>
      <w:lvlJc w:val="right"/>
      <w:pPr>
        <w:tabs>
          <w:tab w:val="num" w:pos="2857"/>
        </w:tabs>
        <w:ind w:left="2857" w:hanging="180"/>
      </w:pPr>
    </w:lvl>
    <w:lvl w:ilvl="3" w:tplc="B84CE294" w:tentative="1">
      <w:start w:val="1"/>
      <w:numFmt w:val="decimal"/>
      <w:lvlText w:val="%4."/>
      <w:lvlJc w:val="left"/>
      <w:pPr>
        <w:tabs>
          <w:tab w:val="num" w:pos="3577"/>
        </w:tabs>
        <w:ind w:left="3577" w:hanging="360"/>
      </w:pPr>
    </w:lvl>
    <w:lvl w:ilvl="4" w:tplc="E0EC74BA" w:tentative="1">
      <w:start w:val="1"/>
      <w:numFmt w:val="lowerLetter"/>
      <w:lvlText w:val="%5."/>
      <w:lvlJc w:val="left"/>
      <w:pPr>
        <w:tabs>
          <w:tab w:val="num" w:pos="4297"/>
        </w:tabs>
        <w:ind w:left="4297" w:hanging="360"/>
      </w:pPr>
    </w:lvl>
    <w:lvl w:ilvl="5" w:tplc="953E1B06" w:tentative="1">
      <w:start w:val="1"/>
      <w:numFmt w:val="lowerRoman"/>
      <w:lvlText w:val="%6."/>
      <w:lvlJc w:val="right"/>
      <w:pPr>
        <w:tabs>
          <w:tab w:val="num" w:pos="5017"/>
        </w:tabs>
        <w:ind w:left="5017" w:hanging="180"/>
      </w:pPr>
    </w:lvl>
    <w:lvl w:ilvl="6" w:tplc="10F008C2" w:tentative="1">
      <w:start w:val="1"/>
      <w:numFmt w:val="decimal"/>
      <w:lvlText w:val="%7."/>
      <w:lvlJc w:val="left"/>
      <w:pPr>
        <w:tabs>
          <w:tab w:val="num" w:pos="5737"/>
        </w:tabs>
        <w:ind w:left="5737" w:hanging="360"/>
      </w:pPr>
    </w:lvl>
    <w:lvl w:ilvl="7" w:tplc="6E8433FC" w:tentative="1">
      <w:start w:val="1"/>
      <w:numFmt w:val="lowerLetter"/>
      <w:lvlText w:val="%8."/>
      <w:lvlJc w:val="left"/>
      <w:pPr>
        <w:tabs>
          <w:tab w:val="num" w:pos="6457"/>
        </w:tabs>
        <w:ind w:left="6457" w:hanging="360"/>
      </w:pPr>
    </w:lvl>
    <w:lvl w:ilvl="8" w:tplc="CC1E2EA0"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A2B44616">
      <w:start w:val="1"/>
      <w:numFmt w:val="decimal"/>
      <w:pStyle w:val="ATSNumber1"/>
      <w:lvlText w:val="%1)"/>
      <w:lvlJc w:val="left"/>
      <w:pPr>
        <w:tabs>
          <w:tab w:val="num" w:pos="720"/>
        </w:tabs>
        <w:ind w:left="720" w:hanging="360"/>
      </w:pPr>
    </w:lvl>
    <w:lvl w:ilvl="1" w:tplc="3D5AF334" w:tentative="1">
      <w:start w:val="1"/>
      <w:numFmt w:val="lowerLetter"/>
      <w:lvlText w:val="%2."/>
      <w:lvlJc w:val="left"/>
      <w:pPr>
        <w:tabs>
          <w:tab w:val="num" w:pos="1440"/>
        </w:tabs>
        <w:ind w:left="1440" w:hanging="360"/>
      </w:pPr>
    </w:lvl>
    <w:lvl w:ilvl="2" w:tplc="C23E3686" w:tentative="1">
      <w:start w:val="1"/>
      <w:numFmt w:val="lowerRoman"/>
      <w:lvlText w:val="%3."/>
      <w:lvlJc w:val="right"/>
      <w:pPr>
        <w:tabs>
          <w:tab w:val="num" w:pos="2160"/>
        </w:tabs>
        <w:ind w:left="2160" w:hanging="180"/>
      </w:pPr>
    </w:lvl>
    <w:lvl w:ilvl="3" w:tplc="106203A2" w:tentative="1">
      <w:start w:val="1"/>
      <w:numFmt w:val="decimal"/>
      <w:lvlText w:val="%4."/>
      <w:lvlJc w:val="left"/>
      <w:pPr>
        <w:tabs>
          <w:tab w:val="num" w:pos="2880"/>
        </w:tabs>
        <w:ind w:left="2880" w:hanging="360"/>
      </w:pPr>
    </w:lvl>
    <w:lvl w:ilvl="4" w:tplc="DA1ABF32" w:tentative="1">
      <w:start w:val="1"/>
      <w:numFmt w:val="lowerLetter"/>
      <w:lvlText w:val="%5."/>
      <w:lvlJc w:val="left"/>
      <w:pPr>
        <w:tabs>
          <w:tab w:val="num" w:pos="3600"/>
        </w:tabs>
        <w:ind w:left="3600" w:hanging="360"/>
      </w:pPr>
    </w:lvl>
    <w:lvl w:ilvl="5" w:tplc="74CE62B8" w:tentative="1">
      <w:start w:val="1"/>
      <w:numFmt w:val="lowerRoman"/>
      <w:lvlText w:val="%6."/>
      <w:lvlJc w:val="right"/>
      <w:pPr>
        <w:tabs>
          <w:tab w:val="num" w:pos="4320"/>
        </w:tabs>
        <w:ind w:left="4320" w:hanging="180"/>
      </w:pPr>
    </w:lvl>
    <w:lvl w:ilvl="6" w:tplc="8F843334" w:tentative="1">
      <w:start w:val="1"/>
      <w:numFmt w:val="decimal"/>
      <w:lvlText w:val="%7."/>
      <w:lvlJc w:val="left"/>
      <w:pPr>
        <w:tabs>
          <w:tab w:val="num" w:pos="5040"/>
        </w:tabs>
        <w:ind w:left="5040" w:hanging="360"/>
      </w:pPr>
    </w:lvl>
    <w:lvl w:ilvl="7" w:tplc="A0A8B758" w:tentative="1">
      <w:start w:val="1"/>
      <w:numFmt w:val="lowerLetter"/>
      <w:lvlText w:val="%8."/>
      <w:lvlJc w:val="left"/>
      <w:pPr>
        <w:tabs>
          <w:tab w:val="num" w:pos="5760"/>
        </w:tabs>
        <w:ind w:left="5760" w:hanging="360"/>
      </w:pPr>
    </w:lvl>
    <w:lvl w:ilvl="8" w:tplc="3EBE85FA"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0E8463D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9DA37F6" w:tentative="1">
      <w:start w:val="1"/>
      <w:numFmt w:val="bullet"/>
      <w:lvlText w:val="o"/>
      <w:lvlJc w:val="left"/>
      <w:pPr>
        <w:tabs>
          <w:tab w:val="num" w:pos="2517"/>
        </w:tabs>
        <w:ind w:left="2517" w:hanging="360"/>
      </w:pPr>
      <w:rPr>
        <w:rFonts w:ascii="Courier New" w:hAnsi="Courier New" w:cs="Courier New" w:hint="default"/>
      </w:rPr>
    </w:lvl>
    <w:lvl w:ilvl="2" w:tplc="1FE02C8A" w:tentative="1">
      <w:start w:val="1"/>
      <w:numFmt w:val="bullet"/>
      <w:lvlText w:val=""/>
      <w:lvlJc w:val="left"/>
      <w:pPr>
        <w:tabs>
          <w:tab w:val="num" w:pos="3237"/>
        </w:tabs>
        <w:ind w:left="3237" w:hanging="360"/>
      </w:pPr>
      <w:rPr>
        <w:rFonts w:ascii="Wingdings" w:hAnsi="Wingdings" w:hint="default"/>
      </w:rPr>
    </w:lvl>
    <w:lvl w:ilvl="3" w:tplc="1FD4885A" w:tentative="1">
      <w:start w:val="1"/>
      <w:numFmt w:val="bullet"/>
      <w:lvlText w:val=""/>
      <w:lvlJc w:val="left"/>
      <w:pPr>
        <w:tabs>
          <w:tab w:val="num" w:pos="3957"/>
        </w:tabs>
        <w:ind w:left="3957" w:hanging="360"/>
      </w:pPr>
      <w:rPr>
        <w:rFonts w:ascii="Symbol" w:hAnsi="Symbol" w:hint="default"/>
      </w:rPr>
    </w:lvl>
    <w:lvl w:ilvl="4" w:tplc="4822C7CE" w:tentative="1">
      <w:start w:val="1"/>
      <w:numFmt w:val="bullet"/>
      <w:lvlText w:val="o"/>
      <w:lvlJc w:val="left"/>
      <w:pPr>
        <w:tabs>
          <w:tab w:val="num" w:pos="4677"/>
        </w:tabs>
        <w:ind w:left="4677" w:hanging="360"/>
      </w:pPr>
      <w:rPr>
        <w:rFonts w:ascii="Courier New" w:hAnsi="Courier New" w:cs="Courier New" w:hint="default"/>
      </w:rPr>
    </w:lvl>
    <w:lvl w:ilvl="5" w:tplc="9FC25948" w:tentative="1">
      <w:start w:val="1"/>
      <w:numFmt w:val="bullet"/>
      <w:lvlText w:val=""/>
      <w:lvlJc w:val="left"/>
      <w:pPr>
        <w:tabs>
          <w:tab w:val="num" w:pos="5397"/>
        </w:tabs>
        <w:ind w:left="5397" w:hanging="360"/>
      </w:pPr>
      <w:rPr>
        <w:rFonts w:ascii="Wingdings" w:hAnsi="Wingdings" w:hint="default"/>
      </w:rPr>
    </w:lvl>
    <w:lvl w:ilvl="6" w:tplc="9ED4DA94" w:tentative="1">
      <w:start w:val="1"/>
      <w:numFmt w:val="bullet"/>
      <w:lvlText w:val=""/>
      <w:lvlJc w:val="left"/>
      <w:pPr>
        <w:tabs>
          <w:tab w:val="num" w:pos="6117"/>
        </w:tabs>
        <w:ind w:left="6117" w:hanging="360"/>
      </w:pPr>
      <w:rPr>
        <w:rFonts w:ascii="Symbol" w:hAnsi="Symbol" w:hint="default"/>
      </w:rPr>
    </w:lvl>
    <w:lvl w:ilvl="7" w:tplc="16F2B43A" w:tentative="1">
      <w:start w:val="1"/>
      <w:numFmt w:val="bullet"/>
      <w:lvlText w:val="o"/>
      <w:lvlJc w:val="left"/>
      <w:pPr>
        <w:tabs>
          <w:tab w:val="num" w:pos="6837"/>
        </w:tabs>
        <w:ind w:left="6837" w:hanging="360"/>
      </w:pPr>
      <w:rPr>
        <w:rFonts w:ascii="Courier New" w:hAnsi="Courier New" w:cs="Courier New" w:hint="default"/>
      </w:rPr>
    </w:lvl>
    <w:lvl w:ilvl="8" w:tplc="C6FC4DCE"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0D7ED9AC">
      <w:start w:val="1"/>
      <w:numFmt w:val="decimal"/>
      <w:pStyle w:val="ATSNumber2"/>
      <w:lvlText w:val="%1."/>
      <w:lvlJc w:val="left"/>
      <w:pPr>
        <w:tabs>
          <w:tab w:val="num" w:pos="720"/>
        </w:tabs>
        <w:ind w:left="720" w:hanging="360"/>
      </w:pPr>
      <w:rPr>
        <w:rFonts w:hint="default"/>
      </w:rPr>
    </w:lvl>
    <w:lvl w:ilvl="1" w:tplc="37983954" w:tentative="1">
      <w:start w:val="1"/>
      <w:numFmt w:val="lowerLetter"/>
      <w:lvlText w:val="%2."/>
      <w:lvlJc w:val="left"/>
      <w:pPr>
        <w:tabs>
          <w:tab w:val="num" w:pos="1440"/>
        </w:tabs>
        <w:ind w:left="1440" w:hanging="360"/>
      </w:pPr>
    </w:lvl>
    <w:lvl w:ilvl="2" w:tplc="A48890CC" w:tentative="1">
      <w:start w:val="1"/>
      <w:numFmt w:val="lowerRoman"/>
      <w:lvlText w:val="%3."/>
      <w:lvlJc w:val="right"/>
      <w:pPr>
        <w:tabs>
          <w:tab w:val="num" w:pos="2160"/>
        </w:tabs>
        <w:ind w:left="2160" w:hanging="180"/>
      </w:pPr>
    </w:lvl>
    <w:lvl w:ilvl="3" w:tplc="63DEA234" w:tentative="1">
      <w:start w:val="1"/>
      <w:numFmt w:val="decimal"/>
      <w:lvlText w:val="%4."/>
      <w:lvlJc w:val="left"/>
      <w:pPr>
        <w:tabs>
          <w:tab w:val="num" w:pos="2880"/>
        </w:tabs>
        <w:ind w:left="2880" w:hanging="360"/>
      </w:pPr>
    </w:lvl>
    <w:lvl w:ilvl="4" w:tplc="1CE84D48" w:tentative="1">
      <w:start w:val="1"/>
      <w:numFmt w:val="lowerLetter"/>
      <w:lvlText w:val="%5."/>
      <w:lvlJc w:val="left"/>
      <w:pPr>
        <w:tabs>
          <w:tab w:val="num" w:pos="3600"/>
        </w:tabs>
        <w:ind w:left="3600" w:hanging="360"/>
      </w:pPr>
    </w:lvl>
    <w:lvl w:ilvl="5" w:tplc="50BCA55C" w:tentative="1">
      <w:start w:val="1"/>
      <w:numFmt w:val="lowerRoman"/>
      <w:lvlText w:val="%6."/>
      <w:lvlJc w:val="right"/>
      <w:pPr>
        <w:tabs>
          <w:tab w:val="num" w:pos="4320"/>
        </w:tabs>
        <w:ind w:left="4320" w:hanging="180"/>
      </w:pPr>
    </w:lvl>
    <w:lvl w:ilvl="6" w:tplc="33689B0E" w:tentative="1">
      <w:start w:val="1"/>
      <w:numFmt w:val="decimal"/>
      <w:lvlText w:val="%7."/>
      <w:lvlJc w:val="left"/>
      <w:pPr>
        <w:tabs>
          <w:tab w:val="num" w:pos="5040"/>
        </w:tabs>
        <w:ind w:left="5040" w:hanging="360"/>
      </w:pPr>
    </w:lvl>
    <w:lvl w:ilvl="7" w:tplc="E0CCA476" w:tentative="1">
      <w:start w:val="1"/>
      <w:numFmt w:val="lowerLetter"/>
      <w:lvlText w:val="%8."/>
      <w:lvlJc w:val="left"/>
      <w:pPr>
        <w:tabs>
          <w:tab w:val="num" w:pos="5760"/>
        </w:tabs>
        <w:ind w:left="5760" w:hanging="360"/>
      </w:pPr>
    </w:lvl>
    <w:lvl w:ilvl="8" w:tplc="BAB06D7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7"/>
  </w:num>
  <w:num w:numId="14">
    <w:abstractNumId w:val="14"/>
  </w:num>
  <w:num w:numId="15">
    <w:abstractNumId w:val="16"/>
  </w:num>
  <w:num w:numId="16">
    <w:abstractNumId w:val="10"/>
  </w:num>
  <w:num w:numId="17">
    <w:abstractNumId w:val="12"/>
  </w:num>
  <w:num w:numId="18">
    <w:abstractNumId w:val="18"/>
  </w:num>
  <w:num w:numId="19">
    <w:abstractNumId w:val="17"/>
  </w:num>
  <w:num w:numId="20">
    <w:abstractNumId w:val="19"/>
  </w:num>
  <w:num w:numId="21">
    <w:abstractNumId w:val="11"/>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ED"/>
    <w:rsid w:val="00691FED"/>
    <w:rsid w:val="006A0C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1D457F"/>
  <w15:chartTrackingRefBased/>
  <w15:docId w15:val="{683877FC-B113-482A-A02A-642F3AEA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annotation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6A0CB6"/>
    <w:rPr>
      <w:sz w:val="22"/>
      <w:szCs w:val="22"/>
      <w:lang w:val="en-GB" w:eastAsia="en-US"/>
    </w:rPr>
  </w:style>
  <w:style w:type="character" w:customStyle="1" w:styleId="ATSNormalChar">
    <w:name w:val="ATS Normal Char"/>
    <w:link w:val="ATSNormal"/>
    <w:locked/>
    <w:rsid w:val="006A0CB6"/>
    <w:rPr>
      <w:sz w:val="22"/>
      <w:szCs w:val="24"/>
      <w:lang w:val="en-GB" w:eastAsia="en-GB"/>
    </w:rPr>
  </w:style>
  <w:style w:type="paragraph" w:styleId="Textocomentario">
    <w:name w:val="annotation text"/>
    <w:basedOn w:val="Normal"/>
    <w:link w:val="TextocomentarioCar"/>
    <w:uiPriority w:val="99"/>
    <w:unhideWhenUsed/>
    <w:rsid w:val="006A0CB6"/>
    <w:pPr>
      <w:spacing w:after="160"/>
    </w:pPr>
    <w:rPr>
      <w:rFonts w:ascii="Calibri" w:hAnsi="Calibri"/>
      <w:sz w:val="20"/>
      <w:szCs w:val="20"/>
      <w:lang w:val="en-NZ"/>
    </w:rPr>
  </w:style>
  <w:style w:type="character" w:customStyle="1" w:styleId="TextocomentarioCar">
    <w:name w:val="Texto comentario Car"/>
    <w:basedOn w:val="Fuentedeprrafopredeter"/>
    <w:link w:val="Textocomentario"/>
    <w:uiPriority w:val="99"/>
    <w:rsid w:val="006A0CB6"/>
    <w:rPr>
      <w:rFonts w:ascii="Calibri" w:hAnsi="Calibri"/>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camlr.org/en/wg-emm-2019/3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ps.birdlife.org/marineIB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16/j.biocon.2019.1082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3283</Words>
  <Characters>18125</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2021-04-30T13:40:00Z</dcterms:modified>
</cp:coreProperties>
</file>