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8B7C" w14:textId="77777777" w:rsidR="00C26F2D" w:rsidRPr="00BF077B" w:rsidRDefault="009000FB" w:rsidP="00BF077B">
      <w:pPr>
        <w:pStyle w:val="ATSNormal"/>
        <w:rPr>
          <w:rStyle w:val="Ttulodellibro"/>
        </w:rPr>
      </w:pPr>
    </w:p>
    <w:p w14:paraId="1E40D7DC" w14:textId="77777777" w:rsidR="002F0A13" w:rsidRDefault="009000FB" w:rsidP="004B4A60">
      <w:pPr>
        <w:rPr>
          <w:b/>
          <w:u w:val="single"/>
          <w:lang w:val="es-ES_tradnl"/>
        </w:rPr>
      </w:pPr>
    </w:p>
    <w:p w14:paraId="38A5D529" w14:textId="77777777" w:rsidR="002F0A13" w:rsidRDefault="009000FB" w:rsidP="004B4A60">
      <w:pPr>
        <w:rPr>
          <w:b/>
          <w:u w:val="single"/>
          <w:lang w:val="es-ES_tradnl"/>
        </w:rPr>
      </w:pPr>
    </w:p>
    <w:p w14:paraId="4CEF4F40" w14:textId="77777777" w:rsidR="002F0A13" w:rsidRDefault="009000FB" w:rsidP="004B4A60">
      <w:pPr>
        <w:rPr>
          <w:b/>
          <w:u w:val="single"/>
          <w:lang w:val="es-ES_tradnl"/>
        </w:rPr>
      </w:pPr>
    </w:p>
    <w:p w14:paraId="13C01D6C" w14:textId="77777777" w:rsidR="002F0A13" w:rsidRDefault="009000FB" w:rsidP="004B4A60">
      <w:pPr>
        <w:rPr>
          <w:b/>
          <w:u w:val="single"/>
          <w:lang w:val="es-ES_tradnl"/>
        </w:rPr>
      </w:pPr>
    </w:p>
    <w:p w14:paraId="4C358389" w14:textId="77777777" w:rsidR="00C26F2D" w:rsidRDefault="009000FB" w:rsidP="004B4A60">
      <w:pPr>
        <w:rPr>
          <w:b/>
          <w:u w:val="single"/>
          <w:lang w:val="es-ES_tradnl"/>
        </w:rPr>
      </w:pPr>
    </w:p>
    <w:p w14:paraId="3C040DAA" w14:textId="36707232" w:rsidR="004B4A60" w:rsidRPr="0057246E" w:rsidRDefault="009000FB" w:rsidP="001B789F">
      <w:pPr>
        <w:pStyle w:val="ATSTitle"/>
      </w:pPr>
      <w:bookmarkStart w:id="0" w:name="name"/>
      <w:r>
        <w:t xml:space="preserve">Education and outreach by the Antarctic Treaty Parties under ATCM framework: </w:t>
      </w:r>
      <w:r>
        <w:br/>
      </w:r>
      <w:r>
        <w:t xml:space="preserve">a </w:t>
      </w:r>
      <w:proofErr w:type="gramStart"/>
      <w:r>
        <w:t>review</w:t>
      </w:r>
      <w:bookmarkEnd w:id="0"/>
      <w:proofErr w:type="gramEnd"/>
    </w:p>
    <w:p w14:paraId="028D0602" w14:textId="77777777" w:rsidR="004B4A60" w:rsidRPr="0057246E" w:rsidRDefault="009000FB" w:rsidP="00F75424">
      <w:pPr>
        <w:jc w:val="center"/>
      </w:pPr>
    </w:p>
    <w:p w14:paraId="772C26A2" w14:textId="77777777" w:rsidR="004B4A60" w:rsidRPr="002F0A13" w:rsidRDefault="009000FB" w:rsidP="002F0A13"/>
    <w:p w14:paraId="73D2FFA0" w14:textId="77777777" w:rsidR="004B4A60" w:rsidRDefault="009000FB" w:rsidP="00F75424">
      <w:pPr>
        <w:jc w:val="center"/>
      </w:pPr>
      <w:bookmarkStart w:id="1" w:name="memo"/>
      <w:bookmarkEnd w:id="1"/>
    </w:p>
    <w:p w14:paraId="00A587C1" w14:textId="77777777" w:rsidR="0097629D" w:rsidRDefault="009000FB" w:rsidP="00F75424">
      <w:pPr>
        <w:jc w:val="center"/>
      </w:pPr>
    </w:p>
    <w:p w14:paraId="69559682" w14:textId="77777777" w:rsidR="0097629D" w:rsidRDefault="009000FB" w:rsidP="00F75424">
      <w:pPr>
        <w:jc w:val="center"/>
      </w:pPr>
    </w:p>
    <w:p w14:paraId="137BD731" w14:textId="77777777" w:rsidR="0097629D" w:rsidRDefault="009000FB" w:rsidP="00F75424">
      <w:pPr>
        <w:jc w:val="center"/>
      </w:pPr>
    </w:p>
    <w:p w14:paraId="10FB2934" w14:textId="77777777" w:rsidR="0097629D" w:rsidRPr="00C26F2D" w:rsidRDefault="009000FB" w:rsidP="00F75424">
      <w:pPr>
        <w:jc w:val="center"/>
      </w:pPr>
    </w:p>
    <w:p w14:paraId="0E685E6D" w14:textId="77777777" w:rsidR="004B4A60" w:rsidRPr="0057246E" w:rsidRDefault="009000FB" w:rsidP="004B4A60"/>
    <w:p w14:paraId="54FB275B" w14:textId="77777777" w:rsidR="00C26F2D" w:rsidRDefault="009000F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33F236B" w14:textId="77777777" w:rsidR="009000FB" w:rsidRPr="00CE4B5D" w:rsidRDefault="009000FB" w:rsidP="009000FB">
      <w:pPr>
        <w:pStyle w:val="p1"/>
        <w:jc w:val="center"/>
        <w:rPr>
          <w:rFonts w:ascii="Arial" w:hAnsi="Arial" w:cs="Arial"/>
          <w:b/>
          <w:color w:val="000000"/>
          <w:sz w:val="32"/>
          <w:szCs w:val="32"/>
        </w:rPr>
      </w:pPr>
      <w:r w:rsidRPr="004343FD">
        <w:rPr>
          <w:rFonts w:ascii="Arial" w:hAnsi="Arial" w:cs="Arial"/>
          <w:b/>
          <w:color w:val="000000"/>
          <w:sz w:val="32"/>
          <w:szCs w:val="32"/>
        </w:rPr>
        <w:lastRenderedPageBreak/>
        <w:t xml:space="preserve">Education and outreach by the Antarctic Treaty Parties under </w:t>
      </w:r>
      <w:r>
        <w:rPr>
          <w:rFonts w:ascii="Arial" w:hAnsi="Arial" w:cs="Arial"/>
          <w:b/>
          <w:color w:val="000000"/>
          <w:sz w:val="32"/>
          <w:szCs w:val="32"/>
        </w:rPr>
        <w:t xml:space="preserve">the </w:t>
      </w:r>
      <w:r w:rsidRPr="004343FD">
        <w:rPr>
          <w:rFonts w:ascii="Arial" w:hAnsi="Arial" w:cs="Arial"/>
          <w:b/>
          <w:color w:val="000000"/>
          <w:sz w:val="32"/>
          <w:szCs w:val="32"/>
        </w:rPr>
        <w:t xml:space="preserve">ATCM framework: a </w:t>
      </w:r>
      <w:proofErr w:type="gramStart"/>
      <w:r w:rsidRPr="004343FD">
        <w:rPr>
          <w:rFonts w:ascii="Arial" w:hAnsi="Arial" w:cs="Arial"/>
          <w:b/>
          <w:color w:val="000000"/>
          <w:sz w:val="32"/>
          <w:szCs w:val="32"/>
        </w:rPr>
        <w:t>review</w:t>
      </w:r>
      <w:proofErr w:type="gramEnd"/>
    </w:p>
    <w:p w14:paraId="383EA793" w14:textId="77777777" w:rsidR="009000FB" w:rsidRDefault="009000FB" w:rsidP="009000FB">
      <w:pPr>
        <w:pStyle w:val="ATSTitle"/>
        <w:rPr>
          <w:rFonts w:ascii="Times New Roman" w:hAnsi="Times New Roman"/>
          <w:sz w:val="24"/>
        </w:rPr>
      </w:pPr>
      <w:r>
        <w:rPr>
          <w:rFonts w:ascii="Times New Roman" w:hAnsi="Times New Roman"/>
          <w:sz w:val="24"/>
        </w:rPr>
        <w:t xml:space="preserve">Information Paper submitted by Portugal, Belgium, </w:t>
      </w:r>
      <w:proofErr w:type="gramStart"/>
      <w:r>
        <w:rPr>
          <w:rFonts w:ascii="Times New Roman" w:hAnsi="Times New Roman"/>
          <w:sz w:val="24"/>
        </w:rPr>
        <w:t>Bulgaria</w:t>
      </w:r>
      <w:proofErr w:type="gramEnd"/>
      <w:r>
        <w:rPr>
          <w:rFonts w:ascii="Times New Roman" w:hAnsi="Times New Roman"/>
          <w:sz w:val="24"/>
        </w:rPr>
        <w:t xml:space="preserve"> and United Kingdom</w:t>
      </w:r>
    </w:p>
    <w:p w14:paraId="56AF74DD" w14:textId="77777777" w:rsidR="009000FB" w:rsidRPr="004A18CF" w:rsidRDefault="009000FB" w:rsidP="009000FB">
      <w:pPr>
        <w:pStyle w:val="ATSTitle"/>
        <w:spacing w:before="480" w:after="120"/>
        <w:contextualSpacing w:val="0"/>
        <w:jc w:val="both"/>
        <w:rPr>
          <w:rFonts w:cs="Arial"/>
          <w:i/>
          <w:sz w:val="24"/>
        </w:rPr>
      </w:pPr>
      <w:r w:rsidRPr="004A18CF">
        <w:rPr>
          <w:rFonts w:cs="Arial"/>
          <w:i/>
          <w:sz w:val="24"/>
        </w:rPr>
        <w:t>Summary</w:t>
      </w:r>
    </w:p>
    <w:p w14:paraId="2423208C" w14:textId="77777777" w:rsidR="009000FB" w:rsidRDefault="009000FB" w:rsidP="009000FB">
      <w:pPr>
        <w:pStyle w:val="ATSTitle"/>
        <w:jc w:val="both"/>
        <w:rPr>
          <w:rFonts w:ascii="Times New Roman" w:hAnsi="Times New Roman"/>
          <w:b w:val="0"/>
          <w:sz w:val="24"/>
        </w:rPr>
      </w:pPr>
      <w:r>
        <w:rPr>
          <w:rFonts w:ascii="Times New Roman" w:hAnsi="Times New Roman"/>
          <w:b w:val="0"/>
          <w:sz w:val="24"/>
        </w:rPr>
        <w:t>This paper describes the actions and responses of Treaty Parties to the growing public interest in Antarctica.  Analysis of the level of reporting of education and outreach activities by Parties since 1961, when the Antarctic Treaty entered into force, reveals a significant increase in activity following the signing in 1991 of the Protocol on Environmental Protection.  Through the work of the ATCM Intersessional Contact Group on Education and Outreach, established in 2014, we can demonstrate that most delegations are actively involved in education and outreach, and consider these activities to be a priority. We invite Parties, Observers and Experts to continue to be actively engaged in and to report achievements in this field through the ATCM Intersessional Contact Group on Education and Outreach and in the ATCM Forum.</w:t>
      </w:r>
    </w:p>
    <w:p w14:paraId="72A461AA" w14:textId="77777777" w:rsidR="009000FB" w:rsidRPr="004A18CF" w:rsidRDefault="009000FB" w:rsidP="009000FB">
      <w:pPr>
        <w:pStyle w:val="ATSTitle"/>
        <w:jc w:val="left"/>
        <w:rPr>
          <w:rFonts w:ascii="Times New Roman" w:hAnsi="Times New Roman"/>
          <w:b w:val="0"/>
          <w:sz w:val="24"/>
        </w:rPr>
      </w:pPr>
    </w:p>
    <w:p w14:paraId="2743A98D" w14:textId="77777777" w:rsidR="009000FB" w:rsidRPr="00CE4B5D" w:rsidRDefault="009000FB" w:rsidP="009000FB">
      <w:pPr>
        <w:pStyle w:val="ATSTitle"/>
        <w:spacing w:before="480" w:after="120"/>
        <w:contextualSpacing w:val="0"/>
        <w:jc w:val="left"/>
        <w:rPr>
          <w:rFonts w:cs="Arial"/>
          <w:i/>
          <w:sz w:val="24"/>
        </w:rPr>
      </w:pPr>
      <w:r w:rsidRPr="004A18CF">
        <w:rPr>
          <w:rFonts w:cs="Arial"/>
          <w:i/>
          <w:sz w:val="24"/>
        </w:rPr>
        <w:t>Background</w:t>
      </w:r>
    </w:p>
    <w:p w14:paraId="69CC4430" w14:textId="77777777" w:rsidR="009000FB" w:rsidRDefault="009000FB" w:rsidP="009000FB">
      <w:pPr>
        <w:pStyle w:val="ATSTitle"/>
        <w:jc w:val="left"/>
        <w:rPr>
          <w:rFonts w:ascii="Times New Roman" w:hAnsi="Times New Roman"/>
          <w:b w:val="0"/>
          <w:sz w:val="24"/>
        </w:rPr>
      </w:pPr>
      <w:r>
        <w:rPr>
          <w:rFonts w:ascii="Times New Roman" w:hAnsi="Times New Roman"/>
          <w:b w:val="0"/>
          <w:sz w:val="24"/>
        </w:rPr>
        <w:t xml:space="preserve">The original articles of the Antarctic Treaty make no mention of any responsibility to inform the public about the activities on the continent.  Indeed, the papers presented at the Antarctic Treaty Consultative Meetings (ATCM) were confidential during the first 20 years.  This changed in the 1980s, when papers became publicly available after each meeting and Observers and Experts were admitted to the ATCMs.  Analysis of papers shows that prior to the 1990s, there was little discussion on education and outreach.  However, there was a step-change following signing of the Protocol on Environmental Protection to the Antarctic Treaty in 1991.  Education and outreach initiatives were introduced to Treaty Parties through </w:t>
      </w:r>
      <w:proofErr w:type="gramStart"/>
      <w:r>
        <w:rPr>
          <w:rFonts w:ascii="Times New Roman" w:hAnsi="Times New Roman"/>
          <w:b w:val="0"/>
          <w:sz w:val="24"/>
        </w:rPr>
        <w:t>a number of</w:t>
      </w:r>
      <w:proofErr w:type="gramEnd"/>
      <w:r>
        <w:rPr>
          <w:rFonts w:ascii="Times New Roman" w:hAnsi="Times New Roman"/>
          <w:b w:val="0"/>
          <w:sz w:val="24"/>
        </w:rPr>
        <w:t xml:space="preserve"> reports from international workshops, including the Scientific Committee on Antarctic Research (SCAR) and the International Union for Conservation of Nature (IUCN) in 1993.  From the 1990´s various expert groups were created, including within the Council of Managers of National Antarctic Programs (COMNAP), SCAR Association of Polar Early Career Scientists (APECS) and Polar Educators International (Xavier et al. 2019). Such momentum resulted in the raising of education and outreach in ATCM´s. </w:t>
      </w:r>
    </w:p>
    <w:p w14:paraId="5C60C798" w14:textId="77777777" w:rsidR="009000FB" w:rsidRDefault="009000FB" w:rsidP="009000FB">
      <w:pPr>
        <w:pStyle w:val="ATSTitle"/>
        <w:jc w:val="left"/>
        <w:rPr>
          <w:rFonts w:ascii="Times New Roman" w:hAnsi="Times New Roman"/>
          <w:b w:val="0"/>
          <w:sz w:val="24"/>
        </w:rPr>
      </w:pPr>
    </w:p>
    <w:p w14:paraId="07D5EA1D" w14:textId="77777777" w:rsidR="009000FB" w:rsidRDefault="009000FB" w:rsidP="009000FB">
      <w:pPr>
        <w:pStyle w:val="ATSTitle"/>
        <w:jc w:val="left"/>
        <w:rPr>
          <w:rFonts w:ascii="Times New Roman" w:hAnsi="Times New Roman"/>
          <w:b w:val="0"/>
          <w:sz w:val="24"/>
        </w:rPr>
      </w:pPr>
      <w:r>
        <w:rPr>
          <w:rFonts w:ascii="Times New Roman" w:hAnsi="Times New Roman"/>
          <w:b w:val="0"/>
          <w:sz w:val="24"/>
        </w:rPr>
        <w:t>The imperative for greater visibility of Parties’ public education and outreach activities was recognized at ATCM XXXVII WP009 in 2014,</w:t>
      </w:r>
      <w:r w:rsidRPr="00A02529">
        <w:rPr>
          <w:rFonts w:ascii="Times New Roman" w:hAnsi="Times New Roman"/>
          <w:b w:val="0"/>
          <w:sz w:val="24"/>
        </w:rPr>
        <w:t xml:space="preserve"> </w:t>
      </w:r>
      <w:r>
        <w:rPr>
          <w:rFonts w:ascii="Times New Roman" w:hAnsi="Times New Roman"/>
          <w:b w:val="0"/>
          <w:sz w:val="24"/>
        </w:rPr>
        <w:t>when a workshop proposal from Brazil</w:t>
      </w:r>
      <w:r w:rsidRPr="00A02529">
        <w:rPr>
          <w:rFonts w:ascii="Times New Roman" w:hAnsi="Times New Roman"/>
          <w:b w:val="0"/>
          <w:sz w:val="24"/>
        </w:rPr>
        <w:t xml:space="preserve">, Bulgaria, Belgium, Brazil, Chile, Portugal, and </w:t>
      </w:r>
      <w:r>
        <w:rPr>
          <w:rFonts w:ascii="Times New Roman" w:hAnsi="Times New Roman"/>
          <w:b w:val="0"/>
          <w:sz w:val="24"/>
        </w:rPr>
        <w:t xml:space="preserve">the </w:t>
      </w:r>
      <w:r w:rsidRPr="00A02529">
        <w:rPr>
          <w:rFonts w:ascii="Times New Roman" w:hAnsi="Times New Roman"/>
          <w:b w:val="0"/>
          <w:sz w:val="24"/>
        </w:rPr>
        <w:t>U</w:t>
      </w:r>
      <w:r>
        <w:rPr>
          <w:rFonts w:ascii="Times New Roman" w:hAnsi="Times New Roman"/>
          <w:b w:val="0"/>
          <w:sz w:val="24"/>
        </w:rPr>
        <w:t xml:space="preserve">nited </w:t>
      </w:r>
      <w:r w:rsidRPr="00A02529">
        <w:rPr>
          <w:rFonts w:ascii="Times New Roman" w:hAnsi="Times New Roman"/>
          <w:b w:val="0"/>
          <w:sz w:val="24"/>
        </w:rPr>
        <w:t>K</w:t>
      </w:r>
      <w:r>
        <w:rPr>
          <w:rFonts w:ascii="Times New Roman" w:hAnsi="Times New Roman"/>
          <w:b w:val="0"/>
          <w:sz w:val="24"/>
        </w:rPr>
        <w:t>ingdom was endorsed. T</w:t>
      </w:r>
      <w:r w:rsidRPr="00A02529">
        <w:rPr>
          <w:rFonts w:ascii="Times New Roman" w:hAnsi="Times New Roman"/>
          <w:b w:val="0"/>
          <w:sz w:val="24"/>
        </w:rPr>
        <w:t xml:space="preserve">hirty-seven </w:t>
      </w:r>
      <w:r>
        <w:rPr>
          <w:rFonts w:ascii="Times New Roman" w:hAnsi="Times New Roman"/>
          <w:b w:val="0"/>
          <w:sz w:val="24"/>
        </w:rPr>
        <w:t>P</w:t>
      </w:r>
      <w:r w:rsidRPr="00A02529">
        <w:rPr>
          <w:rFonts w:ascii="Times New Roman" w:hAnsi="Times New Roman"/>
          <w:b w:val="0"/>
          <w:sz w:val="24"/>
        </w:rPr>
        <w:t xml:space="preserve">arties, </w:t>
      </w:r>
      <w:r>
        <w:rPr>
          <w:rFonts w:ascii="Times New Roman" w:hAnsi="Times New Roman"/>
          <w:b w:val="0"/>
          <w:sz w:val="24"/>
        </w:rPr>
        <w:t>O</w:t>
      </w:r>
      <w:r w:rsidRPr="00A02529">
        <w:rPr>
          <w:rFonts w:ascii="Times New Roman" w:hAnsi="Times New Roman"/>
          <w:b w:val="0"/>
          <w:sz w:val="24"/>
        </w:rPr>
        <w:t xml:space="preserve">bservers and </w:t>
      </w:r>
      <w:r>
        <w:rPr>
          <w:rFonts w:ascii="Times New Roman" w:hAnsi="Times New Roman"/>
          <w:b w:val="0"/>
          <w:sz w:val="24"/>
        </w:rPr>
        <w:t>E</w:t>
      </w:r>
      <w:r w:rsidRPr="00A02529">
        <w:rPr>
          <w:rFonts w:ascii="Times New Roman" w:hAnsi="Times New Roman"/>
          <w:b w:val="0"/>
          <w:sz w:val="24"/>
        </w:rPr>
        <w:t>xperts (ATCM XXXVIII BP26</w:t>
      </w:r>
      <w:r>
        <w:rPr>
          <w:rFonts w:ascii="Times New Roman" w:hAnsi="Times New Roman"/>
          <w:b w:val="0"/>
          <w:sz w:val="24"/>
        </w:rPr>
        <w:t xml:space="preserve">, </w:t>
      </w:r>
      <w:r w:rsidRPr="00A02529">
        <w:rPr>
          <w:rFonts w:ascii="Times New Roman" w:hAnsi="Times New Roman"/>
          <w:b w:val="0"/>
          <w:sz w:val="24"/>
        </w:rPr>
        <w:t>report ATCM XXXVIII</w:t>
      </w:r>
      <w:r w:rsidRPr="001C511F">
        <w:rPr>
          <w:rFonts w:ascii="Times New Roman" w:hAnsi="Times New Roman"/>
          <w:b w:val="0"/>
          <w:sz w:val="24"/>
        </w:rPr>
        <w:t xml:space="preserve"> </w:t>
      </w:r>
      <w:r w:rsidRPr="00A02529">
        <w:rPr>
          <w:rFonts w:ascii="Times New Roman" w:hAnsi="Times New Roman"/>
          <w:b w:val="0"/>
          <w:sz w:val="24"/>
        </w:rPr>
        <w:t>Paragraph 323,)</w:t>
      </w:r>
      <w:r>
        <w:rPr>
          <w:rFonts w:ascii="Times New Roman" w:hAnsi="Times New Roman"/>
          <w:b w:val="0"/>
          <w:sz w:val="24"/>
        </w:rPr>
        <w:t xml:space="preserve"> attended the workshop in Bulgaria</w:t>
      </w:r>
      <w:r w:rsidRPr="00A02529">
        <w:rPr>
          <w:rFonts w:ascii="Times New Roman" w:hAnsi="Times New Roman"/>
          <w:b w:val="0"/>
          <w:sz w:val="24"/>
        </w:rPr>
        <w:t xml:space="preserve">.  </w:t>
      </w:r>
      <w:r>
        <w:rPr>
          <w:rFonts w:ascii="Times New Roman" w:hAnsi="Times New Roman"/>
          <w:b w:val="0"/>
          <w:sz w:val="24"/>
        </w:rPr>
        <w:t>A key outcome was t</w:t>
      </w:r>
      <w:r w:rsidRPr="00A02529">
        <w:rPr>
          <w:rFonts w:ascii="Times New Roman" w:hAnsi="Times New Roman"/>
          <w:b w:val="0"/>
          <w:sz w:val="24"/>
        </w:rPr>
        <w:t>he establishment of an Intersessional Contact Group on Education and Outreach</w:t>
      </w:r>
      <w:r>
        <w:rPr>
          <w:rFonts w:ascii="Times New Roman" w:hAnsi="Times New Roman"/>
          <w:b w:val="0"/>
          <w:sz w:val="24"/>
        </w:rPr>
        <w:t xml:space="preserve"> and the coordination of an</w:t>
      </w:r>
      <w:r w:rsidRPr="00A02529">
        <w:rPr>
          <w:rFonts w:ascii="Times New Roman" w:hAnsi="Times New Roman"/>
          <w:b w:val="0"/>
          <w:sz w:val="24"/>
        </w:rPr>
        <w:t xml:space="preserve"> online ATCM discussion forum</w:t>
      </w:r>
      <w:r>
        <w:rPr>
          <w:rFonts w:ascii="Times New Roman" w:hAnsi="Times New Roman"/>
          <w:b w:val="0"/>
          <w:sz w:val="24"/>
        </w:rPr>
        <w:t xml:space="preserve"> to capture</w:t>
      </w:r>
      <w:r w:rsidRPr="00A02529">
        <w:rPr>
          <w:rFonts w:ascii="Times New Roman" w:hAnsi="Times New Roman"/>
          <w:b w:val="0"/>
          <w:sz w:val="24"/>
        </w:rPr>
        <w:t xml:space="preserve"> </w:t>
      </w:r>
      <w:r>
        <w:rPr>
          <w:rFonts w:ascii="Times New Roman" w:hAnsi="Times New Roman"/>
          <w:b w:val="0"/>
          <w:sz w:val="24"/>
        </w:rPr>
        <w:t xml:space="preserve">the </w:t>
      </w:r>
      <w:r w:rsidRPr="00A02529">
        <w:rPr>
          <w:rFonts w:ascii="Times New Roman" w:hAnsi="Times New Roman"/>
          <w:b w:val="0"/>
          <w:sz w:val="24"/>
        </w:rPr>
        <w:t>amount of information on educat</w:t>
      </w:r>
      <w:r>
        <w:rPr>
          <w:rFonts w:ascii="Times New Roman" w:hAnsi="Times New Roman"/>
          <w:b w:val="0"/>
          <w:sz w:val="24"/>
        </w:rPr>
        <w:t>ion and outreach activities by Parties. There is evidence in papers submitted to ATCM (</w:t>
      </w:r>
      <w:proofErr w:type="gramStart"/>
      <w:r>
        <w:rPr>
          <w:rFonts w:ascii="Times New Roman" w:hAnsi="Times New Roman"/>
          <w:b w:val="0"/>
          <w:sz w:val="24"/>
        </w:rPr>
        <w:t>i.e.</w:t>
      </w:r>
      <w:proofErr w:type="gramEnd"/>
      <w:r>
        <w:rPr>
          <w:rFonts w:ascii="Times New Roman" w:hAnsi="Times New Roman"/>
          <w:b w:val="0"/>
          <w:sz w:val="24"/>
        </w:rPr>
        <w:t xml:space="preserve"> ATCM XXXIX</w:t>
      </w:r>
      <w:r w:rsidRPr="00A02529">
        <w:rPr>
          <w:rFonts w:ascii="Times New Roman" w:hAnsi="Times New Roman"/>
          <w:b w:val="0"/>
          <w:sz w:val="24"/>
        </w:rPr>
        <w:t xml:space="preserve"> WP24</w:t>
      </w:r>
      <w:r>
        <w:rPr>
          <w:rFonts w:ascii="Times New Roman" w:hAnsi="Times New Roman"/>
          <w:b w:val="0"/>
          <w:sz w:val="24"/>
        </w:rPr>
        <w:t xml:space="preserve">, ATCM XL WP24, ATCM XLII WP33) to demonstrate the increased interest in education and outreach activities within ATCM Parties, Observers and Experts. </w:t>
      </w:r>
    </w:p>
    <w:p w14:paraId="3483107C" w14:textId="77777777" w:rsidR="009000FB" w:rsidRPr="00E31B14" w:rsidRDefault="009000FB" w:rsidP="009000FB">
      <w:pPr>
        <w:pStyle w:val="ATSTitle"/>
        <w:jc w:val="left"/>
        <w:rPr>
          <w:rFonts w:ascii="Times New Roman" w:hAnsi="Times New Roman"/>
          <w:b w:val="0"/>
          <w:sz w:val="24"/>
        </w:rPr>
      </w:pPr>
    </w:p>
    <w:p w14:paraId="231C367F" w14:textId="77777777" w:rsidR="009000FB" w:rsidRDefault="009000FB" w:rsidP="009000FB">
      <w:pPr>
        <w:pStyle w:val="ATSTitle"/>
        <w:spacing w:before="120" w:after="120"/>
        <w:contextualSpacing w:val="0"/>
        <w:jc w:val="left"/>
        <w:rPr>
          <w:rFonts w:cs="Arial"/>
          <w:i/>
          <w:sz w:val="24"/>
        </w:rPr>
      </w:pPr>
      <w:r>
        <w:rPr>
          <w:rFonts w:cs="Arial"/>
          <w:i/>
          <w:sz w:val="24"/>
        </w:rPr>
        <w:t xml:space="preserve">Evidence of growth of the number of papers on Education and Outreach </w:t>
      </w:r>
    </w:p>
    <w:p w14:paraId="0C636AA0" w14:textId="77777777" w:rsidR="009000FB" w:rsidRPr="00CE4B5D" w:rsidRDefault="009000FB" w:rsidP="009000FB">
      <w:pPr>
        <w:pStyle w:val="ATSTitle"/>
        <w:spacing w:before="120" w:after="120"/>
        <w:contextualSpacing w:val="0"/>
        <w:jc w:val="left"/>
        <w:rPr>
          <w:rFonts w:cs="Arial"/>
          <w:i/>
          <w:sz w:val="24"/>
        </w:rPr>
      </w:pPr>
      <w:r>
        <w:rPr>
          <w:rFonts w:ascii="Times New Roman" w:hAnsi="Times New Roman"/>
          <w:b w:val="0"/>
          <w:sz w:val="24"/>
        </w:rPr>
        <w:t xml:space="preserve">A </w:t>
      </w:r>
      <w:r w:rsidRPr="00E31B14">
        <w:rPr>
          <w:rFonts w:ascii="Times New Roman" w:hAnsi="Times New Roman"/>
          <w:b w:val="0"/>
          <w:sz w:val="24"/>
        </w:rPr>
        <w:t xml:space="preserve">search </w:t>
      </w:r>
      <w:r>
        <w:rPr>
          <w:rFonts w:ascii="Times New Roman" w:hAnsi="Times New Roman"/>
          <w:b w:val="0"/>
          <w:sz w:val="24"/>
        </w:rPr>
        <w:t>for the words “education” and/or “outreach” at the documents’ page of the Antarctic Treaty System (</w:t>
      </w:r>
      <w:hyperlink r:id="rId11" w:history="1">
        <w:r w:rsidRPr="00054172">
          <w:rPr>
            <w:rStyle w:val="Hipervnculo"/>
            <w:rFonts w:ascii="Times New Roman" w:hAnsi="Times New Roman"/>
            <w:b w:val="0"/>
            <w:sz w:val="24"/>
          </w:rPr>
          <w:t>http://www.ats.aq)</w:t>
        </w:r>
      </w:hyperlink>
      <w:r>
        <w:rPr>
          <w:rFonts w:ascii="Times New Roman" w:hAnsi="Times New Roman"/>
          <w:b w:val="0"/>
          <w:sz w:val="24"/>
        </w:rPr>
        <w:t xml:space="preserve"> between 1961 and 2017, yielded a total of 37 papers that were submitted to ATCMs between 1961 and 2014 (Figure 1). This number can be attributed to the fact that most delegations considered education and outreach a low priority in this period. In contrast, during the following 3 years (between 2015-2017), a further 37 papers were submitted to the ATCM on education and outreach, which clearly shows a considerable interest in this issue. The </w:t>
      </w:r>
      <w:r>
        <w:rPr>
          <w:rFonts w:ascii="Times New Roman" w:hAnsi="Times New Roman"/>
          <w:b w:val="0"/>
          <w:sz w:val="24"/>
        </w:rPr>
        <w:lastRenderedPageBreak/>
        <w:t>dramatic increase in paper numbers can be attributed to the education and outreach workshop at ATCM XXXVIII in Bulgaria and the establishment of the Intersessional Contact Group on Education and Outreach.</w:t>
      </w:r>
    </w:p>
    <w:p w14:paraId="5CFE3059" w14:textId="57B3E088" w:rsidR="009000FB" w:rsidRDefault="009000FB" w:rsidP="009000FB">
      <w:pPr>
        <w:pStyle w:val="p1"/>
        <w:rPr>
          <w:rFonts w:ascii="Times New Roman" w:hAnsi="Times New Roman"/>
          <w:b/>
          <w:sz w:val="24"/>
        </w:rPr>
      </w:pPr>
      <w:r>
        <w:rPr>
          <w:noProof/>
        </w:rPr>
        <w:drawing>
          <wp:anchor distT="0" distB="0" distL="114300" distR="114300" simplePos="0" relativeHeight="251659264" behindDoc="0" locked="0" layoutInCell="1" allowOverlap="1" wp14:anchorId="3AE3E118" wp14:editId="786BB962">
            <wp:simplePos x="0" y="0"/>
            <wp:positionH relativeFrom="column">
              <wp:posOffset>-114300</wp:posOffset>
            </wp:positionH>
            <wp:positionV relativeFrom="paragraph">
              <wp:posOffset>96520</wp:posOffset>
            </wp:positionV>
            <wp:extent cx="5930900" cy="3441700"/>
            <wp:effectExtent l="0" t="0" r="0" b="6350"/>
            <wp:wrapTight wrapText="bothSides">
              <wp:wrapPolygon edited="0">
                <wp:start x="0" y="0"/>
                <wp:lineTo x="0" y="21520"/>
                <wp:lineTo x="21507" y="21520"/>
                <wp:lineTo x="21507" y="0"/>
                <wp:lineTo x="0" y="0"/>
              </wp:wrapPolygon>
            </wp:wrapTight>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344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1B754" w14:textId="77777777" w:rsidR="009000FB" w:rsidRDefault="009000FB" w:rsidP="009000FB">
      <w:pPr>
        <w:pStyle w:val="p1"/>
        <w:rPr>
          <w:rFonts w:ascii="Times New Roman" w:hAnsi="Times New Roman"/>
          <w:b/>
          <w:sz w:val="24"/>
        </w:rPr>
      </w:pPr>
    </w:p>
    <w:p w14:paraId="5732C1B2" w14:textId="77777777" w:rsidR="009000FB" w:rsidRDefault="009000FB" w:rsidP="009000FB">
      <w:pPr>
        <w:pStyle w:val="p1"/>
        <w:rPr>
          <w:rFonts w:ascii="Times New Roman" w:hAnsi="Times New Roman"/>
          <w:b/>
          <w:sz w:val="24"/>
        </w:rPr>
      </w:pPr>
    </w:p>
    <w:p w14:paraId="513D9BA3" w14:textId="77777777" w:rsidR="009000FB" w:rsidRPr="00561F6C" w:rsidRDefault="009000FB" w:rsidP="009000FB">
      <w:pPr>
        <w:pStyle w:val="p1"/>
        <w:rPr>
          <w:rFonts w:ascii="Times New Roman" w:hAnsi="Times New Roman"/>
          <w:i/>
          <w:color w:val="000000"/>
          <w:sz w:val="22"/>
          <w:szCs w:val="22"/>
        </w:rPr>
      </w:pPr>
      <w:r w:rsidRPr="000B3903">
        <w:rPr>
          <w:rFonts w:ascii="Times New Roman" w:hAnsi="Times New Roman"/>
          <w:b/>
          <w:i/>
          <w:color w:val="000000"/>
          <w:sz w:val="22"/>
          <w:szCs w:val="22"/>
        </w:rPr>
        <w:t xml:space="preserve">Figure 1. </w:t>
      </w:r>
      <w:r w:rsidRPr="000B3903">
        <w:rPr>
          <w:rFonts w:ascii="Times New Roman" w:hAnsi="Times New Roman"/>
          <w:i/>
          <w:color w:val="000000"/>
          <w:sz w:val="22"/>
          <w:szCs w:val="22"/>
        </w:rPr>
        <w:t xml:space="preserve">Number of papers submitted to the Antarctic Treaty Consultative Meetings between 1961 and 2017 (grouped by 5-year </w:t>
      </w:r>
      <w:proofErr w:type="gramStart"/>
      <w:r w:rsidRPr="000B3903">
        <w:rPr>
          <w:rFonts w:ascii="Times New Roman" w:hAnsi="Times New Roman"/>
          <w:i/>
          <w:color w:val="000000"/>
          <w:sz w:val="22"/>
          <w:szCs w:val="22"/>
        </w:rPr>
        <w:t>clusters;</w:t>
      </w:r>
      <w:proofErr w:type="gramEnd"/>
      <w:r w:rsidRPr="000B3903">
        <w:rPr>
          <w:rFonts w:ascii="Times New Roman" w:hAnsi="Times New Roman"/>
          <w:i/>
          <w:color w:val="000000"/>
          <w:sz w:val="22"/>
          <w:szCs w:val="22"/>
        </w:rPr>
        <w:t xml:space="preserve"> e.g. 1960 = 1960–1964). Data obtained from a search on “education” and/or “outreach” at the documents page</w:t>
      </w:r>
      <w:r w:rsidRPr="00561F6C">
        <w:rPr>
          <w:rFonts w:ascii="Times New Roman" w:hAnsi="Times New Roman"/>
          <w:i/>
          <w:color w:val="000000"/>
          <w:sz w:val="22"/>
          <w:szCs w:val="22"/>
        </w:rPr>
        <w:t xml:space="preserve"> of the Antarctic Treaty System website (</w:t>
      </w:r>
      <w:hyperlink r:id="rId13" w:history="1">
        <w:r w:rsidRPr="00561F6C">
          <w:rPr>
            <w:rStyle w:val="Hipervnculo"/>
            <w:rFonts w:ascii="Times New Roman" w:hAnsi="Times New Roman"/>
            <w:i/>
            <w:sz w:val="22"/>
            <w:szCs w:val="22"/>
          </w:rPr>
          <w:t>http://www.ats.aq/)</w:t>
        </w:r>
      </w:hyperlink>
      <w:r w:rsidRPr="00561F6C">
        <w:rPr>
          <w:rFonts w:ascii="Times New Roman" w:hAnsi="Times New Roman"/>
          <w:i/>
          <w:color w:val="000000"/>
          <w:sz w:val="22"/>
          <w:szCs w:val="22"/>
        </w:rPr>
        <w:t xml:space="preserve"> (following Xavier et al. 2019).</w:t>
      </w:r>
    </w:p>
    <w:p w14:paraId="43888B1D" w14:textId="77777777" w:rsidR="009000FB" w:rsidRDefault="009000FB" w:rsidP="009000FB">
      <w:pPr>
        <w:pStyle w:val="ATSTitle"/>
        <w:spacing w:before="480" w:after="120"/>
        <w:contextualSpacing w:val="0"/>
        <w:jc w:val="left"/>
        <w:rPr>
          <w:rFonts w:cs="Arial"/>
          <w:i/>
          <w:sz w:val="24"/>
        </w:rPr>
      </w:pPr>
      <w:r w:rsidRPr="004A18CF">
        <w:rPr>
          <w:rFonts w:cs="Arial"/>
          <w:i/>
          <w:sz w:val="24"/>
        </w:rPr>
        <w:t>Conclusions</w:t>
      </w:r>
    </w:p>
    <w:p w14:paraId="684DBBA3" w14:textId="77777777" w:rsidR="009000FB" w:rsidRDefault="009000FB" w:rsidP="009000FB">
      <w:pPr>
        <w:pStyle w:val="ATSTitle"/>
        <w:jc w:val="left"/>
        <w:rPr>
          <w:rFonts w:ascii="Times New Roman" w:hAnsi="Times New Roman"/>
          <w:b w:val="0"/>
          <w:sz w:val="24"/>
        </w:rPr>
      </w:pPr>
      <w:r>
        <w:rPr>
          <w:rFonts w:ascii="Times New Roman" w:hAnsi="Times New Roman"/>
          <w:b w:val="0"/>
          <w:sz w:val="24"/>
        </w:rPr>
        <w:t>T</w:t>
      </w:r>
      <w:r w:rsidRPr="00CE4B5D">
        <w:rPr>
          <w:rFonts w:ascii="Times New Roman" w:hAnsi="Times New Roman"/>
          <w:b w:val="0"/>
          <w:sz w:val="24"/>
        </w:rPr>
        <w:t>he importance of sharing information related to education and outreach</w:t>
      </w:r>
      <w:r>
        <w:rPr>
          <w:rFonts w:ascii="Times New Roman" w:hAnsi="Times New Roman"/>
          <w:b w:val="0"/>
          <w:sz w:val="24"/>
        </w:rPr>
        <w:t xml:space="preserve"> is now recognized by most ATCM Parties</w:t>
      </w:r>
      <w:r w:rsidRPr="00CE4B5D">
        <w:rPr>
          <w:rFonts w:ascii="Times New Roman" w:hAnsi="Times New Roman"/>
          <w:b w:val="0"/>
          <w:sz w:val="24"/>
        </w:rPr>
        <w:t>. The number of papers submitted to the ATCM on education and outreach ha</w:t>
      </w:r>
      <w:r>
        <w:rPr>
          <w:rFonts w:ascii="Times New Roman" w:hAnsi="Times New Roman"/>
          <w:b w:val="0"/>
          <w:sz w:val="24"/>
        </w:rPr>
        <w:t>s greatly</w:t>
      </w:r>
      <w:r w:rsidRPr="00CE4B5D">
        <w:rPr>
          <w:rFonts w:ascii="Times New Roman" w:hAnsi="Times New Roman"/>
          <w:b w:val="0"/>
          <w:sz w:val="24"/>
        </w:rPr>
        <w:t xml:space="preserve"> increased since the 1990s, </w:t>
      </w:r>
      <w:r>
        <w:rPr>
          <w:rFonts w:ascii="Times New Roman" w:hAnsi="Times New Roman"/>
          <w:b w:val="0"/>
          <w:sz w:val="24"/>
        </w:rPr>
        <w:t xml:space="preserve">and </w:t>
      </w:r>
      <w:r w:rsidRPr="00CE4B5D">
        <w:rPr>
          <w:rFonts w:ascii="Times New Roman" w:hAnsi="Times New Roman"/>
          <w:b w:val="0"/>
          <w:sz w:val="24"/>
        </w:rPr>
        <w:t>particularly in recent years</w:t>
      </w:r>
      <w:r>
        <w:rPr>
          <w:rFonts w:ascii="Times New Roman" w:hAnsi="Times New Roman"/>
          <w:b w:val="0"/>
          <w:sz w:val="24"/>
        </w:rPr>
        <w:t>,</w:t>
      </w:r>
      <w:r w:rsidRPr="00CE4B5D">
        <w:rPr>
          <w:rFonts w:ascii="Times New Roman" w:hAnsi="Times New Roman"/>
          <w:b w:val="0"/>
          <w:sz w:val="24"/>
        </w:rPr>
        <w:t xml:space="preserve"> due to </w:t>
      </w:r>
      <w:r>
        <w:rPr>
          <w:rFonts w:ascii="Times New Roman" w:hAnsi="Times New Roman"/>
          <w:b w:val="0"/>
          <w:sz w:val="24"/>
        </w:rPr>
        <w:t xml:space="preserve">the </w:t>
      </w:r>
      <w:r w:rsidRPr="00CE4B5D">
        <w:rPr>
          <w:rFonts w:ascii="Times New Roman" w:hAnsi="Times New Roman"/>
          <w:b w:val="0"/>
          <w:sz w:val="24"/>
        </w:rPr>
        <w:t xml:space="preserve">increased priority </w:t>
      </w:r>
      <w:r>
        <w:rPr>
          <w:rFonts w:ascii="Times New Roman" w:hAnsi="Times New Roman"/>
          <w:b w:val="0"/>
          <w:sz w:val="24"/>
        </w:rPr>
        <w:t xml:space="preserve">given to </w:t>
      </w:r>
      <w:r w:rsidRPr="00CE4B5D">
        <w:rPr>
          <w:rFonts w:ascii="Times New Roman" w:hAnsi="Times New Roman"/>
          <w:b w:val="0"/>
          <w:sz w:val="24"/>
        </w:rPr>
        <w:t xml:space="preserve">these issues by Parties, following </w:t>
      </w:r>
      <w:r>
        <w:rPr>
          <w:rFonts w:ascii="Times New Roman" w:hAnsi="Times New Roman"/>
          <w:b w:val="0"/>
          <w:sz w:val="24"/>
        </w:rPr>
        <w:t>(</w:t>
      </w:r>
      <w:proofErr w:type="spellStart"/>
      <w:r>
        <w:rPr>
          <w:rFonts w:ascii="Times New Roman" w:hAnsi="Times New Roman"/>
          <w:b w:val="0"/>
          <w:sz w:val="24"/>
        </w:rPr>
        <w:t>i</w:t>
      </w:r>
      <w:proofErr w:type="spellEnd"/>
      <w:r>
        <w:rPr>
          <w:rFonts w:ascii="Times New Roman" w:hAnsi="Times New Roman"/>
          <w:b w:val="0"/>
          <w:sz w:val="24"/>
        </w:rPr>
        <w:t xml:space="preserve">) </w:t>
      </w:r>
      <w:r w:rsidRPr="00CE4B5D">
        <w:rPr>
          <w:rFonts w:ascii="Times New Roman" w:hAnsi="Times New Roman"/>
          <w:b w:val="0"/>
          <w:sz w:val="24"/>
        </w:rPr>
        <w:t>Article 6.1a of the Protocol on Environmental Protection</w:t>
      </w:r>
      <w:r>
        <w:rPr>
          <w:rFonts w:ascii="Times New Roman" w:hAnsi="Times New Roman"/>
          <w:b w:val="0"/>
          <w:sz w:val="24"/>
        </w:rPr>
        <w:t xml:space="preserve"> which</w:t>
      </w:r>
      <w:r w:rsidRPr="00CE4B5D">
        <w:rPr>
          <w:rFonts w:ascii="Times New Roman" w:hAnsi="Times New Roman"/>
          <w:b w:val="0"/>
          <w:sz w:val="24"/>
        </w:rPr>
        <w:t xml:space="preserve"> to promote</w:t>
      </w:r>
      <w:r>
        <w:rPr>
          <w:rFonts w:ascii="Times New Roman" w:hAnsi="Times New Roman"/>
          <w:b w:val="0"/>
          <w:sz w:val="24"/>
        </w:rPr>
        <w:t>d</w:t>
      </w:r>
      <w:r w:rsidRPr="00CE4B5D">
        <w:rPr>
          <w:rFonts w:ascii="Times New Roman" w:hAnsi="Times New Roman"/>
          <w:b w:val="0"/>
          <w:sz w:val="24"/>
        </w:rPr>
        <w:t xml:space="preserve"> the educational value of Antarctica and Antarctic research, </w:t>
      </w:r>
      <w:r>
        <w:rPr>
          <w:rFonts w:ascii="Times New Roman" w:hAnsi="Times New Roman"/>
          <w:b w:val="0"/>
          <w:sz w:val="24"/>
        </w:rPr>
        <w:t xml:space="preserve">(ii) </w:t>
      </w:r>
      <w:r w:rsidRPr="00CE4B5D">
        <w:rPr>
          <w:rFonts w:ascii="Times New Roman" w:hAnsi="Times New Roman"/>
          <w:b w:val="0"/>
          <w:sz w:val="24"/>
        </w:rPr>
        <w:t xml:space="preserve">by the workshop on education and outreach at ATCM XXXVIII and </w:t>
      </w:r>
      <w:r>
        <w:rPr>
          <w:rFonts w:ascii="Times New Roman" w:hAnsi="Times New Roman"/>
          <w:b w:val="0"/>
          <w:sz w:val="24"/>
        </w:rPr>
        <w:t xml:space="preserve">(iii) </w:t>
      </w:r>
      <w:r w:rsidRPr="00CE4B5D">
        <w:rPr>
          <w:rFonts w:ascii="Times New Roman" w:hAnsi="Times New Roman"/>
          <w:b w:val="0"/>
          <w:sz w:val="24"/>
        </w:rPr>
        <w:t>by the creation of the ATCM Intersessional Contact Group on education and Outreach (and ATCM forum). We continue to encourage Parties, Observers and Experts to organize, disseminate and collaborat</w:t>
      </w:r>
      <w:r>
        <w:rPr>
          <w:rFonts w:ascii="Times New Roman" w:hAnsi="Times New Roman"/>
          <w:b w:val="0"/>
          <w:sz w:val="24"/>
        </w:rPr>
        <w:t>e</w:t>
      </w:r>
      <w:r w:rsidRPr="00CE4B5D">
        <w:rPr>
          <w:rFonts w:ascii="Times New Roman" w:hAnsi="Times New Roman"/>
          <w:b w:val="0"/>
          <w:sz w:val="24"/>
        </w:rPr>
        <w:t xml:space="preserve"> nationally and internationally in education and outreach initiatives, following the Antarctic spirit of cooperation.</w:t>
      </w:r>
      <w:r>
        <w:rPr>
          <w:rFonts w:ascii="Times New Roman" w:hAnsi="Times New Roman"/>
          <w:b w:val="0"/>
          <w:sz w:val="24"/>
        </w:rPr>
        <w:t xml:space="preserve"> Examples are the celebrations of the 200</w:t>
      </w:r>
      <w:r w:rsidRPr="00F03886">
        <w:rPr>
          <w:rFonts w:ascii="Times New Roman" w:hAnsi="Times New Roman"/>
          <w:b w:val="0"/>
          <w:sz w:val="24"/>
          <w:vertAlign w:val="superscript"/>
        </w:rPr>
        <w:t>th</w:t>
      </w:r>
      <w:r>
        <w:rPr>
          <w:rFonts w:ascii="Times New Roman" w:hAnsi="Times New Roman"/>
          <w:b w:val="0"/>
          <w:sz w:val="24"/>
        </w:rPr>
        <w:t xml:space="preserve"> anniversary of sighting of Antarctica and the 500</w:t>
      </w:r>
      <w:r w:rsidRPr="00F03886">
        <w:rPr>
          <w:rFonts w:ascii="Times New Roman" w:hAnsi="Times New Roman"/>
          <w:b w:val="0"/>
          <w:sz w:val="24"/>
          <w:vertAlign w:val="superscript"/>
        </w:rPr>
        <w:t>th</w:t>
      </w:r>
      <w:r>
        <w:rPr>
          <w:rFonts w:ascii="Times New Roman" w:hAnsi="Times New Roman"/>
          <w:b w:val="0"/>
          <w:sz w:val="24"/>
        </w:rPr>
        <w:t xml:space="preserve"> first circumnavigation of Ferdinand Magellan.</w:t>
      </w:r>
    </w:p>
    <w:p w14:paraId="09244FD5" w14:textId="77777777" w:rsidR="009000FB" w:rsidRDefault="009000FB" w:rsidP="009000FB">
      <w:pPr>
        <w:pStyle w:val="ATSTitle"/>
        <w:jc w:val="left"/>
        <w:rPr>
          <w:rFonts w:ascii="Times New Roman" w:hAnsi="Times New Roman"/>
          <w:b w:val="0"/>
          <w:sz w:val="24"/>
        </w:rPr>
      </w:pPr>
    </w:p>
    <w:p w14:paraId="51175C45" w14:textId="77777777" w:rsidR="009000FB" w:rsidRPr="00CE4B5D" w:rsidRDefault="009000FB" w:rsidP="009000FB">
      <w:pPr>
        <w:pStyle w:val="ATSTitle"/>
        <w:jc w:val="left"/>
        <w:rPr>
          <w:rFonts w:ascii="Times New Roman" w:hAnsi="Times New Roman"/>
          <w:b w:val="0"/>
          <w:sz w:val="24"/>
        </w:rPr>
      </w:pPr>
      <w:r>
        <w:rPr>
          <w:rFonts w:ascii="Times New Roman" w:hAnsi="Times New Roman"/>
          <w:b w:val="0"/>
          <w:sz w:val="24"/>
        </w:rPr>
        <w:t>An acknowledgement is owed to Professor David Walton (1945-2019) for contributing to this legacy.</w:t>
      </w:r>
    </w:p>
    <w:p w14:paraId="083B9E42" w14:textId="77777777" w:rsidR="009000FB" w:rsidRPr="00A02529" w:rsidRDefault="009000FB" w:rsidP="009000FB">
      <w:pPr>
        <w:pStyle w:val="ATSTitle"/>
        <w:jc w:val="left"/>
        <w:rPr>
          <w:rFonts w:ascii="Times New Roman" w:hAnsi="Times New Roman"/>
          <w:sz w:val="24"/>
        </w:rPr>
      </w:pPr>
    </w:p>
    <w:p w14:paraId="4C21AB65" w14:textId="77777777" w:rsidR="009000FB" w:rsidRDefault="009000FB" w:rsidP="009000FB">
      <w:pPr>
        <w:pStyle w:val="ATSTitle"/>
        <w:jc w:val="left"/>
        <w:rPr>
          <w:rFonts w:cs="Arial"/>
          <w:i/>
          <w:sz w:val="24"/>
        </w:rPr>
      </w:pPr>
    </w:p>
    <w:p w14:paraId="52032658" w14:textId="77777777" w:rsidR="009000FB" w:rsidRDefault="009000FB" w:rsidP="009000FB">
      <w:pPr>
        <w:pStyle w:val="ATSTitle"/>
        <w:jc w:val="left"/>
        <w:rPr>
          <w:rFonts w:cs="Arial"/>
          <w:i/>
          <w:sz w:val="24"/>
        </w:rPr>
      </w:pPr>
    </w:p>
    <w:p w14:paraId="658EAE90" w14:textId="77777777" w:rsidR="009000FB" w:rsidRDefault="009000FB" w:rsidP="009000FB">
      <w:pPr>
        <w:pStyle w:val="ATSTitle"/>
        <w:jc w:val="left"/>
        <w:rPr>
          <w:rFonts w:cs="Arial"/>
          <w:i/>
          <w:sz w:val="24"/>
        </w:rPr>
      </w:pPr>
    </w:p>
    <w:p w14:paraId="7232FF9F" w14:textId="5DE2EC43" w:rsidR="009000FB" w:rsidRPr="00F03886" w:rsidRDefault="009000FB" w:rsidP="009000FB">
      <w:pPr>
        <w:pStyle w:val="ATSTitle"/>
        <w:jc w:val="left"/>
        <w:rPr>
          <w:rFonts w:cs="Arial"/>
          <w:i/>
          <w:sz w:val="24"/>
        </w:rPr>
      </w:pPr>
      <w:r w:rsidRPr="00F03886">
        <w:rPr>
          <w:rFonts w:cs="Arial"/>
          <w:i/>
          <w:sz w:val="24"/>
        </w:rPr>
        <w:t>Reference</w:t>
      </w:r>
    </w:p>
    <w:p w14:paraId="403E73EF" w14:textId="29857910" w:rsidR="009000FB" w:rsidRDefault="009000FB" w:rsidP="009000FB">
      <w:pPr>
        <w:pStyle w:val="ATSNormal"/>
      </w:pPr>
      <w:r w:rsidRPr="00F03886">
        <w:t xml:space="preserve">Xavier, J.C., </w:t>
      </w:r>
      <w:proofErr w:type="spellStart"/>
      <w:r w:rsidRPr="00F03886">
        <w:t>Mateev</w:t>
      </w:r>
      <w:proofErr w:type="spellEnd"/>
      <w:r w:rsidRPr="00F03886">
        <w:t xml:space="preserve">, D., Capper, L., </w:t>
      </w:r>
      <w:proofErr w:type="spellStart"/>
      <w:r w:rsidRPr="00F03886">
        <w:t>Wilmotte</w:t>
      </w:r>
      <w:proofErr w:type="spellEnd"/>
      <w:r w:rsidRPr="00F03886">
        <w:t>, A., and Walton, D.W.H. (2019). Education and Outreach by the Antarctic Treaty Parties, Observers and Experts under the framework of the Antarctic Treaty Consultative meetings. Polar Record</w:t>
      </w:r>
      <w:r w:rsidRPr="00F03886">
        <w:rPr>
          <w:i/>
          <w:iCs/>
        </w:rPr>
        <w:t xml:space="preserve"> </w:t>
      </w:r>
      <w:r w:rsidRPr="00F03886">
        <w:t xml:space="preserve">55: 241-244. </w:t>
      </w:r>
      <w:hyperlink r:id="rId14" w:history="1">
        <w:proofErr w:type="spellStart"/>
        <w:proofErr w:type="gramStart"/>
        <w:r w:rsidRPr="00F03886">
          <w:rPr>
            <w:rStyle w:val="Hipervnculo"/>
            <w:b/>
            <w:color w:val="000000"/>
          </w:rPr>
          <w:t>doi:https</w:t>
        </w:r>
        <w:proofErr w:type="spellEnd"/>
        <w:r w:rsidRPr="00F03886">
          <w:rPr>
            <w:rStyle w:val="Hipervnculo"/>
            <w:b/>
            <w:color w:val="000000"/>
          </w:rPr>
          <w:t>://doi.org/10.1017/S003224741800044X</w:t>
        </w:r>
        <w:proofErr w:type="gramEnd"/>
      </w:hyperlink>
    </w:p>
    <w:sectPr w:rsidR="009000FB" w:rsidSect="00C26F2D">
      <w:headerReference w:type="default" r:id="rId15"/>
      <w:footerReference w:type="default" r:id="rId16"/>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FC132" w14:textId="77777777" w:rsidR="00000000" w:rsidRDefault="009000FB">
      <w:r>
        <w:separator/>
      </w:r>
    </w:p>
  </w:endnote>
  <w:endnote w:type="continuationSeparator" w:id="0">
    <w:p w14:paraId="2CF5F233" w14:textId="77777777" w:rsidR="00000000" w:rsidRDefault="0090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E5DF" w14:textId="77777777" w:rsidR="00FA0B9F" w:rsidRDefault="009000FB" w:rsidP="00CF5C82">
    <w:pPr>
      <w:framePr w:wrap="around" w:vAnchor="text" w:hAnchor="margin" w:xAlign="right" w:y="1"/>
    </w:pPr>
    <w:r>
      <w:fldChar w:fldCharType="begin"/>
    </w:r>
    <w:r>
      <w:instrText xml:space="preserve">PAGE  </w:instrText>
    </w:r>
    <w:r>
      <w:fldChar w:fldCharType="separate"/>
    </w:r>
    <w:r>
      <w:fldChar w:fldCharType="end"/>
    </w:r>
  </w:p>
  <w:p w14:paraId="42FB6E6F" w14:textId="77777777" w:rsidR="00FA0B9F" w:rsidRDefault="009000F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13DD" w14:textId="77777777" w:rsidR="00FA0B9F" w:rsidRDefault="009000F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D53D4C9" w14:textId="0A2BF8C0" w:rsidR="00FA0B9F" w:rsidRDefault="009000FB" w:rsidP="009000F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7709" w14:textId="77777777" w:rsidR="00E311C9" w:rsidRDefault="009000F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5B19260" w14:textId="77777777" w:rsidR="00E311C9" w:rsidRDefault="009000F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EF0E" w14:textId="77777777" w:rsidR="00000000" w:rsidRDefault="009000FB">
      <w:r>
        <w:separator/>
      </w:r>
    </w:p>
  </w:footnote>
  <w:footnote w:type="continuationSeparator" w:id="0">
    <w:p w14:paraId="1A7FBB35" w14:textId="77777777" w:rsidR="00000000" w:rsidRDefault="00900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57D0E" w14:paraId="63661E26" w14:textId="77777777" w:rsidTr="00490760">
      <w:trPr>
        <w:trHeight w:val="344"/>
        <w:jc w:val="center"/>
      </w:trPr>
      <w:tc>
        <w:tcPr>
          <w:tcW w:w="5495" w:type="dxa"/>
        </w:tcPr>
        <w:p w14:paraId="57E03E06" w14:textId="77777777" w:rsidR="00DB7C09" w:rsidRDefault="009000FB" w:rsidP="00F968D4"/>
      </w:tc>
      <w:tc>
        <w:tcPr>
          <w:tcW w:w="4253" w:type="dxa"/>
          <w:gridSpan w:val="2"/>
        </w:tcPr>
        <w:p w14:paraId="50B854DB" w14:textId="77777777" w:rsidR="00DB7C09" w:rsidRPr="00BD47E4" w:rsidRDefault="009000FB" w:rsidP="002A07BC">
          <w:pPr>
            <w:jc w:val="right"/>
            <w:rPr>
              <w:b/>
              <w:sz w:val="32"/>
              <w:szCs w:val="32"/>
            </w:rPr>
          </w:pPr>
          <w:bookmarkStart w:id="2" w:name="type"/>
          <w:r w:rsidRPr="00BD47E4">
            <w:rPr>
              <w:b/>
              <w:sz w:val="32"/>
              <w:szCs w:val="32"/>
            </w:rPr>
            <w:t>IP</w:t>
          </w:r>
          <w:bookmarkEnd w:id="2"/>
        </w:p>
      </w:tc>
      <w:tc>
        <w:tcPr>
          <w:tcW w:w="1524" w:type="dxa"/>
          <w:gridSpan w:val="2"/>
        </w:tcPr>
        <w:p w14:paraId="4A9C25E2" w14:textId="77777777" w:rsidR="00DB7C09" w:rsidRPr="00BD47E4" w:rsidRDefault="009000FB" w:rsidP="00DB7C09">
          <w:pPr>
            <w:rPr>
              <w:b/>
              <w:sz w:val="32"/>
              <w:szCs w:val="32"/>
            </w:rPr>
          </w:pPr>
          <w:bookmarkStart w:id="3" w:name="number"/>
          <w:r w:rsidRPr="00BD47E4">
            <w:rPr>
              <w:b/>
              <w:sz w:val="32"/>
              <w:szCs w:val="32"/>
            </w:rPr>
            <w:t>32</w:t>
          </w:r>
          <w:bookmarkEnd w:id="3"/>
        </w:p>
      </w:tc>
    </w:tr>
    <w:tr w:rsidR="00E57D0E" w14:paraId="46DE331C" w14:textId="77777777" w:rsidTr="00490760">
      <w:trPr>
        <w:trHeight w:val="2165"/>
        <w:jc w:val="center"/>
      </w:trPr>
      <w:tc>
        <w:tcPr>
          <w:tcW w:w="5495" w:type="dxa"/>
        </w:tcPr>
        <w:p w14:paraId="5F9F89D8" w14:textId="77777777" w:rsidR="00490760" w:rsidRPr="00EE4D48" w:rsidRDefault="009000FB" w:rsidP="002A07BC">
          <w:pPr>
            <w:rPr>
              <w:b/>
              <w:sz w:val="28"/>
              <w:szCs w:val="28"/>
            </w:rPr>
          </w:pPr>
          <w:r>
            <w:rPr>
              <w:b/>
              <w:noProof/>
              <w:sz w:val="28"/>
              <w:szCs w:val="28"/>
            </w:rPr>
            <w:drawing>
              <wp:inline distT="0" distB="0" distL="0" distR="0" wp14:anchorId="6C4C4E2D" wp14:editId="465FF65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792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6780ED8" w14:textId="77777777" w:rsidR="00490760" w:rsidRPr="00FE5146" w:rsidRDefault="009000FB" w:rsidP="00490760">
          <w:pPr>
            <w:jc w:val="right"/>
            <w:rPr>
              <w:sz w:val="144"/>
              <w:szCs w:val="144"/>
            </w:rPr>
          </w:pPr>
          <w:r w:rsidRPr="00FE5146">
            <w:rPr>
              <w:sz w:val="144"/>
              <w:szCs w:val="144"/>
            </w:rPr>
            <w:t>ENG</w:t>
          </w:r>
        </w:p>
      </w:tc>
    </w:tr>
    <w:tr w:rsidR="00E57D0E" w14:paraId="60A2A33F" w14:textId="77777777" w:rsidTr="00BD47E4">
      <w:trPr>
        <w:trHeight w:val="409"/>
        <w:jc w:val="center"/>
      </w:trPr>
      <w:tc>
        <w:tcPr>
          <w:tcW w:w="9039" w:type="dxa"/>
          <w:gridSpan w:val="2"/>
        </w:tcPr>
        <w:p w14:paraId="555B8D51" w14:textId="77777777" w:rsidR="00BD47E4" w:rsidRDefault="009000FB" w:rsidP="002C30DA">
          <w:pPr>
            <w:jc w:val="right"/>
          </w:pPr>
          <w:r>
            <w:t>Agenda Item:</w:t>
          </w:r>
        </w:p>
      </w:tc>
      <w:tc>
        <w:tcPr>
          <w:tcW w:w="1843" w:type="dxa"/>
          <w:gridSpan w:val="2"/>
        </w:tcPr>
        <w:p w14:paraId="637E1BC4" w14:textId="77777777" w:rsidR="009000FB" w:rsidRDefault="009000FB" w:rsidP="002C30DA">
          <w:pPr>
            <w:jc w:val="right"/>
          </w:pPr>
          <w:bookmarkStart w:id="4" w:name="agenda"/>
          <w:r>
            <w:t xml:space="preserve">ATCM 11, </w:t>
          </w:r>
        </w:p>
        <w:p w14:paraId="34493597" w14:textId="5F41343E" w:rsidR="00BD47E4" w:rsidRDefault="009000FB" w:rsidP="002C30DA">
          <w:pPr>
            <w:jc w:val="right"/>
          </w:pPr>
          <w:r>
            <w:t>CEP 13</w:t>
          </w:r>
          <w:bookmarkEnd w:id="4"/>
        </w:p>
      </w:tc>
      <w:tc>
        <w:tcPr>
          <w:tcW w:w="390" w:type="dxa"/>
        </w:tcPr>
        <w:p w14:paraId="7799C189" w14:textId="77777777" w:rsidR="00BD47E4" w:rsidRDefault="009000FB" w:rsidP="00387A65">
          <w:pPr>
            <w:jc w:val="right"/>
          </w:pPr>
        </w:p>
      </w:tc>
    </w:tr>
    <w:tr w:rsidR="00E57D0E" w14:paraId="50A9D37F" w14:textId="77777777" w:rsidTr="00BD47E4">
      <w:trPr>
        <w:trHeight w:val="397"/>
        <w:jc w:val="center"/>
      </w:trPr>
      <w:tc>
        <w:tcPr>
          <w:tcW w:w="9039" w:type="dxa"/>
          <w:gridSpan w:val="2"/>
        </w:tcPr>
        <w:p w14:paraId="5A5D991A" w14:textId="77777777" w:rsidR="00BD47E4" w:rsidRDefault="009000FB" w:rsidP="002C30DA">
          <w:pPr>
            <w:jc w:val="right"/>
          </w:pPr>
          <w:r>
            <w:t>Presented by:</w:t>
          </w:r>
        </w:p>
      </w:tc>
      <w:tc>
        <w:tcPr>
          <w:tcW w:w="1843" w:type="dxa"/>
          <w:gridSpan w:val="2"/>
        </w:tcPr>
        <w:p w14:paraId="53C765E4" w14:textId="77777777" w:rsidR="00BD47E4" w:rsidRDefault="009000FB" w:rsidP="002C30DA">
          <w:pPr>
            <w:jc w:val="right"/>
          </w:pPr>
          <w:bookmarkStart w:id="5" w:name="party"/>
          <w:r>
            <w:t>Portugal, Belgium, Bulgaria, United Kingdom</w:t>
          </w:r>
          <w:bookmarkEnd w:id="5"/>
        </w:p>
      </w:tc>
      <w:tc>
        <w:tcPr>
          <w:tcW w:w="390" w:type="dxa"/>
        </w:tcPr>
        <w:p w14:paraId="239CC7CD" w14:textId="77777777" w:rsidR="00BD47E4" w:rsidRDefault="009000FB" w:rsidP="00387A65">
          <w:pPr>
            <w:jc w:val="right"/>
          </w:pPr>
        </w:p>
      </w:tc>
    </w:tr>
    <w:tr w:rsidR="00E57D0E" w14:paraId="40BEF7AC" w14:textId="77777777" w:rsidTr="00BD47E4">
      <w:trPr>
        <w:trHeight w:val="409"/>
        <w:jc w:val="center"/>
      </w:trPr>
      <w:tc>
        <w:tcPr>
          <w:tcW w:w="9039" w:type="dxa"/>
          <w:gridSpan w:val="2"/>
        </w:tcPr>
        <w:p w14:paraId="1E2388AE" w14:textId="77777777" w:rsidR="00BD47E4" w:rsidRDefault="009000FB" w:rsidP="002C30DA">
          <w:pPr>
            <w:jc w:val="right"/>
          </w:pPr>
          <w:r>
            <w:t>Original:</w:t>
          </w:r>
        </w:p>
      </w:tc>
      <w:tc>
        <w:tcPr>
          <w:tcW w:w="1843" w:type="dxa"/>
          <w:gridSpan w:val="2"/>
        </w:tcPr>
        <w:p w14:paraId="543F3102" w14:textId="77777777" w:rsidR="00BD47E4" w:rsidRDefault="009000FB" w:rsidP="002C30DA">
          <w:pPr>
            <w:jc w:val="right"/>
          </w:pPr>
          <w:bookmarkStart w:id="6" w:name="language"/>
          <w:r>
            <w:t>English</w:t>
          </w:r>
          <w:bookmarkEnd w:id="6"/>
        </w:p>
      </w:tc>
      <w:tc>
        <w:tcPr>
          <w:tcW w:w="390" w:type="dxa"/>
        </w:tcPr>
        <w:p w14:paraId="1748039A" w14:textId="77777777" w:rsidR="00BD47E4" w:rsidRDefault="009000FB" w:rsidP="00387A65">
          <w:pPr>
            <w:jc w:val="right"/>
          </w:pPr>
        </w:p>
      </w:tc>
    </w:tr>
    <w:tr w:rsidR="00E57D0E" w14:paraId="24E69BF7" w14:textId="77777777" w:rsidTr="00BD47E4">
      <w:trPr>
        <w:trHeight w:val="409"/>
        <w:jc w:val="center"/>
      </w:trPr>
      <w:tc>
        <w:tcPr>
          <w:tcW w:w="9039" w:type="dxa"/>
          <w:gridSpan w:val="2"/>
        </w:tcPr>
        <w:p w14:paraId="79305B52" w14:textId="77777777" w:rsidR="0097629D" w:rsidRDefault="009000FB" w:rsidP="002C30DA">
          <w:pPr>
            <w:jc w:val="right"/>
          </w:pPr>
          <w:r>
            <w:t>Submitted:</w:t>
          </w:r>
        </w:p>
      </w:tc>
      <w:tc>
        <w:tcPr>
          <w:tcW w:w="1843" w:type="dxa"/>
          <w:gridSpan w:val="2"/>
        </w:tcPr>
        <w:p w14:paraId="4F2C50D3" w14:textId="77777777" w:rsidR="0097629D" w:rsidRDefault="009000FB" w:rsidP="0097629D">
          <w:pPr>
            <w:jc w:val="right"/>
          </w:pPr>
          <w:bookmarkStart w:id="7" w:name="date_submission"/>
          <w:r>
            <w:t>5/5/2021</w:t>
          </w:r>
          <w:bookmarkEnd w:id="7"/>
        </w:p>
      </w:tc>
      <w:tc>
        <w:tcPr>
          <w:tcW w:w="390" w:type="dxa"/>
        </w:tcPr>
        <w:p w14:paraId="72258830" w14:textId="77777777" w:rsidR="0097629D" w:rsidRDefault="009000FB" w:rsidP="00387A65">
          <w:pPr>
            <w:jc w:val="right"/>
          </w:pPr>
        </w:p>
      </w:tc>
    </w:tr>
  </w:tbl>
  <w:p w14:paraId="3DFA1664" w14:textId="77777777" w:rsidR="00AE5DD0" w:rsidRDefault="009000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57D0E" w14:paraId="115AE631" w14:textId="77777777">
      <w:trPr>
        <w:trHeight w:val="354"/>
        <w:jc w:val="center"/>
      </w:trPr>
      <w:tc>
        <w:tcPr>
          <w:tcW w:w="9694" w:type="dxa"/>
        </w:tcPr>
        <w:p w14:paraId="2D4B10D7" w14:textId="6872E1ED" w:rsidR="00AE5DD0" w:rsidRPr="00BD47E4" w:rsidRDefault="009000FB" w:rsidP="00C26F2D">
          <w:pPr>
            <w:jc w:val="right"/>
            <w:rPr>
              <w:b/>
              <w:sz w:val="32"/>
              <w:szCs w:val="32"/>
            </w:rPr>
          </w:pPr>
          <w:r>
            <w:rPr>
              <w:b/>
              <w:sz w:val="32"/>
              <w:szCs w:val="32"/>
            </w:rPr>
            <w:t>IP</w:t>
          </w:r>
        </w:p>
      </w:tc>
      <w:tc>
        <w:tcPr>
          <w:tcW w:w="1332" w:type="dxa"/>
        </w:tcPr>
        <w:p w14:paraId="33D1C40D" w14:textId="25CEFCDB" w:rsidR="00AE5DD0" w:rsidRPr="00BD47E4" w:rsidRDefault="009000FB" w:rsidP="00080F4C">
          <w:pPr>
            <w:rPr>
              <w:b/>
              <w:sz w:val="32"/>
              <w:szCs w:val="32"/>
            </w:rPr>
          </w:pPr>
          <w:r>
            <w:rPr>
              <w:b/>
              <w:sz w:val="32"/>
              <w:szCs w:val="32"/>
            </w:rPr>
            <w:t>32</w:t>
          </w:r>
        </w:p>
      </w:tc>
    </w:tr>
  </w:tbl>
  <w:p w14:paraId="673D9381" w14:textId="77777777" w:rsidR="00AE5DD0" w:rsidRDefault="009000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63EB8BA">
      <w:start w:val="1"/>
      <w:numFmt w:val="bullet"/>
      <w:pStyle w:val="ATSBullet1"/>
      <w:lvlText w:val=""/>
      <w:lvlJc w:val="left"/>
      <w:pPr>
        <w:tabs>
          <w:tab w:val="num" w:pos="360"/>
        </w:tabs>
        <w:ind w:left="360" w:hanging="360"/>
      </w:pPr>
      <w:rPr>
        <w:rFonts w:ascii="Symbol" w:hAnsi="Symbol" w:hint="default"/>
        <w:color w:val="auto"/>
      </w:rPr>
    </w:lvl>
    <w:lvl w:ilvl="1" w:tplc="44ACF108" w:tentative="1">
      <w:start w:val="1"/>
      <w:numFmt w:val="bullet"/>
      <w:lvlText w:val="o"/>
      <w:lvlJc w:val="left"/>
      <w:pPr>
        <w:tabs>
          <w:tab w:val="num" w:pos="1440"/>
        </w:tabs>
        <w:ind w:left="1440" w:hanging="360"/>
      </w:pPr>
      <w:rPr>
        <w:rFonts w:ascii="Courier New" w:hAnsi="Courier New" w:cs="Courier New" w:hint="default"/>
      </w:rPr>
    </w:lvl>
    <w:lvl w:ilvl="2" w:tplc="5DE6A01C" w:tentative="1">
      <w:start w:val="1"/>
      <w:numFmt w:val="bullet"/>
      <w:lvlText w:val=""/>
      <w:lvlJc w:val="left"/>
      <w:pPr>
        <w:tabs>
          <w:tab w:val="num" w:pos="2160"/>
        </w:tabs>
        <w:ind w:left="2160" w:hanging="360"/>
      </w:pPr>
      <w:rPr>
        <w:rFonts w:ascii="Wingdings" w:hAnsi="Wingdings" w:hint="default"/>
      </w:rPr>
    </w:lvl>
    <w:lvl w:ilvl="3" w:tplc="D688B330" w:tentative="1">
      <w:start w:val="1"/>
      <w:numFmt w:val="bullet"/>
      <w:lvlText w:val=""/>
      <w:lvlJc w:val="left"/>
      <w:pPr>
        <w:tabs>
          <w:tab w:val="num" w:pos="2880"/>
        </w:tabs>
        <w:ind w:left="2880" w:hanging="360"/>
      </w:pPr>
      <w:rPr>
        <w:rFonts w:ascii="Symbol" w:hAnsi="Symbol" w:hint="default"/>
      </w:rPr>
    </w:lvl>
    <w:lvl w:ilvl="4" w:tplc="D4FA0910" w:tentative="1">
      <w:start w:val="1"/>
      <w:numFmt w:val="bullet"/>
      <w:lvlText w:val="o"/>
      <w:lvlJc w:val="left"/>
      <w:pPr>
        <w:tabs>
          <w:tab w:val="num" w:pos="3600"/>
        </w:tabs>
        <w:ind w:left="3600" w:hanging="360"/>
      </w:pPr>
      <w:rPr>
        <w:rFonts w:ascii="Courier New" w:hAnsi="Courier New" w:cs="Courier New" w:hint="default"/>
      </w:rPr>
    </w:lvl>
    <w:lvl w:ilvl="5" w:tplc="EAD8E9D2" w:tentative="1">
      <w:start w:val="1"/>
      <w:numFmt w:val="bullet"/>
      <w:lvlText w:val=""/>
      <w:lvlJc w:val="left"/>
      <w:pPr>
        <w:tabs>
          <w:tab w:val="num" w:pos="4320"/>
        </w:tabs>
        <w:ind w:left="4320" w:hanging="360"/>
      </w:pPr>
      <w:rPr>
        <w:rFonts w:ascii="Wingdings" w:hAnsi="Wingdings" w:hint="default"/>
      </w:rPr>
    </w:lvl>
    <w:lvl w:ilvl="6" w:tplc="C6761B5E" w:tentative="1">
      <w:start w:val="1"/>
      <w:numFmt w:val="bullet"/>
      <w:lvlText w:val=""/>
      <w:lvlJc w:val="left"/>
      <w:pPr>
        <w:tabs>
          <w:tab w:val="num" w:pos="5040"/>
        </w:tabs>
        <w:ind w:left="5040" w:hanging="360"/>
      </w:pPr>
      <w:rPr>
        <w:rFonts w:ascii="Symbol" w:hAnsi="Symbol" w:hint="default"/>
      </w:rPr>
    </w:lvl>
    <w:lvl w:ilvl="7" w:tplc="5894A390" w:tentative="1">
      <w:start w:val="1"/>
      <w:numFmt w:val="bullet"/>
      <w:lvlText w:val="o"/>
      <w:lvlJc w:val="left"/>
      <w:pPr>
        <w:tabs>
          <w:tab w:val="num" w:pos="5760"/>
        </w:tabs>
        <w:ind w:left="5760" w:hanging="360"/>
      </w:pPr>
      <w:rPr>
        <w:rFonts w:ascii="Courier New" w:hAnsi="Courier New" w:cs="Courier New" w:hint="default"/>
      </w:rPr>
    </w:lvl>
    <w:lvl w:ilvl="8" w:tplc="52DE70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5009A56">
      <w:start w:val="1"/>
      <w:numFmt w:val="decimal"/>
      <w:lvlText w:val="%1)"/>
      <w:lvlJc w:val="left"/>
      <w:pPr>
        <w:tabs>
          <w:tab w:val="num" w:pos="340"/>
        </w:tabs>
        <w:ind w:left="340" w:hanging="340"/>
      </w:pPr>
      <w:rPr>
        <w:rFonts w:hint="default"/>
      </w:rPr>
    </w:lvl>
    <w:lvl w:ilvl="1" w:tplc="7A6E6D8C" w:tentative="1">
      <w:start w:val="1"/>
      <w:numFmt w:val="lowerLetter"/>
      <w:lvlText w:val="%2."/>
      <w:lvlJc w:val="left"/>
      <w:pPr>
        <w:tabs>
          <w:tab w:val="num" w:pos="1440"/>
        </w:tabs>
        <w:ind w:left="1440" w:hanging="360"/>
      </w:pPr>
    </w:lvl>
    <w:lvl w:ilvl="2" w:tplc="EB84E0F0" w:tentative="1">
      <w:start w:val="1"/>
      <w:numFmt w:val="lowerRoman"/>
      <w:lvlText w:val="%3."/>
      <w:lvlJc w:val="right"/>
      <w:pPr>
        <w:tabs>
          <w:tab w:val="num" w:pos="2160"/>
        </w:tabs>
        <w:ind w:left="2160" w:hanging="180"/>
      </w:pPr>
    </w:lvl>
    <w:lvl w:ilvl="3" w:tplc="F67813A6" w:tentative="1">
      <w:start w:val="1"/>
      <w:numFmt w:val="decimal"/>
      <w:lvlText w:val="%4."/>
      <w:lvlJc w:val="left"/>
      <w:pPr>
        <w:tabs>
          <w:tab w:val="num" w:pos="2880"/>
        </w:tabs>
        <w:ind w:left="2880" w:hanging="360"/>
      </w:pPr>
    </w:lvl>
    <w:lvl w:ilvl="4" w:tplc="4F7A6794" w:tentative="1">
      <w:start w:val="1"/>
      <w:numFmt w:val="lowerLetter"/>
      <w:lvlText w:val="%5."/>
      <w:lvlJc w:val="left"/>
      <w:pPr>
        <w:tabs>
          <w:tab w:val="num" w:pos="3600"/>
        </w:tabs>
        <w:ind w:left="3600" w:hanging="360"/>
      </w:pPr>
    </w:lvl>
    <w:lvl w:ilvl="5" w:tplc="33A6E03C" w:tentative="1">
      <w:start w:val="1"/>
      <w:numFmt w:val="lowerRoman"/>
      <w:lvlText w:val="%6."/>
      <w:lvlJc w:val="right"/>
      <w:pPr>
        <w:tabs>
          <w:tab w:val="num" w:pos="4320"/>
        </w:tabs>
        <w:ind w:left="4320" w:hanging="180"/>
      </w:pPr>
    </w:lvl>
    <w:lvl w:ilvl="6" w:tplc="E222E06C" w:tentative="1">
      <w:start w:val="1"/>
      <w:numFmt w:val="decimal"/>
      <w:lvlText w:val="%7."/>
      <w:lvlJc w:val="left"/>
      <w:pPr>
        <w:tabs>
          <w:tab w:val="num" w:pos="5040"/>
        </w:tabs>
        <w:ind w:left="5040" w:hanging="360"/>
      </w:pPr>
    </w:lvl>
    <w:lvl w:ilvl="7" w:tplc="4F3630DA" w:tentative="1">
      <w:start w:val="1"/>
      <w:numFmt w:val="lowerLetter"/>
      <w:lvlText w:val="%8."/>
      <w:lvlJc w:val="left"/>
      <w:pPr>
        <w:tabs>
          <w:tab w:val="num" w:pos="5760"/>
        </w:tabs>
        <w:ind w:left="5760" w:hanging="360"/>
      </w:pPr>
    </w:lvl>
    <w:lvl w:ilvl="8" w:tplc="AAAAD16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8CE1D94">
      <w:start w:val="1"/>
      <w:numFmt w:val="decimal"/>
      <w:lvlText w:val="%1."/>
      <w:lvlJc w:val="left"/>
      <w:pPr>
        <w:tabs>
          <w:tab w:val="num" w:pos="1057"/>
        </w:tabs>
        <w:ind w:left="1057" w:hanging="360"/>
      </w:pPr>
      <w:rPr>
        <w:rFonts w:hint="default"/>
      </w:rPr>
    </w:lvl>
    <w:lvl w:ilvl="1" w:tplc="38266344" w:tentative="1">
      <w:start w:val="1"/>
      <w:numFmt w:val="lowerLetter"/>
      <w:lvlText w:val="%2."/>
      <w:lvlJc w:val="left"/>
      <w:pPr>
        <w:tabs>
          <w:tab w:val="num" w:pos="2137"/>
        </w:tabs>
        <w:ind w:left="2137" w:hanging="360"/>
      </w:pPr>
    </w:lvl>
    <w:lvl w:ilvl="2" w:tplc="8446125E" w:tentative="1">
      <w:start w:val="1"/>
      <w:numFmt w:val="lowerRoman"/>
      <w:lvlText w:val="%3."/>
      <w:lvlJc w:val="right"/>
      <w:pPr>
        <w:tabs>
          <w:tab w:val="num" w:pos="2857"/>
        </w:tabs>
        <w:ind w:left="2857" w:hanging="180"/>
      </w:pPr>
    </w:lvl>
    <w:lvl w:ilvl="3" w:tplc="FF2C072A" w:tentative="1">
      <w:start w:val="1"/>
      <w:numFmt w:val="decimal"/>
      <w:lvlText w:val="%4."/>
      <w:lvlJc w:val="left"/>
      <w:pPr>
        <w:tabs>
          <w:tab w:val="num" w:pos="3577"/>
        </w:tabs>
        <w:ind w:left="3577" w:hanging="360"/>
      </w:pPr>
    </w:lvl>
    <w:lvl w:ilvl="4" w:tplc="2714919E" w:tentative="1">
      <w:start w:val="1"/>
      <w:numFmt w:val="lowerLetter"/>
      <w:lvlText w:val="%5."/>
      <w:lvlJc w:val="left"/>
      <w:pPr>
        <w:tabs>
          <w:tab w:val="num" w:pos="4297"/>
        </w:tabs>
        <w:ind w:left="4297" w:hanging="360"/>
      </w:pPr>
    </w:lvl>
    <w:lvl w:ilvl="5" w:tplc="E4F4F3FE" w:tentative="1">
      <w:start w:val="1"/>
      <w:numFmt w:val="lowerRoman"/>
      <w:lvlText w:val="%6."/>
      <w:lvlJc w:val="right"/>
      <w:pPr>
        <w:tabs>
          <w:tab w:val="num" w:pos="5017"/>
        </w:tabs>
        <w:ind w:left="5017" w:hanging="180"/>
      </w:pPr>
    </w:lvl>
    <w:lvl w:ilvl="6" w:tplc="1AF8FB02" w:tentative="1">
      <w:start w:val="1"/>
      <w:numFmt w:val="decimal"/>
      <w:lvlText w:val="%7."/>
      <w:lvlJc w:val="left"/>
      <w:pPr>
        <w:tabs>
          <w:tab w:val="num" w:pos="5737"/>
        </w:tabs>
        <w:ind w:left="5737" w:hanging="360"/>
      </w:pPr>
    </w:lvl>
    <w:lvl w:ilvl="7" w:tplc="38881492" w:tentative="1">
      <w:start w:val="1"/>
      <w:numFmt w:val="lowerLetter"/>
      <w:lvlText w:val="%8."/>
      <w:lvlJc w:val="left"/>
      <w:pPr>
        <w:tabs>
          <w:tab w:val="num" w:pos="6457"/>
        </w:tabs>
        <w:ind w:left="6457" w:hanging="360"/>
      </w:pPr>
    </w:lvl>
    <w:lvl w:ilvl="8" w:tplc="71A66EF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10A5606">
      <w:start w:val="1"/>
      <w:numFmt w:val="decimal"/>
      <w:pStyle w:val="ATSNumber1"/>
      <w:lvlText w:val="%1)"/>
      <w:lvlJc w:val="left"/>
      <w:pPr>
        <w:tabs>
          <w:tab w:val="num" w:pos="720"/>
        </w:tabs>
        <w:ind w:left="720" w:hanging="360"/>
      </w:pPr>
    </w:lvl>
    <w:lvl w:ilvl="1" w:tplc="B50AD450" w:tentative="1">
      <w:start w:val="1"/>
      <w:numFmt w:val="lowerLetter"/>
      <w:lvlText w:val="%2."/>
      <w:lvlJc w:val="left"/>
      <w:pPr>
        <w:tabs>
          <w:tab w:val="num" w:pos="1440"/>
        </w:tabs>
        <w:ind w:left="1440" w:hanging="360"/>
      </w:pPr>
    </w:lvl>
    <w:lvl w:ilvl="2" w:tplc="96AE269C" w:tentative="1">
      <w:start w:val="1"/>
      <w:numFmt w:val="lowerRoman"/>
      <w:lvlText w:val="%3."/>
      <w:lvlJc w:val="right"/>
      <w:pPr>
        <w:tabs>
          <w:tab w:val="num" w:pos="2160"/>
        </w:tabs>
        <w:ind w:left="2160" w:hanging="180"/>
      </w:pPr>
    </w:lvl>
    <w:lvl w:ilvl="3" w:tplc="A41662A2" w:tentative="1">
      <w:start w:val="1"/>
      <w:numFmt w:val="decimal"/>
      <w:lvlText w:val="%4."/>
      <w:lvlJc w:val="left"/>
      <w:pPr>
        <w:tabs>
          <w:tab w:val="num" w:pos="2880"/>
        </w:tabs>
        <w:ind w:left="2880" w:hanging="360"/>
      </w:pPr>
    </w:lvl>
    <w:lvl w:ilvl="4" w:tplc="41269ECC" w:tentative="1">
      <w:start w:val="1"/>
      <w:numFmt w:val="lowerLetter"/>
      <w:lvlText w:val="%5."/>
      <w:lvlJc w:val="left"/>
      <w:pPr>
        <w:tabs>
          <w:tab w:val="num" w:pos="3600"/>
        </w:tabs>
        <w:ind w:left="3600" w:hanging="360"/>
      </w:pPr>
    </w:lvl>
    <w:lvl w:ilvl="5" w:tplc="6BF06E28" w:tentative="1">
      <w:start w:val="1"/>
      <w:numFmt w:val="lowerRoman"/>
      <w:lvlText w:val="%6."/>
      <w:lvlJc w:val="right"/>
      <w:pPr>
        <w:tabs>
          <w:tab w:val="num" w:pos="4320"/>
        </w:tabs>
        <w:ind w:left="4320" w:hanging="180"/>
      </w:pPr>
    </w:lvl>
    <w:lvl w:ilvl="6" w:tplc="734CBB9A" w:tentative="1">
      <w:start w:val="1"/>
      <w:numFmt w:val="decimal"/>
      <w:lvlText w:val="%7."/>
      <w:lvlJc w:val="left"/>
      <w:pPr>
        <w:tabs>
          <w:tab w:val="num" w:pos="5040"/>
        </w:tabs>
        <w:ind w:left="5040" w:hanging="360"/>
      </w:pPr>
    </w:lvl>
    <w:lvl w:ilvl="7" w:tplc="A91AE912" w:tentative="1">
      <w:start w:val="1"/>
      <w:numFmt w:val="lowerLetter"/>
      <w:lvlText w:val="%8."/>
      <w:lvlJc w:val="left"/>
      <w:pPr>
        <w:tabs>
          <w:tab w:val="num" w:pos="5760"/>
        </w:tabs>
        <w:ind w:left="5760" w:hanging="360"/>
      </w:pPr>
    </w:lvl>
    <w:lvl w:ilvl="8" w:tplc="FBC6744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826FCC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6E6CD58" w:tentative="1">
      <w:start w:val="1"/>
      <w:numFmt w:val="bullet"/>
      <w:lvlText w:val="o"/>
      <w:lvlJc w:val="left"/>
      <w:pPr>
        <w:tabs>
          <w:tab w:val="num" w:pos="2517"/>
        </w:tabs>
        <w:ind w:left="2517" w:hanging="360"/>
      </w:pPr>
      <w:rPr>
        <w:rFonts w:ascii="Courier New" w:hAnsi="Courier New" w:cs="Courier New" w:hint="default"/>
      </w:rPr>
    </w:lvl>
    <w:lvl w:ilvl="2" w:tplc="1F485AE2" w:tentative="1">
      <w:start w:val="1"/>
      <w:numFmt w:val="bullet"/>
      <w:lvlText w:val=""/>
      <w:lvlJc w:val="left"/>
      <w:pPr>
        <w:tabs>
          <w:tab w:val="num" w:pos="3237"/>
        </w:tabs>
        <w:ind w:left="3237" w:hanging="360"/>
      </w:pPr>
      <w:rPr>
        <w:rFonts w:ascii="Wingdings" w:hAnsi="Wingdings" w:hint="default"/>
      </w:rPr>
    </w:lvl>
    <w:lvl w:ilvl="3" w:tplc="1C92870A" w:tentative="1">
      <w:start w:val="1"/>
      <w:numFmt w:val="bullet"/>
      <w:lvlText w:val=""/>
      <w:lvlJc w:val="left"/>
      <w:pPr>
        <w:tabs>
          <w:tab w:val="num" w:pos="3957"/>
        </w:tabs>
        <w:ind w:left="3957" w:hanging="360"/>
      </w:pPr>
      <w:rPr>
        <w:rFonts w:ascii="Symbol" w:hAnsi="Symbol" w:hint="default"/>
      </w:rPr>
    </w:lvl>
    <w:lvl w:ilvl="4" w:tplc="0A2A59E0" w:tentative="1">
      <w:start w:val="1"/>
      <w:numFmt w:val="bullet"/>
      <w:lvlText w:val="o"/>
      <w:lvlJc w:val="left"/>
      <w:pPr>
        <w:tabs>
          <w:tab w:val="num" w:pos="4677"/>
        </w:tabs>
        <w:ind w:left="4677" w:hanging="360"/>
      </w:pPr>
      <w:rPr>
        <w:rFonts w:ascii="Courier New" w:hAnsi="Courier New" w:cs="Courier New" w:hint="default"/>
      </w:rPr>
    </w:lvl>
    <w:lvl w:ilvl="5" w:tplc="7CDEB2CA" w:tentative="1">
      <w:start w:val="1"/>
      <w:numFmt w:val="bullet"/>
      <w:lvlText w:val=""/>
      <w:lvlJc w:val="left"/>
      <w:pPr>
        <w:tabs>
          <w:tab w:val="num" w:pos="5397"/>
        </w:tabs>
        <w:ind w:left="5397" w:hanging="360"/>
      </w:pPr>
      <w:rPr>
        <w:rFonts w:ascii="Wingdings" w:hAnsi="Wingdings" w:hint="default"/>
      </w:rPr>
    </w:lvl>
    <w:lvl w:ilvl="6" w:tplc="9BC44F0C" w:tentative="1">
      <w:start w:val="1"/>
      <w:numFmt w:val="bullet"/>
      <w:lvlText w:val=""/>
      <w:lvlJc w:val="left"/>
      <w:pPr>
        <w:tabs>
          <w:tab w:val="num" w:pos="6117"/>
        </w:tabs>
        <w:ind w:left="6117" w:hanging="360"/>
      </w:pPr>
      <w:rPr>
        <w:rFonts w:ascii="Symbol" w:hAnsi="Symbol" w:hint="default"/>
      </w:rPr>
    </w:lvl>
    <w:lvl w:ilvl="7" w:tplc="E6BECB70" w:tentative="1">
      <w:start w:val="1"/>
      <w:numFmt w:val="bullet"/>
      <w:lvlText w:val="o"/>
      <w:lvlJc w:val="left"/>
      <w:pPr>
        <w:tabs>
          <w:tab w:val="num" w:pos="6837"/>
        </w:tabs>
        <w:ind w:left="6837" w:hanging="360"/>
      </w:pPr>
      <w:rPr>
        <w:rFonts w:ascii="Courier New" w:hAnsi="Courier New" w:cs="Courier New" w:hint="default"/>
      </w:rPr>
    </w:lvl>
    <w:lvl w:ilvl="8" w:tplc="373A0A7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294F52A">
      <w:start w:val="1"/>
      <w:numFmt w:val="decimal"/>
      <w:pStyle w:val="ATSNumber2"/>
      <w:lvlText w:val="%1."/>
      <w:lvlJc w:val="left"/>
      <w:pPr>
        <w:tabs>
          <w:tab w:val="num" w:pos="720"/>
        </w:tabs>
        <w:ind w:left="720" w:hanging="360"/>
      </w:pPr>
      <w:rPr>
        <w:rFonts w:hint="default"/>
      </w:rPr>
    </w:lvl>
    <w:lvl w:ilvl="1" w:tplc="094051BE" w:tentative="1">
      <w:start w:val="1"/>
      <w:numFmt w:val="lowerLetter"/>
      <w:lvlText w:val="%2."/>
      <w:lvlJc w:val="left"/>
      <w:pPr>
        <w:tabs>
          <w:tab w:val="num" w:pos="1440"/>
        </w:tabs>
        <w:ind w:left="1440" w:hanging="360"/>
      </w:pPr>
    </w:lvl>
    <w:lvl w:ilvl="2" w:tplc="6152E966" w:tentative="1">
      <w:start w:val="1"/>
      <w:numFmt w:val="lowerRoman"/>
      <w:lvlText w:val="%3."/>
      <w:lvlJc w:val="right"/>
      <w:pPr>
        <w:tabs>
          <w:tab w:val="num" w:pos="2160"/>
        </w:tabs>
        <w:ind w:left="2160" w:hanging="180"/>
      </w:pPr>
    </w:lvl>
    <w:lvl w:ilvl="3" w:tplc="8B6AFAEC" w:tentative="1">
      <w:start w:val="1"/>
      <w:numFmt w:val="decimal"/>
      <w:lvlText w:val="%4."/>
      <w:lvlJc w:val="left"/>
      <w:pPr>
        <w:tabs>
          <w:tab w:val="num" w:pos="2880"/>
        </w:tabs>
        <w:ind w:left="2880" w:hanging="360"/>
      </w:pPr>
    </w:lvl>
    <w:lvl w:ilvl="4" w:tplc="DAC2F7A0" w:tentative="1">
      <w:start w:val="1"/>
      <w:numFmt w:val="lowerLetter"/>
      <w:lvlText w:val="%5."/>
      <w:lvlJc w:val="left"/>
      <w:pPr>
        <w:tabs>
          <w:tab w:val="num" w:pos="3600"/>
        </w:tabs>
        <w:ind w:left="3600" w:hanging="360"/>
      </w:pPr>
    </w:lvl>
    <w:lvl w:ilvl="5" w:tplc="6C1245E8" w:tentative="1">
      <w:start w:val="1"/>
      <w:numFmt w:val="lowerRoman"/>
      <w:lvlText w:val="%6."/>
      <w:lvlJc w:val="right"/>
      <w:pPr>
        <w:tabs>
          <w:tab w:val="num" w:pos="4320"/>
        </w:tabs>
        <w:ind w:left="4320" w:hanging="180"/>
      </w:pPr>
    </w:lvl>
    <w:lvl w:ilvl="6" w:tplc="6B46EC1A" w:tentative="1">
      <w:start w:val="1"/>
      <w:numFmt w:val="decimal"/>
      <w:lvlText w:val="%7."/>
      <w:lvlJc w:val="left"/>
      <w:pPr>
        <w:tabs>
          <w:tab w:val="num" w:pos="5040"/>
        </w:tabs>
        <w:ind w:left="5040" w:hanging="360"/>
      </w:pPr>
    </w:lvl>
    <w:lvl w:ilvl="7" w:tplc="3F9A5250" w:tentative="1">
      <w:start w:val="1"/>
      <w:numFmt w:val="lowerLetter"/>
      <w:lvlText w:val="%8."/>
      <w:lvlJc w:val="left"/>
      <w:pPr>
        <w:tabs>
          <w:tab w:val="num" w:pos="5760"/>
        </w:tabs>
        <w:ind w:left="5760" w:hanging="360"/>
      </w:pPr>
    </w:lvl>
    <w:lvl w:ilvl="8" w:tplc="2C9016E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0E"/>
    <w:rsid w:val="009000FB"/>
    <w:rsid w:val="00E57D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3CB16A6"/>
  <w15:chartTrackingRefBased/>
  <w15:docId w15:val="{54D17C31-E282-4401-A591-CE4DA438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9000FB"/>
    <w:rPr>
      <w:rFonts w:ascii="Helvetica" w:hAnsi="Helvetica"/>
      <w:color w:val="84A8BD"/>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ts.a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s.aq)"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oi:https://doi.org/10.1017/S003224741800044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861</Words>
  <Characters>5081</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2021-05-05T18:20:00Z</dcterms:modified>
</cp:coreProperties>
</file>