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1F87" w14:textId="77777777" w:rsidR="00C26F2D" w:rsidRPr="00BF077B" w:rsidRDefault="00C26F2D" w:rsidP="00BF077B">
      <w:pPr>
        <w:pStyle w:val="ATSNormal"/>
        <w:rPr>
          <w:rStyle w:val="Ttulodellibro"/>
        </w:rPr>
      </w:pPr>
    </w:p>
    <w:p w14:paraId="0800594F" w14:textId="77777777" w:rsidR="002F0A13" w:rsidRDefault="002F0A13" w:rsidP="004B4A60">
      <w:pPr>
        <w:rPr>
          <w:b/>
          <w:u w:val="single"/>
          <w:lang w:val="es-ES_tradnl"/>
        </w:rPr>
      </w:pPr>
    </w:p>
    <w:p w14:paraId="106EE852" w14:textId="77777777" w:rsidR="002F0A13" w:rsidRDefault="002F0A13" w:rsidP="004B4A60">
      <w:pPr>
        <w:rPr>
          <w:b/>
          <w:u w:val="single"/>
          <w:lang w:val="es-ES_tradnl"/>
        </w:rPr>
      </w:pPr>
    </w:p>
    <w:p w14:paraId="09D3433F" w14:textId="77777777" w:rsidR="002F0A13" w:rsidRDefault="002F0A13" w:rsidP="004B4A60">
      <w:pPr>
        <w:rPr>
          <w:b/>
          <w:u w:val="single"/>
          <w:lang w:val="es-ES_tradnl"/>
        </w:rPr>
      </w:pPr>
    </w:p>
    <w:p w14:paraId="08C776DF" w14:textId="77777777" w:rsidR="002F0A13" w:rsidRDefault="002F0A13" w:rsidP="004B4A60">
      <w:pPr>
        <w:rPr>
          <w:b/>
          <w:u w:val="single"/>
          <w:lang w:val="es-ES_tradnl"/>
        </w:rPr>
      </w:pPr>
    </w:p>
    <w:p w14:paraId="6727F837" w14:textId="77777777" w:rsidR="00C26F2D" w:rsidRDefault="00C26F2D" w:rsidP="004B4A60">
      <w:pPr>
        <w:rPr>
          <w:b/>
          <w:u w:val="single"/>
          <w:lang w:val="es-ES_tradnl"/>
        </w:rPr>
      </w:pPr>
    </w:p>
    <w:p w14:paraId="036A4075" w14:textId="06DDB715" w:rsidR="003B67F8" w:rsidRPr="00442A4E" w:rsidRDefault="009757FB" w:rsidP="002B5B89">
      <w:pPr>
        <w:pStyle w:val="ATSTitle"/>
        <w:rPr>
          <w:lang w:val="en-US"/>
        </w:rPr>
      </w:pPr>
      <w:r>
        <w:rPr>
          <w:lang w:val="en-US"/>
        </w:rPr>
        <w:t xml:space="preserve">State of Antarctic Penguins </w:t>
      </w:r>
      <w:r w:rsidR="003B67F8">
        <w:rPr>
          <w:lang w:val="en-US"/>
        </w:rPr>
        <w:t>2020</w:t>
      </w:r>
      <w:r w:rsidR="003B67F8" w:rsidRPr="00442A4E">
        <w:rPr>
          <w:lang w:val="en-US"/>
        </w:rPr>
        <w:t xml:space="preserve"> </w:t>
      </w:r>
      <w:r w:rsidR="003B67F8">
        <w:rPr>
          <w:lang w:val="en-US"/>
        </w:rPr>
        <w:t>Report</w:t>
      </w:r>
    </w:p>
    <w:p w14:paraId="1E378041" w14:textId="77777777" w:rsidR="004B4A60" w:rsidRPr="0057246E" w:rsidRDefault="004B4A60" w:rsidP="00F75424">
      <w:pPr>
        <w:jc w:val="center"/>
      </w:pPr>
    </w:p>
    <w:p w14:paraId="523FF67C" w14:textId="77777777" w:rsidR="0097629D" w:rsidRDefault="0097629D" w:rsidP="00F75424">
      <w:pPr>
        <w:jc w:val="center"/>
      </w:pPr>
    </w:p>
    <w:p w14:paraId="7ADFC7B6" w14:textId="77777777" w:rsidR="0097629D" w:rsidRDefault="0097629D" w:rsidP="00F75424">
      <w:pPr>
        <w:jc w:val="center"/>
      </w:pPr>
    </w:p>
    <w:p w14:paraId="75FD9B0F" w14:textId="77777777" w:rsidR="0097629D" w:rsidRDefault="0097629D" w:rsidP="00F75424">
      <w:pPr>
        <w:jc w:val="center"/>
      </w:pPr>
    </w:p>
    <w:p w14:paraId="1D3277BA" w14:textId="77777777" w:rsidR="0097629D" w:rsidRPr="00C26F2D" w:rsidRDefault="0097629D" w:rsidP="00F75424">
      <w:pPr>
        <w:jc w:val="center"/>
      </w:pPr>
    </w:p>
    <w:p w14:paraId="3427D5FD" w14:textId="77777777" w:rsidR="004B4A60" w:rsidRPr="0057246E" w:rsidRDefault="004B4A60" w:rsidP="004B4A60"/>
    <w:p w14:paraId="77492652" w14:textId="77777777" w:rsidR="00C26F2D" w:rsidRDefault="00C26F2D" w:rsidP="00952E9F">
      <w:pPr>
        <w:sectPr w:rsidR="00C26F2D" w:rsidSect="000E1D5C">
          <w:headerReference w:type="default" r:id="rId11"/>
          <w:footerReference w:type="even" r:id="rId12"/>
          <w:footerReference w:type="default" r:id="rId13"/>
          <w:pgSz w:w="11907" w:h="16840" w:code="9"/>
          <w:pgMar w:top="1134" w:right="1134" w:bottom="1134" w:left="1134" w:header="709" w:footer="709" w:gutter="0"/>
          <w:cols w:space="708"/>
          <w:docGrid w:linePitch="360"/>
        </w:sectPr>
      </w:pPr>
    </w:p>
    <w:p w14:paraId="4C5008B5" w14:textId="3259B154" w:rsidR="003B67F8" w:rsidRDefault="009757FB" w:rsidP="009757FB">
      <w:pPr>
        <w:pStyle w:val="ATSHeading1"/>
        <w:rPr>
          <w:lang w:val="en-US"/>
        </w:rPr>
      </w:pPr>
      <w:r>
        <w:rPr>
          <w:lang w:val="en-US"/>
        </w:rPr>
        <w:lastRenderedPageBreak/>
        <w:t xml:space="preserve">State of Antarctic Penguins </w:t>
      </w:r>
      <w:r w:rsidR="003B67F8">
        <w:rPr>
          <w:lang w:val="en-US"/>
        </w:rPr>
        <w:t>2020</w:t>
      </w:r>
      <w:r w:rsidR="003B67F8" w:rsidRPr="00442A4E">
        <w:rPr>
          <w:lang w:val="en-US"/>
        </w:rPr>
        <w:t xml:space="preserve"> </w:t>
      </w:r>
      <w:r w:rsidR="003B67F8">
        <w:rPr>
          <w:lang w:val="en-US"/>
        </w:rPr>
        <w:t>Report</w:t>
      </w:r>
    </w:p>
    <w:p w14:paraId="356AD767" w14:textId="77777777" w:rsidR="003B67F8" w:rsidRPr="009757FB" w:rsidRDefault="003B67F8" w:rsidP="009757FB">
      <w:pPr>
        <w:pStyle w:val="ATSHeading2"/>
        <w:jc w:val="center"/>
      </w:pPr>
      <w:r w:rsidRPr="009757FB">
        <w:t>Information Paper submitted by SCAR</w:t>
      </w:r>
    </w:p>
    <w:p w14:paraId="624CA416" w14:textId="77777777" w:rsidR="003B67F8" w:rsidRPr="00476C0D" w:rsidRDefault="003B67F8" w:rsidP="009757FB">
      <w:pPr>
        <w:pStyle w:val="ATSHeading2"/>
      </w:pPr>
      <w:r w:rsidRPr="00476C0D">
        <w:t>Summary</w:t>
      </w:r>
    </w:p>
    <w:p w14:paraId="714C3DCB" w14:textId="77777777" w:rsidR="009757FB" w:rsidRDefault="003B67F8" w:rsidP="009757FB">
      <w:pPr>
        <w:pStyle w:val="ATSNormal"/>
      </w:pPr>
      <w:proofErr w:type="spellStart"/>
      <w:r w:rsidRPr="009757FB">
        <w:t>Oceanites’s</w:t>
      </w:r>
      <w:proofErr w:type="spellEnd"/>
      <w:r w:rsidR="009757FB" w:rsidRPr="009757FB">
        <w:t xml:space="preserve"> </w:t>
      </w:r>
      <w:r w:rsidRPr="009757FB">
        <w:rPr>
          <w:b/>
          <w:i/>
        </w:rPr>
        <w:t>State of Antarctic Penguins</w:t>
      </w:r>
      <w:r w:rsidR="009757FB" w:rsidRPr="009757FB">
        <w:rPr>
          <w:b/>
          <w:i/>
        </w:rPr>
        <w:t xml:space="preserve"> </w:t>
      </w:r>
      <w:r w:rsidRPr="009757FB">
        <w:rPr>
          <w:b/>
          <w:i/>
        </w:rPr>
        <w:t>2020</w:t>
      </w:r>
      <w:r w:rsidRPr="009757FB">
        <w:t xml:space="preserve"> report</w:t>
      </w:r>
      <w:r w:rsidR="009757FB">
        <w:t xml:space="preserve"> </w:t>
      </w:r>
      <w:r w:rsidRPr="009757FB">
        <w:t>is available at:</w:t>
      </w:r>
      <w:r w:rsidR="009757FB" w:rsidRPr="009757FB">
        <w:br/>
      </w:r>
      <w:hyperlink r:id="rId14" w:history="1">
        <w:r w:rsidR="009757FB" w:rsidRPr="003D7818">
          <w:rPr>
            <w:rStyle w:val="Hipervnculo"/>
          </w:rPr>
          <w:t>https://oceanites.org/wp-content/uploads/2020/10/SOAP-2020.pdf</w:t>
        </w:r>
      </w:hyperlink>
    </w:p>
    <w:p w14:paraId="45F6E373" w14:textId="16F5DDD7" w:rsidR="003B67F8" w:rsidRPr="009757FB" w:rsidRDefault="003B67F8" w:rsidP="009757FB">
      <w:pPr>
        <w:pStyle w:val="ATSNormal"/>
      </w:pPr>
      <w:r w:rsidRPr="009757FB">
        <w:t>The report summarizes the status — population size and population trends — of Antarctica’s five penguin species, continent-wide and in key regions.</w:t>
      </w:r>
    </w:p>
    <w:p w14:paraId="2B807B3C" w14:textId="77777777" w:rsidR="003B67F8" w:rsidRPr="00476C0D" w:rsidRDefault="003B67F8" w:rsidP="009757FB">
      <w:pPr>
        <w:pStyle w:val="ATSHeading2"/>
      </w:pPr>
      <w:r w:rsidRPr="00476C0D">
        <w:t>Introduction</w:t>
      </w:r>
    </w:p>
    <w:p w14:paraId="7B047912" w14:textId="163A84B8" w:rsidR="004279DB" w:rsidRPr="009757FB" w:rsidRDefault="003B67F8" w:rsidP="009757FB">
      <w:pPr>
        <w:pStyle w:val="ATSNormal"/>
      </w:pPr>
      <w:r w:rsidRPr="009757FB">
        <w:t xml:space="preserve">Oceanites, Inc. is a </w:t>
      </w:r>
      <w:proofErr w:type="spellStart"/>
      <w:r w:rsidRPr="009757FB">
        <w:t>nonprofit</w:t>
      </w:r>
      <w:proofErr w:type="spellEnd"/>
      <w:r w:rsidRPr="009757FB">
        <w:t xml:space="preserve"> scientific and educational organization founded in 1987 </w:t>
      </w:r>
      <w:r w:rsidR="009757FB" w:rsidRPr="00442A4E">
        <w:rPr>
          <w:lang w:val="en-US"/>
        </w:rPr>
        <w:t>(</w:t>
      </w:r>
      <w:hyperlink r:id="rId15" w:history="1">
        <w:r w:rsidR="009757FB" w:rsidRPr="00442A4E">
          <w:rPr>
            <w:rStyle w:val="Hipervnculo"/>
            <w:lang w:val="en-US"/>
          </w:rPr>
          <w:t>https://oceanites.org</w:t>
        </w:r>
      </w:hyperlink>
      <w:r w:rsidRPr="009757FB">
        <w:t xml:space="preserve">). </w:t>
      </w:r>
      <w:r w:rsidR="009757FB">
        <w:t xml:space="preserve"> </w:t>
      </w:r>
      <w:r w:rsidR="004279DB" w:rsidRPr="009757FB">
        <w:t>Its mission is to advance science-based conservation and to increase the awareness of climate change, its potential impacts, and climate change adaptation through the lens of Antarctic penguins.</w:t>
      </w:r>
    </w:p>
    <w:p w14:paraId="75A5A44B" w14:textId="79508624" w:rsidR="003B67F8" w:rsidRPr="009757FB" w:rsidRDefault="003B67F8" w:rsidP="009757FB">
      <w:pPr>
        <w:pStyle w:val="ATSNormal"/>
      </w:pPr>
      <w:r w:rsidRPr="009757FB">
        <w:t xml:space="preserve">Since 1994, </w:t>
      </w:r>
      <w:r w:rsidR="004F79F0" w:rsidRPr="009757FB">
        <w:t xml:space="preserve">for 27 consecutive field seasons, </w:t>
      </w:r>
      <w:r w:rsidRPr="009757FB">
        <w:t xml:space="preserve">its Antarctic Site Inventory has been monitoring and </w:t>
      </w:r>
      <w:proofErr w:type="spellStart"/>
      <w:r w:rsidRPr="009757FB">
        <w:t>analyzing</w:t>
      </w:r>
      <w:proofErr w:type="spellEnd"/>
      <w:r w:rsidRPr="009757FB">
        <w:t xml:space="preserve"> penguin and seabird population changes across the entirety of the </w:t>
      </w:r>
      <w:r w:rsidR="004F79F0" w:rsidRPr="009757FB">
        <w:t xml:space="preserve">vastly warmed </w:t>
      </w:r>
      <w:r w:rsidRPr="009757FB">
        <w:t>Antarctic Peninsula, and is focused on distinguishing the direct and interactive effects of climate change, fishing, tourism, and other human activities on the Antarctic Peninsula ecosystem</w:t>
      </w:r>
      <w:r w:rsidR="009757FB">
        <w:t>.</w:t>
      </w:r>
      <w:r w:rsidRPr="009757FB">
        <w:t xml:space="preserve"> </w:t>
      </w:r>
    </w:p>
    <w:p w14:paraId="6E9CBBB7" w14:textId="011AD7A6" w:rsidR="004F79F0" w:rsidRPr="009757FB" w:rsidRDefault="003B67F8" w:rsidP="009757FB">
      <w:pPr>
        <w:pStyle w:val="ATSNormal"/>
      </w:pPr>
      <w:r w:rsidRPr="009757FB">
        <w:t>In 2016, the Mapping Application for Penguin Populations and Projected Dynamics (MAPPP</w:t>
      </w:r>
      <w:r w:rsidR="004F79F0" w:rsidRPr="009757FB">
        <w:t>D) launched</w:t>
      </w:r>
      <w:r w:rsidR="009757FB">
        <w:t xml:space="preserve"> </w:t>
      </w:r>
      <w:r w:rsidR="004F79F0" w:rsidRPr="009757FB">
        <w:t>(</w:t>
      </w:r>
      <w:hyperlink r:id="rId16" w:history="1">
        <w:r w:rsidR="009757FB" w:rsidRPr="003D7818">
          <w:rPr>
            <w:rStyle w:val="Hipervnculo"/>
            <w:lang w:val="en-US"/>
          </w:rPr>
          <w:t>http://www.penguinmap.com</w:t>
        </w:r>
      </w:hyperlink>
      <w:r w:rsidR="004F79F0" w:rsidRPr="009757FB">
        <w:t>).</w:t>
      </w:r>
      <w:r w:rsidRPr="009757FB">
        <w:t xml:space="preserve"> </w:t>
      </w:r>
      <w:r w:rsidR="009757FB">
        <w:t xml:space="preserve"> </w:t>
      </w:r>
      <w:r w:rsidRPr="009757FB">
        <w:t xml:space="preserve">MAPPPD is an open access, decision-support tool developed for Oceanites that assembles Antarctic penguin population data and makes </w:t>
      </w:r>
      <w:r w:rsidR="00361014" w:rsidRPr="009757FB">
        <w:t>such data easily and</w:t>
      </w:r>
      <w:r w:rsidRPr="009757FB">
        <w:t xml:space="preserve"> publicly available. </w:t>
      </w:r>
      <w:r w:rsidR="009757FB">
        <w:t xml:space="preserve"> </w:t>
      </w:r>
      <w:r w:rsidR="00361014" w:rsidRPr="009757FB">
        <w:t>MAPPPD integrates expert biological field surveys, satellite imagery analyses, and citizen science and, o</w:t>
      </w:r>
      <w:r w:rsidRPr="009757FB">
        <w:t xml:space="preserve">ver the past </w:t>
      </w:r>
      <w:r w:rsidR="004F79F0" w:rsidRPr="009757FB">
        <w:t>five</w:t>
      </w:r>
      <w:r w:rsidRPr="009757FB">
        <w:t xml:space="preserve"> years, has quickly become a</w:t>
      </w:r>
      <w:r w:rsidR="00361014" w:rsidRPr="009757FB">
        <w:t xml:space="preserve"> key research tool used throughout the Antarctic community and a</w:t>
      </w:r>
      <w:r w:rsidRPr="009757FB">
        <w:t xml:space="preserve"> primary resource for scientific and other infor</w:t>
      </w:r>
      <w:r w:rsidR="00361014" w:rsidRPr="009757FB">
        <w:t>mation about Antarctic penguins</w:t>
      </w:r>
      <w:r w:rsidR="009757FB">
        <w:t xml:space="preserve">. </w:t>
      </w:r>
    </w:p>
    <w:p w14:paraId="0DDA6008" w14:textId="36C3ED82" w:rsidR="003B67F8" w:rsidRPr="009757FB" w:rsidRDefault="003B67F8" w:rsidP="009757FB">
      <w:pPr>
        <w:pStyle w:val="ATSNormal"/>
      </w:pPr>
      <w:r w:rsidRPr="009757FB">
        <w:t xml:space="preserve">This continent-wide penguin population database is continually being updated and is utilized by Oceanites to generate its annual </w:t>
      </w:r>
      <w:r w:rsidRPr="009757FB">
        <w:rPr>
          <w:i/>
        </w:rPr>
        <w:t>State of Antarctic Penguins</w:t>
      </w:r>
      <w:r w:rsidRPr="009757FB">
        <w:t xml:space="preserve"> reports. </w:t>
      </w:r>
      <w:r w:rsidR="009757FB">
        <w:t xml:space="preserve"> </w:t>
      </w:r>
      <w:r w:rsidRPr="009757FB">
        <w:t xml:space="preserve">As in previous reports, this </w:t>
      </w:r>
      <w:r w:rsidR="004F79F0" w:rsidRPr="009757FB">
        <w:t>most recent</w:t>
      </w:r>
      <w:r w:rsidRPr="009757FB">
        <w:t xml:space="preserve"> report encourages those who have not yet contributed data to do so.</w:t>
      </w:r>
    </w:p>
    <w:p w14:paraId="0DA2D2D3" w14:textId="77777777" w:rsidR="003B67F8" w:rsidRPr="00476C0D" w:rsidRDefault="003B67F8" w:rsidP="009757FB">
      <w:pPr>
        <w:pStyle w:val="ATSHeading2"/>
        <w:rPr>
          <w:lang w:val="en-US"/>
        </w:rPr>
      </w:pPr>
      <w:r w:rsidRPr="00476C0D">
        <w:rPr>
          <w:lang w:val="en-US"/>
        </w:rPr>
        <w:t>State of Antarctic Penguins Report</w:t>
      </w:r>
      <w:r>
        <w:rPr>
          <w:lang w:val="en-US"/>
        </w:rPr>
        <w:t xml:space="preserve"> 2020</w:t>
      </w:r>
    </w:p>
    <w:p w14:paraId="3A7E99CE" w14:textId="1E2AB85F" w:rsidR="004F79F0" w:rsidRPr="006F5A19" w:rsidRDefault="004F79F0" w:rsidP="009757FB">
      <w:pPr>
        <w:pStyle w:val="ATSNormal"/>
        <w:rPr>
          <w:lang w:val="en-US"/>
        </w:rPr>
      </w:pPr>
      <w:r w:rsidRPr="006F5A19">
        <w:t xml:space="preserve">The </w:t>
      </w:r>
      <w:r w:rsidR="00361014">
        <w:t>latest</w:t>
      </w:r>
      <w:r w:rsidRPr="006F5A19">
        <w:t xml:space="preserve"> </w:t>
      </w:r>
      <w:r w:rsidRPr="006F5A19">
        <w:rPr>
          <w:bCs/>
          <w:i/>
          <w:iCs/>
          <w:lang w:val="en-US"/>
        </w:rPr>
        <w:t>State of Antarctic Penguins</w:t>
      </w:r>
      <w:r w:rsidR="00BB6C33">
        <w:rPr>
          <w:bCs/>
          <w:i/>
          <w:iCs/>
          <w:lang w:val="en-US"/>
        </w:rPr>
        <w:t xml:space="preserve"> </w:t>
      </w:r>
      <w:r w:rsidRPr="006F5A19">
        <w:rPr>
          <w:bCs/>
          <w:i/>
          <w:iCs/>
          <w:lang w:val="en-US"/>
        </w:rPr>
        <w:t>2020</w:t>
      </w:r>
      <w:r w:rsidRPr="006F5A19">
        <w:rPr>
          <w:bCs/>
          <w:iCs/>
          <w:lang w:val="en-US"/>
        </w:rPr>
        <w:t xml:space="preserve"> report</w:t>
      </w:r>
      <w:r w:rsidR="00BB6C33">
        <w:rPr>
          <w:lang w:val="en-US"/>
        </w:rPr>
        <w:t xml:space="preserve"> </w:t>
      </w:r>
      <w:r w:rsidRPr="006F5A19">
        <w:rPr>
          <w:bCs/>
          <w:i/>
          <w:iCs/>
          <w:lang w:val="en-US"/>
        </w:rPr>
        <w:t xml:space="preserve">(“SOAP 2020”) </w:t>
      </w:r>
      <w:r w:rsidRPr="006F5A19">
        <w:rPr>
          <w:lang w:val="en-US"/>
        </w:rPr>
        <w:t>comprehensively summarizes the present status — population size and population trends — of Antarctica’s five penguin species, outlining the population size and trends for the continent and in key regions that have been the focus of conservation management efforts by CCAMLR — the Antarctic Peninsula (CCAMLR Areas 48.1, 48.2 and 48.5), the Ross Sea (CCAMLR Areas 88.1 and 88.2), and Eastern Antarctica (CCAMLR Areas 58.4.1 and 58.4.2).</w:t>
      </w:r>
      <w:r w:rsidR="00816438">
        <w:rPr>
          <w:rStyle w:val="Refdenotaalpie"/>
          <w:lang w:val="en-US"/>
        </w:rPr>
        <w:footnoteReference w:id="1"/>
      </w:r>
    </w:p>
    <w:p w14:paraId="25DF53AC" w14:textId="0A07159A" w:rsidR="004F79F0" w:rsidRPr="006F5A19" w:rsidRDefault="004F79F0" w:rsidP="009757FB">
      <w:pPr>
        <w:pStyle w:val="ATSNormal"/>
        <w:rPr>
          <w:lang w:val="en-US"/>
        </w:rPr>
      </w:pPr>
      <w:r w:rsidRPr="006F5A19">
        <w:rPr>
          <w:lang w:val="en-US"/>
        </w:rPr>
        <w:t xml:space="preserve">SOAP 2020 uses the most current scientific data in the Antarctic continent-wide penguin MAPPPD database that Oceanites maintains, which now contains 4,010 records from 130 data sources of on-the-ground colony counts and satellite photo analyses. </w:t>
      </w:r>
      <w:r w:rsidR="00EF798E">
        <w:rPr>
          <w:lang w:val="en-US"/>
        </w:rPr>
        <w:t xml:space="preserve"> </w:t>
      </w:r>
      <w:r w:rsidRPr="006F5A19">
        <w:rPr>
          <w:lang w:val="en-US"/>
        </w:rPr>
        <w:t>This year, the number of records in MAPPPD has increased by 7% and the number of data sources by 12%.</w:t>
      </w:r>
    </w:p>
    <w:p w14:paraId="0399AD2D" w14:textId="4CD460C7" w:rsidR="006F5A19" w:rsidRDefault="003B67F8" w:rsidP="009757FB">
      <w:pPr>
        <w:pStyle w:val="ATSNormal"/>
        <w:rPr>
          <w:lang w:val="en-US"/>
        </w:rPr>
      </w:pPr>
      <w:r>
        <w:rPr>
          <w:lang w:val="en-US"/>
        </w:rPr>
        <w:t>The</w:t>
      </w:r>
      <w:r w:rsidRPr="00B76434">
        <w:rPr>
          <w:lang w:val="en-US"/>
        </w:rPr>
        <w:t xml:space="preserve"> report </w:t>
      </w:r>
      <w:r>
        <w:rPr>
          <w:lang w:val="en-US"/>
        </w:rPr>
        <w:t>and its underlying database provide evidence to assist</w:t>
      </w:r>
      <w:r w:rsidRPr="00B76434">
        <w:rPr>
          <w:lang w:val="en-US"/>
        </w:rPr>
        <w:t xml:space="preserve"> </w:t>
      </w:r>
      <w:r>
        <w:rPr>
          <w:lang w:val="en-US"/>
        </w:rPr>
        <w:t xml:space="preserve">all Antarctic </w:t>
      </w:r>
      <w:r w:rsidRPr="00B76434">
        <w:rPr>
          <w:lang w:val="en-US"/>
        </w:rPr>
        <w:t>stakeholders</w:t>
      </w:r>
      <w:r>
        <w:rPr>
          <w:lang w:val="en-US"/>
        </w:rPr>
        <w:t xml:space="preserve"> in their deliberations and activities</w:t>
      </w:r>
      <w:r w:rsidRPr="00B76434">
        <w:rPr>
          <w:lang w:val="en-US"/>
        </w:rPr>
        <w:t>: decision-makers and governments, scientists, NGOs, the private sector including fishing and tourism operators, and concerned citizens throughout the world.</w:t>
      </w:r>
      <w:r>
        <w:rPr>
          <w:lang w:val="en-US"/>
        </w:rPr>
        <w:t xml:space="preserve"> </w:t>
      </w:r>
      <w:r w:rsidR="00EF798E">
        <w:rPr>
          <w:lang w:val="en-US"/>
        </w:rPr>
        <w:t xml:space="preserve"> </w:t>
      </w:r>
      <w:r>
        <w:rPr>
          <w:lang w:val="en-US"/>
        </w:rPr>
        <w:t>The</w:t>
      </w:r>
      <w:r w:rsidRPr="00B76434">
        <w:rPr>
          <w:lang w:val="en-US"/>
        </w:rPr>
        <w:t xml:space="preserve"> goal is </w:t>
      </w:r>
      <w:r>
        <w:rPr>
          <w:lang w:val="en-US"/>
        </w:rPr>
        <w:t>to make available</w:t>
      </w:r>
      <w:r w:rsidRPr="00B76434">
        <w:rPr>
          <w:lang w:val="en-US"/>
        </w:rPr>
        <w:t xml:space="preserve"> the latest, most accurate population data about Antarctic penguins; both continent-wide and regionally, and of the latest trends in such numbers.</w:t>
      </w:r>
      <w:r w:rsidR="006F5A19">
        <w:rPr>
          <w:lang w:val="en-US"/>
        </w:rPr>
        <w:t xml:space="preserve"> </w:t>
      </w:r>
    </w:p>
    <w:p w14:paraId="399559F6" w14:textId="77777777" w:rsidR="003B67F8" w:rsidRPr="00B76434" w:rsidRDefault="003B67F8" w:rsidP="009757FB">
      <w:pPr>
        <w:pStyle w:val="ATSNormal"/>
        <w:rPr>
          <w:lang w:val="en-US"/>
        </w:rPr>
      </w:pPr>
      <w:r w:rsidRPr="00B76434">
        <w:rPr>
          <w:lang w:val="en-US"/>
        </w:rPr>
        <w:lastRenderedPageBreak/>
        <w:t xml:space="preserve">This </w:t>
      </w:r>
      <w:r w:rsidR="00866791">
        <w:rPr>
          <w:lang w:val="en-US"/>
        </w:rPr>
        <w:t xml:space="preserve">most recent report and previous </w:t>
      </w:r>
      <w:r w:rsidRPr="00B76434">
        <w:rPr>
          <w:lang w:val="en-US"/>
        </w:rPr>
        <w:t>repor</w:t>
      </w:r>
      <w:r w:rsidR="00866791">
        <w:rPr>
          <w:lang w:val="en-US"/>
        </w:rPr>
        <w:t>ts</w:t>
      </w:r>
      <w:r w:rsidRPr="00B76434">
        <w:rPr>
          <w:lang w:val="en-US"/>
        </w:rPr>
        <w:t xml:space="preserve"> may be accessed via the Oceanites website </w:t>
      </w:r>
      <w:r w:rsidR="00866791">
        <w:rPr>
          <w:lang w:val="en-US"/>
        </w:rPr>
        <w:t>(</w:t>
      </w:r>
      <w:hyperlink r:id="rId17" w:history="1">
        <w:r w:rsidR="00866791" w:rsidRPr="003D7818">
          <w:rPr>
            <w:rStyle w:val="Hipervnculo"/>
            <w:lang w:val="en-US"/>
          </w:rPr>
          <w:t>https://oceanites.org/future-of-antarctica/penguin-conservation/state-of-antarctic-penguins-reports/</w:t>
        </w:r>
      </w:hyperlink>
      <w:r w:rsidR="00866791">
        <w:rPr>
          <w:lang w:val="en-US"/>
        </w:rPr>
        <w:t xml:space="preserve">), </w:t>
      </w:r>
      <w:r w:rsidRPr="00B76434">
        <w:rPr>
          <w:lang w:val="en-US"/>
        </w:rPr>
        <w:t>either online or through mobile device</w:t>
      </w:r>
      <w:r>
        <w:rPr>
          <w:lang w:val="en-US"/>
        </w:rPr>
        <w:t>s.</w:t>
      </w:r>
    </w:p>
    <w:p w14:paraId="3A46A175" w14:textId="77777777" w:rsidR="003B67F8" w:rsidRPr="00476C0D" w:rsidRDefault="003B67F8" w:rsidP="009757FB">
      <w:pPr>
        <w:pStyle w:val="ATSHeading2"/>
        <w:rPr>
          <w:lang w:val="en-US"/>
        </w:rPr>
      </w:pPr>
      <w:r>
        <w:rPr>
          <w:lang w:val="en-US"/>
        </w:rPr>
        <w:t>Key Report Findings</w:t>
      </w:r>
    </w:p>
    <w:p w14:paraId="42ACD2AE" w14:textId="353BACCC" w:rsidR="00D71347" w:rsidRPr="009757FB" w:rsidRDefault="004F2D03" w:rsidP="009757FB">
      <w:pPr>
        <w:pStyle w:val="ATSNormal"/>
      </w:pPr>
      <w:r>
        <w:t xml:space="preserve">The report notes </w:t>
      </w:r>
      <w:r w:rsidR="00D71347" w:rsidRPr="009757FB">
        <w:t xml:space="preserve">population declines in </w:t>
      </w:r>
      <w:r w:rsidR="00E6741E">
        <w:t>two</w:t>
      </w:r>
      <w:r w:rsidR="00E6741E" w:rsidRPr="009757FB">
        <w:t xml:space="preserve"> </w:t>
      </w:r>
      <w:r w:rsidR="00D71347" w:rsidRPr="009757FB">
        <w:t>Antarctic penguin species</w:t>
      </w:r>
      <w:r>
        <w:t>, with n</w:t>
      </w:r>
      <w:r w:rsidR="00E6741E">
        <w:t>ew</w:t>
      </w:r>
      <w:r w:rsidR="00D71347" w:rsidRPr="009757FB">
        <w:t xml:space="preserve"> and critical data documen</w:t>
      </w:r>
      <w:r w:rsidR="00E6741E">
        <w:t>t</w:t>
      </w:r>
      <w:r>
        <w:t>ing</w:t>
      </w:r>
      <w:r w:rsidR="00E6741E">
        <w:t xml:space="preserve"> </w:t>
      </w:r>
      <w:r>
        <w:t xml:space="preserve">a </w:t>
      </w:r>
      <w:r w:rsidR="00E6741E">
        <w:t xml:space="preserve">further </w:t>
      </w:r>
      <w:r w:rsidR="00D71347" w:rsidRPr="009757FB">
        <w:t xml:space="preserve">chinstrap penguin population decline in the Antarctic Peninsula (specifically, at Elephant Island). </w:t>
      </w:r>
    </w:p>
    <w:p w14:paraId="7B1B3A7E" w14:textId="4D60CC99" w:rsidR="004F79F0" w:rsidRPr="009757FB" w:rsidRDefault="004F2D03" w:rsidP="009757FB">
      <w:pPr>
        <w:pStyle w:val="ATSNormal"/>
      </w:pPr>
      <w:r>
        <w:t>Per data available of October 2020,</w:t>
      </w:r>
      <w:r w:rsidRPr="009757FB">
        <w:t xml:space="preserve"> </w:t>
      </w:r>
      <w:r>
        <w:t xml:space="preserve">the </w:t>
      </w:r>
      <w:r w:rsidR="004F79F0" w:rsidRPr="009757FB">
        <w:t>five Antarctic penguin species total</w:t>
      </w:r>
      <w:r>
        <w:t>led</w:t>
      </w:r>
      <w:r w:rsidR="004F79F0" w:rsidRPr="009757FB">
        <w:t xml:space="preserve"> 5.77 million breeding pairs nesting at 698 sites across the entire Antarctic continent. </w:t>
      </w:r>
      <w:r w:rsidR="00EF798E">
        <w:t xml:space="preserve"> </w:t>
      </w:r>
      <w:r w:rsidR="004F79F0" w:rsidRPr="009757FB">
        <w:t xml:space="preserve">Oceanites greatly appreciates the growing use of our open-sourced, publicly available data repository by the entire Antarctic community — and again, those who have not yet contributed to, or utilized MAPPPD, </w:t>
      </w:r>
      <w:r w:rsidR="00D71347" w:rsidRPr="009757FB">
        <w:t xml:space="preserve">are encouraged </w:t>
      </w:r>
      <w:r w:rsidR="004F79F0" w:rsidRPr="009757FB">
        <w:t>to do so.</w:t>
      </w:r>
      <w:r w:rsidR="00E6741E">
        <w:t xml:space="preserve"> These totals will be updated when the</w:t>
      </w:r>
      <w:r w:rsidR="00E6741E" w:rsidRPr="009757FB">
        <w:t xml:space="preserve"> next </w:t>
      </w:r>
      <w:r w:rsidR="00E6741E" w:rsidRPr="009757FB">
        <w:rPr>
          <w:i/>
        </w:rPr>
        <w:t>State of Antarctic Penguins</w:t>
      </w:r>
      <w:r w:rsidR="00E6741E" w:rsidRPr="009757FB">
        <w:t xml:space="preserve"> report is released in October 2021.</w:t>
      </w:r>
    </w:p>
    <w:p w14:paraId="5E9FF972" w14:textId="07406B0B" w:rsidR="004F79F0" w:rsidRDefault="004F79F0" w:rsidP="009757FB">
      <w:pPr>
        <w:pStyle w:val="ATSNormal"/>
      </w:pPr>
      <w:r w:rsidRPr="009757FB">
        <w:t xml:space="preserve">For </w:t>
      </w:r>
      <w:r w:rsidR="00D71347" w:rsidRPr="009757FB">
        <w:t>these</w:t>
      </w:r>
      <w:r w:rsidRPr="009757FB">
        <w:t xml:space="preserve"> reports, per the Antarctic Treaty, Antarctica is defined as </w:t>
      </w:r>
      <w:r w:rsidR="00EF798E">
        <w:t xml:space="preserve">all of the land and ice shelves south of 60°S latitude, </w:t>
      </w:r>
      <w:r w:rsidRPr="009757FB">
        <w:t xml:space="preserve">which excludes penguins nesting </w:t>
      </w:r>
      <w:r w:rsidR="00361014" w:rsidRPr="009757FB">
        <w:t>in the south Atlantic Ocean</w:t>
      </w:r>
      <w:r w:rsidRPr="009757FB">
        <w:t xml:space="preserve"> and the South Sandwich Islands. </w:t>
      </w:r>
      <w:r w:rsidR="00EF798E">
        <w:t xml:space="preserve"> </w:t>
      </w:r>
      <w:r w:rsidRPr="009757FB">
        <w:t>Also, note that in the table below, “N” refers to the number of nesting pairs.</w:t>
      </w:r>
    </w:p>
    <w:p w14:paraId="244400F8" w14:textId="77777777" w:rsidR="00EF798E" w:rsidRPr="009757FB" w:rsidRDefault="00EF798E" w:rsidP="009757FB">
      <w:pPr>
        <w:pStyle w:val="ATSNormal"/>
      </w:pPr>
    </w:p>
    <w:tbl>
      <w:tblPr>
        <w:tblW w:w="8565" w:type="dxa"/>
        <w:tblInd w:w="93" w:type="dxa"/>
        <w:tblLayout w:type="fixed"/>
        <w:tblLook w:val="04A0" w:firstRow="1" w:lastRow="0" w:firstColumn="1" w:lastColumn="0" w:noHBand="0" w:noVBand="1"/>
      </w:tblPr>
      <w:tblGrid>
        <w:gridCol w:w="3075"/>
        <w:gridCol w:w="1350"/>
        <w:gridCol w:w="1215"/>
        <w:gridCol w:w="1420"/>
        <w:gridCol w:w="1505"/>
      </w:tblGrid>
      <w:tr w:rsidR="006F5A19" w:rsidRPr="00CD0202" w14:paraId="67D1A64C" w14:textId="77777777" w:rsidTr="006F5A19">
        <w:trPr>
          <w:trHeight w:val="240"/>
        </w:trPr>
        <w:tc>
          <w:tcPr>
            <w:tcW w:w="3075" w:type="dxa"/>
            <w:tcBorders>
              <w:top w:val="nil"/>
              <w:left w:val="nil"/>
              <w:bottom w:val="nil"/>
              <w:right w:val="nil"/>
            </w:tcBorders>
            <w:shd w:val="clear" w:color="auto" w:fill="auto"/>
            <w:noWrap/>
            <w:hideMark/>
          </w:tcPr>
          <w:p w14:paraId="1424E02F" w14:textId="77777777" w:rsidR="006F5A19" w:rsidRPr="00CD0202" w:rsidRDefault="006F5A19" w:rsidP="006F5A19">
            <w:pPr>
              <w:rPr>
                <w:b/>
                <w:bCs/>
                <w:color w:val="000000"/>
                <w:szCs w:val="22"/>
                <w:u w:val="single"/>
              </w:rPr>
            </w:pPr>
            <w:proofErr w:type="gramStart"/>
            <w:r w:rsidRPr="00CD0202">
              <w:rPr>
                <w:b/>
                <w:bCs/>
                <w:color w:val="000000"/>
                <w:szCs w:val="22"/>
                <w:u w:val="single"/>
              </w:rPr>
              <w:t xml:space="preserve">ANTARCTICA </w:t>
            </w:r>
            <w:r>
              <w:rPr>
                <w:b/>
                <w:bCs/>
                <w:color w:val="000000"/>
                <w:szCs w:val="22"/>
                <w:u w:val="single"/>
              </w:rPr>
              <w:t xml:space="preserve"> </w:t>
            </w:r>
            <w:r w:rsidRPr="00CD0202">
              <w:rPr>
                <w:b/>
                <w:bCs/>
                <w:color w:val="000000"/>
                <w:szCs w:val="22"/>
                <w:u w:val="single"/>
              </w:rPr>
              <w:t>N</w:t>
            </w:r>
            <w:proofErr w:type="gramEnd"/>
            <w:r w:rsidRPr="00CD0202">
              <w:rPr>
                <w:b/>
                <w:bCs/>
                <w:color w:val="000000"/>
                <w:szCs w:val="22"/>
                <w:u w:val="single"/>
              </w:rPr>
              <w:t xml:space="preserve"> </w:t>
            </w:r>
            <w:r>
              <w:rPr>
                <w:b/>
                <w:bCs/>
                <w:color w:val="000000"/>
                <w:szCs w:val="22"/>
                <w:u w:val="single"/>
              </w:rPr>
              <w:t xml:space="preserve"> </w:t>
            </w:r>
            <w:r w:rsidRPr="00CD0202">
              <w:rPr>
                <w:b/>
                <w:bCs/>
                <w:color w:val="000000"/>
                <w:szCs w:val="22"/>
                <w:u w:val="single"/>
              </w:rPr>
              <w:t>TOTALS</w:t>
            </w:r>
          </w:p>
        </w:tc>
        <w:tc>
          <w:tcPr>
            <w:tcW w:w="1350" w:type="dxa"/>
            <w:tcBorders>
              <w:top w:val="nil"/>
              <w:left w:val="nil"/>
              <w:bottom w:val="nil"/>
              <w:right w:val="nil"/>
            </w:tcBorders>
            <w:shd w:val="clear" w:color="auto" w:fill="auto"/>
            <w:noWrap/>
            <w:hideMark/>
          </w:tcPr>
          <w:p w14:paraId="65B92E48" w14:textId="1D8AC836" w:rsidR="006F5A19" w:rsidRPr="00CD0202" w:rsidRDefault="006F5A19" w:rsidP="006F5A19">
            <w:pPr>
              <w:jc w:val="right"/>
              <w:rPr>
                <w:b/>
                <w:color w:val="000000"/>
                <w:szCs w:val="22"/>
                <w:u w:val="single"/>
              </w:rPr>
            </w:pPr>
            <w:r w:rsidRPr="00CD0202">
              <w:rPr>
                <w:b/>
                <w:color w:val="000000"/>
                <w:szCs w:val="22"/>
                <w:u w:val="single"/>
              </w:rPr>
              <w:t xml:space="preserve">N </w:t>
            </w:r>
            <w:r w:rsidR="00E6741E">
              <w:rPr>
                <w:b/>
                <w:color w:val="000000"/>
                <w:szCs w:val="22"/>
                <w:u w:val="single"/>
              </w:rPr>
              <w:t xml:space="preserve">Oct </w:t>
            </w:r>
            <w:r w:rsidRPr="00CD0202">
              <w:rPr>
                <w:b/>
                <w:color w:val="000000"/>
                <w:szCs w:val="22"/>
                <w:u w:val="single"/>
              </w:rPr>
              <w:t>2020</w:t>
            </w:r>
          </w:p>
        </w:tc>
        <w:tc>
          <w:tcPr>
            <w:tcW w:w="1215" w:type="dxa"/>
            <w:tcBorders>
              <w:top w:val="nil"/>
              <w:left w:val="nil"/>
              <w:bottom w:val="nil"/>
              <w:right w:val="nil"/>
            </w:tcBorders>
            <w:shd w:val="clear" w:color="auto" w:fill="auto"/>
            <w:noWrap/>
            <w:hideMark/>
          </w:tcPr>
          <w:p w14:paraId="0C317DBD" w14:textId="77777777" w:rsidR="006F5A19" w:rsidRPr="00CD0202" w:rsidRDefault="006F5A19" w:rsidP="006F5A19">
            <w:pPr>
              <w:jc w:val="right"/>
              <w:rPr>
                <w:b/>
                <w:color w:val="000000"/>
                <w:szCs w:val="22"/>
                <w:u w:val="single"/>
              </w:rPr>
            </w:pPr>
            <w:r w:rsidRPr="00CD0202">
              <w:rPr>
                <w:b/>
                <w:color w:val="000000"/>
                <w:szCs w:val="22"/>
                <w:u w:val="single"/>
              </w:rPr>
              <w:t>N 2019</w:t>
            </w:r>
          </w:p>
        </w:tc>
        <w:tc>
          <w:tcPr>
            <w:tcW w:w="1420" w:type="dxa"/>
            <w:tcBorders>
              <w:top w:val="nil"/>
              <w:left w:val="nil"/>
              <w:bottom w:val="nil"/>
              <w:right w:val="nil"/>
            </w:tcBorders>
            <w:shd w:val="clear" w:color="auto" w:fill="auto"/>
            <w:noWrap/>
            <w:hideMark/>
          </w:tcPr>
          <w:p w14:paraId="61B17F9E" w14:textId="77777777" w:rsidR="006F5A19" w:rsidRPr="00CD0202" w:rsidRDefault="006F5A19" w:rsidP="006F5A19">
            <w:pPr>
              <w:jc w:val="right"/>
              <w:rPr>
                <w:b/>
                <w:color w:val="000000"/>
                <w:szCs w:val="22"/>
                <w:u w:val="single"/>
              </w:rPr>
            </w:pPr>
            <w:r w:rsidRPr="00CD0202">
              <w:rPr>
                <w:b/>
                <w:color w:val="000000"/>
                <w:szCs w:val="22"/>
                <w:u w:val="single"/>
              </w:rPr>
              <w:t>N CHANGE</w:t>
            </w:r>
          </w:p>
        </w:tc>
        <w:tc>
          <w:tcPr>
            <w:tcW w:w="1505" w:type="dxa"/>
            <w:tcBorders>
              <w:top w:val="nil"/>
              <w:left w:val="nil"/>
              <w:bottom w:val="nil"/>
              <w:right w:val="nil"/>
            </w:tcBorders>
            <w:shd w:val="clear" w:color="auto" w:fill="auto"/>
            <w:noWrap/>
            <w:hideMark/>
          </w:tcPr>
          <w:p w14:paraId="7179C6EF" w14:textId="77777777" w:rsidR="006F5A19" w:rsidRPr="00CD0202" w:rsidRDefault="006F5A19" w:rsidP="006F5A19">
            <w:pPr>
              <w:jc w:val="right"/>
              <w:rPr>
                <w:b/>
                <w:color w:val="000000"/>
                <w:szCs w:val="22"/>
                <w:u w:val="single"/>
              </w:rPr>
            </w:pPr>
            <w:r w:rsidRPr="00CD0202">
              <w:rPr>
                <w:b/>
                <w:color w:val="000000"/>
                <w:szCs w:val="22"/>
                <w:u w:val="single"/>
              </w:rPr>
              <w:t>% CHANGE</w:t>
            </w:r>
          </w:p>
        </w:tc>
      </w:tr>
      <w:tr w:rsidR="006F5A19" w:rsidRPr="00CD0202" w14:paraId="2CCDEFDE" w14:textId="77777777" w:rsidTr="006F5A19">
        <w:trPr>
          <w:trHeight w:val="240"/>
        </w:trPr>
        <w:tc>
          <w:tcPr>
            <w:tcW w:w="3075" w:type="dxa"/>
            <w:tcBorders>
              <w:top w:val="nil"/>
              <w:left w:val="nil"/>
              <w:bottom w:val="nil"/>
              <w:right w:val="nil"/>
            </w:tcBorders>
            <w:shd w:val="clear" w:color="auto" w:fill="auto"/>
            <w:noWrap/>
            <w:hideMark/>
          </w:tcPr>
          <w:p w14:paraId="70E5ABF7" w14:textId="1595F628" w:rsidR="006F5A19" w:rsidRPr="00CD0202" w:rsidRDefault="006F5A19" w:rsidP="004F2D03">
            <w:pPr>
              <w:jc w:val="center"/>
              <w:rPr>
                <w:bCs/>
                <w:color w:val="000000"/>
                <w:szCs w:val="22"/>
              </w:rPr>
            </w:pPr>
            <w:r w:rsidRPr="00CD0202">
              <w:rPr>
                <w:bCs/>
                <w:color w:val="000000"/>
                <w:szCs w:val="22"/>
              </w:rPr>
              <w:t>EMPE (</w:t>
            </w:r>
            <w:r w:rsidR="004F2D03">
              <w:rPr>
                <w:bCs/>
                <w:color w:val="000000"/>
                <w:szCs w:val="22"/>
              </w:rPr>
              <w:t>Emperor</w:t>
            </w:r>
            <w:r w:rsidRPr="00CD0202">
              <w:rPr>
                <w:bCs/>
                <w:color w:val="000000"/>
                <w:szCs w:val="22"/>
              </w:rPr>
              <w:t>)</w:t>
            </w:r>
          </w:p>
        </w:tc>
        <w:tc>
          <w:tcPr>
            <w:tcW w:w="1350" w:type="dxa"/>
            <w:tcBorders>
              <w:top w:val="nil"/>
              <w:left w:val="nil"/>
              <w:bottom w:val="nil"/>
              <w:right w:val="nil"/>
            </w:tcBorders>
            <w:shd w:val="clear" w:color="auto" w:fill="auto"/>
            <w:noWrap/>
            <w:hideMark/>
          </w:tcPr>
          <w:p w14:paraId="36031453" w14:textId="77777777" w:rsidR="006F5A19" w:rsidRPr="00CD0202" w:rsidRDefault="006F5A19" w:rsidP="006F5A19">
            <w:pPr>
              <w:jc w:val="right"/>
              <w:rPr>
                <w:color w:val="000000"/>
                <w:szCs w:val="22"/>
              </w:rPr>
            </w:pPr>
            <w:r w:rsidRPr="00CD0202">
              <w:rPr>
                <w:color w:val="000000"/>
                <w:szCs w:val="22"/>
              </w:rPr>
              <w:t>238,340</w:t>
            </w:r>
          </w:p>
        </w:tc>
        <w:tc>
          <w:tcPr>
            <w:tcW w:w="1215" w:type="dxa"/>
            <w:tcBorders>
              <w:top w:val="nil"/>
              <w:left w:val="nil"/>
              <w:bottom w:val="nil"/>
              <w:right w:val="nil"/>
            </w:tcBorders>
            <w:shd w:val="clear" w:color="auto" w:fill="auto"/>
            <w:noWrap/>
            <w:hideMark/>
          </w:tcPr>
          <w:p w14:paraId="2F2F75B7" w14:textId="35111793" w:rsidR="006F5A19" w:rsidRPr="00CD0202" w:rsidRDefault="0042783D" w:rsidP="006F5A19">
            <w:pPr>
              <w:jc w:val="right"/>
              <w:rPr>
                <w:color w:val="000000"/>
                <w:szCs w:val="22"/>
              </w:rPr>
            </w:pPr>
            <w:r>
              <w:rPr>
                <w:color w:val="000000"/>
                <w:szCs w:val="22"/>
              </w:rPr>
              <w:t>238,000</w:t>
            </w:r>
          </w:p>
        </w:tc>
        <w:tc>
          <w:tcPr>
            <w:tcW w:w="1420" w:type="dxa"/>
            <w:tcBorders>
              <w:top w:val="nil"/>
              <w:left w:val="nil"/>
              <w:bottom w:val="nil"/>
              <w:right w:val="nil"/>
            </w:tcBorders>
            <w:shd w:val="clear" w:color="auto" w:fill="auto"/>
            <w:noWrap/>
            <w:hideMark/>
          </w:tcPr>
          <w:p w14:paraId="4AC3C4D9" w14:textId="6BC24156" w:rsidR="006F5A19" w:rsidRPr="00CD0202" w:rsidRDefault="0042783D" w:rsidP="006F5A19">
            <w:pPr>
              <w:jc w:val="right"/>
              <w:rPr>
                <w:color w:val="000000"/>
                <w:szCs w:val="22"/>
              </w:rPr>
            </w:pPr>
            <w:r>
              <w:rPr>
                <w:color w:val="000000"/>
                <w:szCs w:val="22"/>
              </w:rPr>
              <w:t>340</w:t>
            </w:r>
          </w:p>
        </w:tc>
        <w:tc>
          <w:tcPr>
            <w:tcW w:w="1505" w:type="dxa"/>
            <w:tcBorders>
              <w:top w:val="nil"/>
              <w:left w:val="nil"/>
              <w:bottom w:val="nil"/>
              <w:right w:val="nil"/>
            </w:tcBorders>
            <w:shd w:val="clear" w:color="auto" w:fill="auto"/>
            <w:noWrap/>
            <w:hideMark/>
          </w:tcPr>
          <w:p w14:paraId="53638ABA" w14:textId="16515F67" w:rsidR="006F5A19" w:rsidRPr="00CD0202" w:rsidRDefault="0042783D" w:rsidP="006F5A19">
            <w:pPr>
              <w:jc w:val="right"/>
              <w:rPr>
                <w:color w:val="000000"/>
                <w:szCs w:val="22"/>
              </w:rPr>
            </w:pPr>
            <w:r>
              <w:rPr>
                <w:color w:val="000000"/>
                <w:szCs w:val="22"/>
              </w:rPr>
              <w:t>0.14</w:t>
            </w:r>
            <w:r w:rsidR="006F5A19" w:rsidRPr="00CD0202">
              <w:rPr>
                <w:color w:val="000000"/>
                <w:szCs w:val="22"/>
              </w:rPr>
              <w:t>%</w:t>
            </w:r>
          </w:p>
        </w:tc>
      </w:tr>
      <w:tr w:rsidR="006F5A19" w:rsidRPr="00CD0202" w14:paraId="3F795012" w14:textId="77777777" w:rsidTr="006F5A19">
        <w:trPr>
          <w:trHeight w:val="240"/>
        </w:trPr>
        <w:tc>
          <w:tcPr>
            <w:tcW w:w="3075" w:type="dxa"/>
            <w:tcBorders>
              <w:top w:val="nil"/>
              <w:left w:val="nil"/>
              <w:bottom w:val="nil"/>
              <w:right w:val="nil"/>
            </w:tcBorders>
            <w:shd w:val="clear" w:color="auto" w:fill="auto"/>
            <w:noWrap/>
            <w:hideMark/>
          </w:tcPr>
          <w:p w14:paraId="7377D982" w14:textId="77777777" w:rsidR="006F5A19" w:rsidRPr="00CD0202" w:rsidRDefault="006F5A19" w:rsidP="006F5A19">
            <w:pPr>
              <w:jc w:val="center"/>
              <w:rPr>
                <w:bCs/>
                <w:color w:val="000000"/>
                <w:szCs w:val="22"/>
              </w:rPr>
            </w:pPr>
            <w:r w:rsidRPr="00CD0202">
              <w:rPr>
                <w:bCs/>
                <w:color w:val="000000"/>
                <w:szCs w:val="22"/>
              </w:rPr>
              <w:t>ADPE (</w:t>
            </w:r>
            <w:proofErr w:type="spellStart"/>
            <w:r w:rsidRPr="00CD0202">
              <w:rPr>
                <w:bCs/>
                <w:color w:val="000000"/>
                <w:szCs w:val="22"/>
              </w:rPr>
              <w:t>Adélie</w:t>
            </w:r>
            <w:proofErr w:type="spellEnd"/>
            <w:r w:rsidRPr="00CD0202">
              <w:rPr>
                <w:bCs/>
                <w:color w:val="000000"/>
                <w:szCs w:val="22"/>
              </w:rPr>
              <w:t>)</w:t>
            </w:r>
          </w:p>
        </w:tc>
        <w:tc>
          <w:tcPr>
            <w:tcW w:w="1350" w:type="dxa"/>
            <w:tcBorders>
              <w:top w:val="nil"/>
              <w:left w:val="nil"/>
              <w:bottom w:val="nil"/>
              <w:right w:val="nil"/>
            </w:tcBorders>
            <w:shd w:val="clear" w:color="auto" w:fill="auto"/>
            <w:noWrap/>
            <w:hideMark/>
          </w:tcPr>
          <w:p w14:paraId="57E04377" w14:textId="77777777" w:rsidR="006F5A19" w:rsidRPr="00CD0202" w:rsidRDefault="006F5A19" w:rsidP="006F5A19">
            <w:pPr>
              <w:jc w:val="right"/>
              <w:rPr>
                <w:color w:val="000000"/>
                <w:szCs w:val="22"/>
              </w:rPr>
            </w:pPr>
            <w:r w:rsidRPr="00CD0202">
              <w:rPr>
                <w:color w:val="000000"/>
                <w:szCs w:val="22"/>
              </w:rPr>
              <w:t>4,001,631</w:t>
            </w:r>
          </w:p>
        </w:tc>
        <w:tc>
          <w:tcPr>
            <w:tcW w:w="1215" w:type="dxa"/>
            <w:tcBorders>
              <w:top w:val="nil"/>
              <w:left w:val="nil"/>
              <w:bottom w:val="nil"/>
              <w:right w:val="nil"/>
            </w:tcBorders>
            <w:shd w:val="clear" w:color="auto" w:fill="auto"/>
            <w:noWrap/>
            <w:hideMark/>
          </w:tcPr>
          <w:p w14:paraId="51891428" w14:textId="77777777" w:rsidR="006F5A19" w:rsidRPr="00CD0202" w:rsidRDefault="006F5A19" w:rsidP="006F5A19">
            <w:pPr>
              <w:jc w:val="right"/>
              <w:rPr>
                <w:color w:val="000000"/>
                <w:szCs w:val="22"/>
              </w:rPr>
            </w:pPr>
            <w:r w:rsidRPr="00CD0202">
              <w:rPr>
                <w:color w:val="000000"/>
                <w:szCs w:val="22"/>
              </w:rPr>
              <w:t>4,211,530</w:t>
            </w:r>
          </w:p>
        </w:tc>
        <w:tc>
          <w:tcPr>
            <w:tcW w:w="1420" w:type="dxa"/>
            <w:tcBorders>
              <w:top w:val="nil"/>
              <w:left w:val="nil"/>
              <w:bottom w:val="nil"/>
              <w:right w:val="nil"/>
            </w:tcBorders>
            <w:shd w:val="clear" w:color="auto" w:fill="auto"/>
            <w:noWrap/>
            <w:hideMark/>
          </w:tcPr>
          <w:p w14:paraId="12D719E7" w14:textId="77777777" w:rsidR="006F5A19" w:rsidRPr="00CD0202" w:rsidRDefault="006F5A19" w:rsidP="006F5A19">
            <w:pPr>
              <w:jc w:val="right"/>
              <w:rPr>
                <w:color w:val="000000"/>
                <w:szCs w:val="22"/>
              </w:rPr>
            </w:pPr>
            <w:r w:rsidRPr="00CD0202">
              <w:rPr>
                <w:color w:val="000000"/>
                <w:szCs w:val="22"/>
              </w:rPr>
              <w:t>-209,899</w:t>
            </w:r>
          </w:p>
        </w:tc>
        <w:tc>
          <w:tcPr>
            <w:tcW w:w="1505" w:type="dxa"/>
            <w:tcBorders>
              <w:top w:val="nil"/>
              <w:left w:val="nil"/>
              <w:bottom w:val="nil"/>
              <w:right w:val="nil"/>
            </w:tcBorders>
            <w:shd w:val="clear" w:color="auto" w:fill="auto"/>
            <w:noWrap/>
            <w:hideMark/>
          </w:tcPr>
          <w:p w14:paraId="61095E73" w14:textId="77777777" w:rsidR="006F5A19" w:rsidRPr="00CD0202" w:rsidRDefault="006F5A19" w:rsidP="006F5A19">
            <w:pPr>
              <w:jc w:val="right"/>
              <w:rPr>
                <w:color w:val="000000"/>
                <w:szCs w:val="22"/>
              </w:rPr>
            </w:pPr>
            <w:r w:rsidRPr="00CD0202">
              <w:rPr>
                <w:color w:val="000000"/>
                <w:szCs w:val="22"/>
              </w:rPr>
              <w:t>-4.98%</w:t>
            </w:r>
          </w:p>
        </w:tc>
      </w:tr>
      <w:tr w:rsidR="006F5A19" w:rsidRPr="00CD0202" w14:paraId="015124D9" w14:textId="77777777" w:rsidTr="006F5A19">
        <w:trPr>
          <w:trHeight w:val="240"/>
        </w:trPr>
        <w:tc>
          <w:tcPr>
            <w:tcW w:w="3075" w:type="dxa"/>
            <w:tcBorders>
              <w:top w:val="nil"/>
              <w:left w:val="nil"/>
              <w:bottom w:val="nil"/>
              <w:right w:val="nil"/>
            </w:tcBorders>
            <w:shd w:val="clear" w:color="auto" w:fill="auto"/>
            <w:noWrap/>
            <w:hideMark/>
          </w:tcPr>
          <w:p w14:paraId="2C01AAC4" w14:textId="77777777" w:rsidR="006F5A19" w:rsidRPr="00CD0202" w:rsidRDefault="006F5A19" w:rsidP="006F5A19">
            <w:pPr>
              <w:jc w:val="center"/>
              <w:rPr>
                <w:bCs/>
                <w:color w:val="000000"/>
                <w:szCs w:val="22"/>
              </w:rPr>
            </w:pPr>
            <w:r w:rsidRPr="00CD0202">
              <w:rPr>
                <w:bCs/>
                <w:color w:val="000000"/>
                <w:szCs w:val="22"/>
              </w:rPr>
              <w:t>CHPE (Chinstrap)</w:t>
            </w:r>
          </w:p>
        </w:tc>
        <w:tc>
          <w:tcPr>
            <w:tcW w:w="1350" w:type="dxa"/>
            <w:tcBorders>
              <w:top w:val="nil"/>
              <w:left w:val="nil"/>
              <w:bottom w:val="nil"/>
              <w:right w:val="nil"/>
            </w:tcBorders>
            <w:shd w:val="clear" w:color="auto" w:fill="auto"/>
            <w:noWrap/>
            <w:hideMark/>
          </w:tcPr>
          <w:p w14:paraId="5700EE14" w14:textId="77777777" w:rsidR="006F5A19" w:rsidRPr="00CD0202" w:rsidRDefault="006F5A19" w:rsidP="006F5A19">
            <w:pPr>
              <w:jc w:val="right"/>
              <w:rPr>
                <w:color w:val="000000"/>
                <w:szCs w:val="22"/>
              </w:rPr>
            </w:pPr>
            <w:r w:rsidRPr="00CD0202">
              <w:rPr>
                <w:color w:val="000000"/>
                <w:szCs w:val="22"/>
              </w:rPr>
              <w:t>1,395,774</w:t>
            </w:r>
          </w:p>
        </w:tc>
        <w:tc>
          <w:tcPr>
            <w:tcW w:w="1215" w:type="dxa"/>
            <w:tcBorders>
              <w:top w:val="nil"/>
              <w:left w:val="nil"/>
              <w:bottom w:val="nil"/>
              <w:right w:val="nil"/>
            </w:tcBorders>
            <w:shd w:val="clear" w:color="auto" w:fill="auto"/>
            <w:noWrap/>
            <w:hideMark/>
          </w:tcPr>
          <w:p w14:paraId="59BA5D0A" w14:textId="77777777" w:rsidR="006F5A19" w:rsidRPr="00CD0202" w:rsidRDefault="006F5A19" w:rsidP="006F5A19">
            <w:pPr>
              <w:jc w:val="right"/>
              <w:rPr>
                <w:color w:val="000000"/>
                <w:szCs w:val="22"/>
              </w:rPr>
            </w:pPr>
            <w:r w:rsidRPr="00CD0202">
              <w:rPr>
                <w:color w:val="000000"/>
                <w:szCs w:val="22"/>
              </w:rPr>
              <w:t>1,563,119</w:t>
            </w:r>
          </w:p>
        </w:tc>
        <w:tc>
          <w:tcPr>
            <w:tcW w:w="1420" w:type="dxa"/>
            <w:tcBorders>
              <w:top w:val="nil"/>
              <w:left w:val="nil"/>
              <w:bottom w:val="nil"/>
              <w:right w:val="nil"/>
            </w:tcBorders>
            <w:shd w:val="clear" w:color="auto" w:fill="auto"/>
            <w:noWrap/>
            <w:hideMark/>
          </w:tcPr>
          <w:p w14:paraId="5D90386D" w14:textId="77777777" w:rsidR="006F5A19" w:rsidRPr="00CD0202" w:rsidRDefault="006F5A19" w:rsidP="006F5A19">
            <w:pPr>
              <w:jc w:val="right"/>
              <w:rPr>
                <w:color w:val="000000"/>
                <w:szCs w:val="22"/>
              </w:rPr>
            </w:pPr>
            <w:r w:rsidRPr="00CD0202">
              <w:rPr>
                <w:color w:val="000000"/>
                <w:szCs w:val="22"/>
              </w:rPr>
              <w:t>-167,345</w:t>
            </w:r>
          </w:p>
        </w:tc>
        <w:tc>
          <w:tcPr>
            <w:tcW w:w="1505" w:type="dxa"/>
            <w:tcBorders>
              <w:top w:val="nil"/>
              <w:left w:val="nil"/>
              <w:bottom w:val="nil"/>
              <w:right w:val="nil"/>
            </w:tcBorders>
            <w:shd w:val="clear" w:color="auto" w:fill="auto"/>
            <w:noWrap/>
            <w:hideMark/>
          </w:tcPr>
          <w:p w14:paraId="00D187BE" w14:textId="77777777" w:rsidR="006F5A19" w:rsidRPr="00CD0202" w:rsidRDefault="006F5A19" w:rsidP="006F5A19">
            <w:pPr>
              <w:jc w:val="right"/>
              <w:rPr>
                <w:color w:val="000000"/>
                <w:szCs w:val="22"/>
              </w:rPr>
            </w:pPr>
            <w:r w:rsidRPr="00CD0202">
              <w:rPr>
                <w:color w:val="000000"/>
                <w:szCs w:val="22"/>
              </w:rPr>
              <w:t>-10.71%</w:t>
            </w:r>
          </w:p>
        </w:tc>
      </w:tr>
      <w:tr w:rsidR="006F5A19" w:rsidRPr="00CD0202" w14:paraId="243AB720" w14:textId="77777777" w:rsidTr="006F5A19">
        <w:trPr>
          <w:trHeight w:val="240"/>
        </w:trPr>
        <w:tc>
          <w:tcPr>
            <w:tcW w:w="3075" w:type="dxa"/>
            <w:tcBorders>
              <w:top w:val="nil"/>
              <w:left w:val="nil"/>
              <w:bottom w:val="nil"/>
              <w:right w:val="nil"/>
            </w:tcBorders>
            <w:shd w:val="clear" w:color="auto" w:fill="auto"/>
            <w:noWrap/>
            <w:hideMark/>
          </w:tcPr>
          <w:p w14:paraId="20FF3B61" w14:textId="77777777" w:rsidR="006F5A19" w:rsidRPr="00CD0202" w:rsidRDefault="006F5A19" w:rsidP="006F5A19">
            <w:pPr>
              <w:jc w:val="center"/>
              <w:rPr>
                <w:bCs/>
                <w:color w:val="000000"/>
                <w:szCs w:val="22"/>
              </w:rPr>
            </w:pPr>
            <w:r w:rsidRPr="00CD0202">
              <w:rPr>
                <w:bCs/>
                <w:color w:val="000000"/>
                <w:szCs w:val="22"/>
              </w:rPr>
              <w:t>GEPE (Gentoo)</w:t>
            </w:r>
          </w:p>
        </w:tc>
        <w:tc>
          <w:tcPr>
            <w:tcW w:w="1350" w:type="dxa"/>
            <w:tcBorders>
              <w:top w:val="nil"/>
              <w:left w:val="nil"/>
              <w:bottom w:val="nil"/>
              <w:right w:val="nil"/>
            </w:tcBorders>
            <w:shd w:val="clear" w:color="auto" w:fill="auto"/>
            <w:noWrap/>
            <w:hideMark/>
          </w:tcPr>
          <w:p w14:paraId="7A95AD18" w14:textId="77777777" w:rsidR="006F5A19" w:rsidRPr="00CD0202" w:rsidRDefault="006F5A19" w:rsidP="006F5A19">
            <w:pPr>
              <w:jc w:val="right"/>
              <w:rPr>
                <w:color w:val="000000"/>
                <w:szCs w:val="22"/>
              </w:rPr>
            </w:pPr>
            <w:r w:rsidRPr="00CD0202">
              <w:rPr>
                <w:color w:val="000000"/>
                <w:szCs w:val="22"/>
              </w:rPr>
              <w:t>122,549</w:t>
            </w:r>
          </w:p>
        </w:tc>
        <w:tc>
          <w:tcPr>
            <w:tcW w:w="1215" w:type="dxa"/>
            <w:tcBorders>
              <w:top w:val="nil"/>
              <w:left w:val="nil"/>
              <w:bottom w:val="nil"/>
              <w:right w:val="nil"/>
            </w:tcBorders>
            <w:shd w:val="clear" w:color="auto" w:fill="auto"/>
            <w:noWrap/>
            <w:hideMark/>
          </w:tcPr>
          <w:p w14:paraId="5B1E73C1" w14:textId="77777777" w:rsidR="006F5A19" w:rsidRPr="00CD0202" w:rsidRDefault="006F5A19" w:rsidP="006F5A19">
            <w:pPr>
              <w:jc w:val="right"/>
              <w:rPr>
                <w:color w:val="000000"/>
                <w:szCs w:val="22"/>
              </w:rPr>
            </w:pPr>
            <w:r w:rsidRPr="00CD0202">
              <w:rPr>
                <w:color w:val="000000"/>
                <w:szCs w:val="22"/>
              </w:rPr>
              <w:t>116,083</w:t>
            </w:r>
          </w:p>
        </w:tc>
        <w:tc>
          <w:tcPr>
            <w:tcW w:w="1420" w:type="dxa"/>
            <w:tcBorders>
              <w:top w:val="nil"/>
              <w:left w:val="nil"/>
              <w:bottom w:val="nil"/>
              <w:right w:val="nil"/>
            </w:tcBorders>
            <w:shd w:val="clear" w:color="auto" w:fill="auto"/>
            <w:noWrap/>
            <w:hideMark/>
          </w:tcPr>
          <w:p w14:paraId="3A4BA947" w14:textId="77777777" w:rsidR="006F5A19" w:rsidRPr="00CD0202" w:rsidRDefault="006F5A19" w:rsidP="006F5A19">
            <w:pPr>
              <w:jc w:val="right"/>
              <w:rPr>
                <w:color w:val="000000"/>
                <w:szCs w:val="22"/>
              </w:rPr>
            </w:pPr>
            <w:r w:rsidRPr="00CD0202">
              <w:rPr>
                <w:color w:val="000000"/>
                <w:szCs w:val="22"/>
              </w:rPr>
              <w:t>6,466</w:t>
            </w:r>
          </w:p>
        </w:tc>
        <w:tc>
          <w:tcPr>
            <w:tcW w:w="1505" w:type="dxa"/>
            <w:tcBorders>
              <w:top w:val="nil"/>
              <w:left w:val="nil"/>
              <w:bottom w:val="nil"/>
              <w:right w:val="nil"/>
            </w:tcBorders>
            <w:shd w:val="clear" w:color="auto" w:fill="auto"/>
            <w:noWrap/>
            <w:hideMark/>
          </w:tcPr>
          <w:p w14:paraId="03A9CD6E" w14:textId="77777777" w:rsidR="006F5A19" w:rsidRPr="00CD0202" w:rsidRDefault="006F5A19" w:rsidP="006F5A19">
            <w:pPr>
              <w:jc w:val="right"/>
              <w:rPr>
                <w:color w:val="000000"/>
                <w:szCs w:val="22"/>
              </w:rPr>
            </w:pPr>
            <w:r w:rsidRPr="00CD0202">
              <w:rPr>
                <w:color w:val="000000"/>
                <w:szCs w:val="22"/>
              </w:rPr>
              <w:t>+5.57%</w:t>
            </w:r>
          </w:p>
        </w:tc>
      </w:tr>
      <w:tr w:rsidR="006F5A19" w:rsidRPr="00CD0202" w14:paraId="5FC7E9A8" w14:textId="77777777" w:rsidTr="006F5A19">
        <w:trPr>
          <w:trHeight w:val="240"/>
        </w:trPr>
        <w:tc>
          <w:tcPr>
            <w:tcW w:w="3075" w:type="dxa"/>
            <w:tcBorders>
              <w:top w:val="nil"/>
              <w:left w:val="nil"/>
              <w:bottom w:val="nil"/>
              <w:right w:val="nil"/>
            </w:tcBorders>
            <w:shd w:val="clear" w:color="auto" w:fill="auto"/>
            <w:noWrap/>
            <w:hideMark/>
          </w:tcPr>
          <w:p w14:paraId="7B900902" w14:textId="77777777" w:rsidR="006F5A19" w:rsidRPr="00CD0202" w:rsidRDefault="006F5A19" w:rsidP="006F5A19">
            <w:pPr>
              <w:jc w:val="center"/>
              <w:rPr>
                <w:bCs/>
                <w:color w:val="000000"/>
                <w:szCs w:val="22"/>
              </w:rPr>
            </w:pPr>
            <w:r w:rsidRPr="00CD0202">
              <w:rPr>
                <w:bCs/>
                <w:color w:val="000000"/>
                <w:szCs w:val="22"/>
              </w:rPr>
              <w:t>MCPE (Macaroni)</w:t>
            </w:r>
          </w:p>
        </w:tc>
        <w:tc>
          <w:tcPr>
            <w:tcW w:w="1350" w:type="dxa"/>
            <w:tcBorders>
              <w:top w:val="nil"/>
              <w:left w:val="nil"/>
              <w:bottom w:val="nil"/>
              <w:right w:val="nil"/>
            </w:tcBorders>
            <w:shd w:val="clear" w:color="auto" w:fill="auto"/>
            <w:noWrap/>
            <w:hideMark/>
          </w:tcPr>
          <w:p w14:paraId="5FB68F61" w14:textId="194445D1" w:rsidR="006F5A19" w:rsidRPr="00CD0202" w:rsidRDefault="006F5A19" w:rsidP="000E0BD3">
            <w:pPr>
              <w:jc w:val="right"/>
              <w:rPr>
                <w:color w:val="000000"/>
                <w:szCs w:val="22"/>
              </w:rPr>
            </w:pPr>
            <w:r w:rsidRPr="00CD0202">
              <w:rPr>
                <w:color w:val="000000"/>
                <w:szCs w:val="22"/>
              </w:rPr>
              <w:t>13,249</w:t>
            </w:r>
          </w:p>
        </w:tc>
        <w:tc>
          <w:tcPr>
            <w:tcW w:w="1215" w:type="dxa"/>
            <w:tcBorders>
              <w:top w:val="nil"/>
              <w:left w:val="nil"/>
              <w:bottom w:val="nil"/>
              <w:right w:val="nil"/>
            </w:tcBorders>
            <w:shd w:val="clear" w:color="auto" w:fill="auto"/>
            <w:noWrap/>
            <w:hideMark/>
          </w:tcPr>
          <w:p w14:paraId="79A76D9A" w14:textId="77777777" w:rsidR="006F5A19" w:rsidRPr="00CD0202" w:rsidRDefault="006F5A19" w:rsidP="006F5A19">
            <w:pPr>
              <w:jc w:val="right"/>
              <w:rPr>
                <w:color w:val="000000"/>
                <w:szCs w:val="22"/>
              </w:rPr>
            </w:pPr>
            <w:r w:rsidRPr="00CD0202">
              <w:rPr>
                <w:color w:val="000000"/>
                <w:szCs w:val="22"/>
              </w:rPr>
              <w:t>13,249</w:t>
            </w:r>
          </w:p>
        </w:tc>
        <w:tc>
          <w:tcPr>
            <w:tcW w:w="1420" w:type="dxa"/>
            <w:tcBorders>
              <w:top w:val="nil"/>
              <w:left w:val="nil"/>
              <w:bottom w:val="nil"/>
              <w:right w:val="nil"/>
            </w:tcBorders>
            <w:shd w:val="clear" w:color="auto" w:fill="auto"/>
            <w:noWrap/>
            <w:hideMark/>
          </w:tcPr>
          <w:p w14:paraId="2724A655" w14:textId="4C0BF2A4" w:rsidR="006F5A19" w:rsidRPr="00CD0202" w:rsidRDefault="006F5A19" w:rsidP="006F5A19">
            <w:pPr>
              <w:jc w:val="right"/>
              <w:rPr>
                <w:color w:val="000000"/>
                <w:szCs w:val="22"/>
              </w:rPr>
            </w:pPr>
            <w:r w:rsidRPr="00CD0202">
              <w:rPr>
                <w:color w:val="000000"/>
                <w:szCs w:val="22"/>
              </w:rPr>
              <w:t>0</w:t>
            </w:r>
            <w:r w:rsidR="000E0BD3">
              <w:rPr>
                <w:color w:val="000000"/>
                <w:szCs w:val="22"/>
              </w:rPr>
              <w:t xml:space="preserve"> </w:t>
            </w:r>
            <w:r w:rsidR="000E0BD3">
              <w:rPr>
                <w:rStyle w:val="Refdenotaalpie"/>
                <w:color w:val="000000"/>
                <w:szCs w:val="22"/>
              </w:rPr>
              <w:footnoteReference w:id="2"/>
            </w:r>
          </w:p>
        </w:tc>
        <w:tc>
          <w:tcPr>
            <w:tcW w:w="1505" w:type="dxa"/>
            <w:tcBorders>
              <w:top w:val="nil"/>
              <w:left w:val="nil"/>
              <w:bottom w:val="nil"/>
              <w:right w:val="nil"/>
            </w:tcBorders>
            <w:shd w:val="clear" w:color="auto" w:fill="auto"/>
            <w:noWrap/>
            <w:hideMark/>
          </w:tcPr>
          <w:p w14:paraId="440DC83F" w14:textId="77777777" w:rsidR="006F5A19" w:rsidRPr="00CD0202" w:rsidRDefault="006F5A19" w:rsidP="006F5A19">
            <w:pPr>
              <w:jc w:val="right"/>
              <w:rPr>
                <w:color w:val="000000"/>
                <w:szCs w:val="22"/>
              </w:rPr>
            </w:pPr>
            <w:r w:rsidRPr="00CD0202">
              <w:rPr>
                <w:color w:val="000000"/>
                <w:szCs w:val="22"/>
              </w:rPr>
              <w:t>0.00%</w:t>
            </w:r>
          </w:p>
        </w:tc>
      </w:tr>
      <w:tr w:rsidR="006F5A19" w:rsidRPr="00CD0202" w14:paraId="216409B9" w14:textId="77777777" w:rsidTr="006F5A19">
        <w:trPr>
          <w:trHeight w:val="240"/>
        </w:trPr>
        <w:tc>
          <w:tcPr>
            <w:tcW w:w="3075" w:type="dxa"/>
            <w:tcBorders>
              <w:top w:val="nil"/>
              <w:left w:val="nil"/>
              <w:bottom w:val="nil"/>
              <w:right w:val="nil"/>
            </w:tcBorders>
            <w:shd w:val="clear" w:color="auto" w:fill="auto"/>
            <w:noWrap/>
            <w:hideMark/>
          </w:tcPr>
          <w:p w14:paraId="135BCAE5" w14:textId="77777777" w:rsidR="006F5A19" w:rsidRPr="00CD0202" w:rsidRDefault="006F5A19" w:rsidP="006F5A19">
            <w:pPr>
              <w:rPr>
                <w:b/>
                <w:bCs/>
                <w:color w:val="000000"/>
                <w:szCs w:val="22"/>
              </w:rPr>
            </w:pPr>
          </w:p>
        </w:tc>
        <w:tc>
          <w:tcPr>
            <w:tcW w:w="1350" w:type="dxa"/>
            <w:tcBorders>
              <w:top w:val="nil"/>
              <w:left w:val="nil"/>
              <w:bottom w:val="nil"/>
              <w:right w:val="nil"/>
            </w:tcBorders>
            <w:shd w:val="clear" w:color="auto" w:fill="auto"/>
            <w:noWrap/>
            <w:hideMark/>
          </w:tcPr>
          <w:p w14:paraId="43836625" w14:textId="77777777" w:rsidR="006F5A19" w:rsidRPr="00CD0202" w:rsidRDefault="006F5A19" w:rsidP="006F5A19">
            <w:pPr>
              <w:jc w:val="right"/>
              <w:rPr>
                <w:color w:val="000000"/>
                <w:szCs w:val="22"/>
              </w:rPr>
            </w:pPr>
          </w:p>
        </w:tc>
        <w:tc>
          <w:tcPr>
            <w:tcW w:w="1215" w:type="dxa"/>
            <w:tcBorders>
              <w:top w:val="nil"/>
              <w:left w:val="nil"/>
              <w:bottom w:val="nil"/>
              <w:right w:val="nil"/>
            </w:tcBorders>
            <w:shd w:val="clear" w:color="auto" w:fill="auto"/>
            <w:noWrap/>
            <w:hideMark/>
          </w:tcPr>
          <w:p w14:paraId="22F260B3" w14:textId="77777777" w:rsidR="006F5A19" w:rsidRPr="00CD0202" w:rsidRDefault="006F5A19" w:rsidP="006F5A19">
            <w:pPr>
              <w:jc w:val="right"/>
              <w:rPr>
                <w:color w:val="000000"/>
                <w:szCs w:val="22"/>
              </w:rPr>
            </w:pPr>
          </w:p>
        </w:tc>
        <w:tc>
          <w:tcPr>
            <w:tcW w:w="1420" w:type="dxa"/>
            <w:tcBorders>
              <w:top w:val="nil"/>
              <w:left w:val="nil"/>
              <w:bottom w:val="nil"/>
              <w:right w:val="nil"/>
            </w:tcBorders>
            <w:shd w:val="clear" w:color="auto" w:fill="auto"/>
            <w:noWrap/>
            <w:hideMark/>
          </w:tcPr>
          <w:p w14:paraId="477482E7" w14:textId="77777777" w:rsidR="006F5A19" w:rsidRPr="00CD0202" w:rsidRDefault="006F5A19" w:rsidP="006F5A19">
            <w:pPr>
              <w:jc w:val="right"/>
              <w:rPr>
                <w:color w:val="000000"/>
                <w:szCs w:val="22"/>
              </w:rPr>
            </w:pPr>
          </w:p>
        </w:tc>
        <w:tc>
          <w:tcPr>
            <w:tcW w:w="1505" w:type="dxa"/>
            <w:tcBorders>
              <w:top w:val="nil"/>
              <w:left w:val="nil"/>
              <w:bottom w:val="nil"/>
              <w:right w:val="nil"/>
            </w:tcBorders>
            <w:shd w:val="clear" w:color="auto" w:fill="auto"/>
            <w:noWrap/>
            <w:hideMark/>
          </w:tcPr>
          <w:p w14:paraId="5BCEA385" w14:textId="77777777" w:rsidR="006F5A19" w:rsidRPr="00CD0202" w:rsidRDefault="006F5A19" w:rsidP="006F5A19">
            <w:pPr>
              <w:jc w:val="right"/>
              <w:rPr>
                <w:color w:val="000000"/>
                <w:szCs w:val="22"/>
              </w:rPr>
            </w:pPr>
          </w:p>
        </w:tc>
      </w:tr>
      <w:tr w:rsidR="006F5A19" w:rsidRPr="00CD0202" w14:paraId="681D4901" w14:textId="77777777" w:rsidTr="006F5A19">
        <w:trPr>
          <w:trHeight w:val="240"/>
        </w:trPr>
        <w:tc>
          <w:tcPr>
            <w:tcW w:w="3075" w:type="dxa"/>
            <w:tcBorders>
              <w:top w:val="nil"/>
              <w:left w:val="nil"/>
              <w:bottom w:val="nil"/>
              <w:right w:val="nil"/>
            </w:tcBorders>
            <w:shd w:val="clear" w:color="auto" w:fill="auto"/>
            <w:noWrap/>
            <w:hideMark/>
          </w:tcPr>
          <w:p w14:paraId="15D5C0F9" w14:textId="77777777" w:rsidR="006F5A19" w:rsidRPr="00CD0202" w:rsidRDefault="006F5A19" w:rsidP="006F5A19">
            <w:pPr>
              <w:jc w:val="center"/>
              <w:rPr>
                <w:b/>
                <w:bCs/>
                <w:color w:val="000000"/>
                <w:szCs w:val="22"/>
              </w:rPr>
            </w:pPr>
            <w:r w:rsidRPr="00CD0202">
              <w:rPr>
                <w:b/>
                <w:bCs/>
                <w:color w:val="000000"/>
                <w:szCs w:val="22"/>
              </w:rPr>
              <w:t>TOTAL</w:t>
            </w:r>
          </w:p>
        </w:tc>
        <w:tc>
          <w:tcPr>
            <w:tcW w:w="1350" w:type="dxa"/>
            <w:tcBorders>
              <w:top w:val="nil"/>
              <w:left w:val="nil"/>
              <w:bottom w:val="nil"/>
              <w:right w:val="nil"/>
            </w:tcBorders>
            <w:shd w:val="clear" w:color="auto" w:fill="auto"/>
            <w:noWrap/>
            <w:hideMark/>
          </w:tcPr>
          <w:p w14:paraId="4458BDDD" w14:textId="77777777" w:rsidR="006F5A19" w:rsidRPr="00CD0202" w:rsidRDefault="006F5A19" w:rsidP="006F5A19">
            <w:pPr>
              <w:jc w:val="right"/>
              <w:rPr>
                <w:color w:val="000000"/>
                <w:szCs w:val="22"/>
              </w:rPr>
            </w:pPr>
            <w:r w:rsidRPr="00CD0202">
              <w:rPr>
                <w:color w:val="000000"/>
                <w:szCs w:val="22"/>
              </w:rPr>
              <w:t>5,771,543</w:t>
            </w:r>
          </w:p>
        </w:tc>
        <w:tc>
          <w:tcPr>
            <w:tcW w:w="1215" w:type="dxa"/>
            <w:tcBorders>
              <w:top w:val="nil"/>
              <w:left w:val="nil"/>
              <w:bottom w:val="nil"/>
              <w:right w:val="nil"/>
            </w:tcBorders>
            <w:shd w:val="clear" w:color="auto" w:fill="auto"/>
            <w:noWrap/>
            <w:hideMark/>
          </w:tcPr>
          <w:p w14:paraId="1B78A3F9" w14:textId="4AC5C045" w:rsidR="006F5A19" w:rsidRPr="00CD0202" w:rsidRDefault="0042783D" w:rsidP="006F5A19">
            <w:pPr>
              <w:jc w:val="right"/>
              <w:rPr>
                <w:color w:val="000000"/>
                <w:szCs w:val="22"/>
              </w:rPr>
            </w:pPr>
            <w:r>
              <w:rPr>
                <w:color w:val="000000"/>
                <w:szCs w:val="22"/>
              </w:rPr>
              <w:t>6,141,981</w:t>
            </w:r>
          </w:p>
        </w:tc>
        <w:tc>
          <w:tcPr>
            <w:tcW w:w="1420" w:type="dxa"/>
            <w:tcBorders>
              <w:top w:val="nil"/>
              <w:left w:val="nil"/>
              <w:bottom w:val="nil"/>
              <w:right w:val="nil"/>
            </w:tcBorders>
            <w:shd w:val="clear" w:color="auto" w:fill="auto"/>
            <w:noWrap/>
            <w:hideMark/>
          </w:tcPr>
          <w:p w14:paraId="7E375561" w14:textId="1F6DE658" w:rsidR="006F5A19" w:rsidRPr="00CD0202" w:rsidRDefault="006F5A19" w:rsidP="0042783D">
            <w:pPr>
              <w:jc w:val="right"/>
              <w:rPr>
                <w:color w:val="000000"/>
                <w:szCs w:val="22"/>
              </w:rPr>
            </w:pPr>
            <w:r w:rsidRPr="00CD0202">
              <w:rPr>
                <w:color w:val="000000"/>
                <w:szCs w:val="22"/>
              </w:rPr>
              <w:t>-</w:t>
            </w:r>
            <w:r w:rsidR="00E6741E">
              <w:rPr>
                <w:color w:val="000000"/>
                <w:szCs w:val="22"/>
              </w:rPr>
              <w:t>370,43</w:t>
            </w:r>
            <w:r w:rsidR="0042783D">
              <w:rPr>
                <w:color w:val="000000"/>
                <w:szCs w:val="22"/>
              </w:rPr>
              <w:t>8</w:t>
            </w:r>
          </w:p>
        </w:tc>
        <w:tc>
          <w:tcPr>
            <w:tcW w:w="1505" w:type="dxa"/>
            <w:tcBorders>
              <w:top w:val="nil"/>
              <w:left w:val="nil"/>
              <w:bottom w:val="nil"/>
              <w:right w:val="nil"/>
            </w:tcBorders>
            <w:shd w:val="clear" w:color="auto" w:fill="auto"/>
            <w:noWrap/>
            <w:hideMark/>
          </w:tcPr>
          <w:p w14:paraId="2BD366D8" w14:textId="3651A873" w:rsidR="006F5A19" w:rsidRPr="00CD0202" w:rsidRDefault="006F5A19" w:rsidP="0042783D">
            <w:pPr>
              <w:jc w:val="right"/>
              <w:rPr>
                <w:color w:val="000000"/>
                <w:szCs w:val="22"/>
              </w:rPr>
            </w:pPr>
            <w:r w:rsidRPr="00CD0202">
              <w:rPr>
                <w:color w:val="000000"/>
                <w:szCs w:val="22"/>
              </w:rPr>
              <w:t>-6</w:t>
            </w:r>
            <w:r w:rsidR="0042783D">
              <w:rPr>
                <w:color w:val="000000"/>
                <w:szCs w:val="22"/>
              </w:rPr>
              <w:t>.03</w:t>
            </w:r>
            <w:r w:rsidRPr="00CD0202">
              <w:rPr>
                <w:color w:val="000000"/>
                <w:szCs w:val="22"/>
              </w:rPr>
              <w:t>%</w:t>
            </w:r>
          </w:p>
        </w:tc>
      </w:tr>
    </w:tbl>
    <w:p w14:paraId="4D572C1C" w14:textId="77777777" w:rsidR="00EF798E" w:rsidRDefault="00EF798E" w:rsidP="009757FB">
      <w:pPr>
        <w:pStyle w:val="ATSNormal"/>
      </w:pPr>
    </w:p>
    <w:p w14:paraId="468691B7" w14:textId="10E1B805" w:rsidR="00D71347" w:rsidRPr="009757FB" w:rsidRDefault="003B67F8" w:rsidP="009757FB">
      <w:pPr>
        <w:pStyle w:val="ATSNormal"/>
      </w:pPr>
      <w:r w:rsidRPr="009757FB">
        <w:t xml:space="preserve">Oceanites continues to closely track the </w:t>
      </w:r>
      <w:r w:rsidR="00D71347" w:rsidRPr="009757FB">
        <w:t>significant</w:t>
      </w:r>
      <w:r w:rsidRPr="009757FB">
        <w:t xml:space="preserve"> changes in th</w:t>
      </w:r>
      <w:r w:rsidR="00D71347" w:rsidRPr="009757FB">
        <w:t xml:space="preserve">e Antarctic Peninsula, where </w:t>
      </w:r>
      <w:proofErr w:type="spellStart"/>
      <w:r w:rsidRPr="009757FB">
        <w:t>Adélie</w:t>
      </w:r>
      <w:proofErr w:type="spellEnd"/>
      <w:r w:rsidRPr="009757FB">
        <w:t xml:space="preserve"> (</w:t>
      </w:r>
      <w:proofErr w:type="spellStart"/>
      <w:r w:rsidRPr="00EF798E">
        <w:rPr>
          <w:i/>
        </w:rPr>
        <w:t>Pygoscelis</w:t>
      </w:r>
      <w:proofErr w:type="spellEnd"/>
      <w:r w:rsidRPr="00EF798E">
        <w:rPr>
          <w:i/>
        </w:rPr>
        <w:t xml:space="preserve"> </w:t>
      </w:r>
      <w:proofErr w:type="spellStart"/>
      <w:r w:rsidRPr="00EF798E">
        <w:rPr>
          <w:i/>
        </w:rPr>
        <w:t>adeliae</w:t>
      </w:r>
      <w:proofErr w:type="spellEnd"/>
      <w:r w:rsidRPr="009757FB">
        <w:t>) and chinstrap (</w:t>
      </w:r>
      <w:r w:rsidR="00180759" w:rsidRPr="00EF798E">
        <w:rPr>
          <w:i/>
        </w:rPr>
        <w:t xml:space="preserve">P. </w:t>
      </w:r>
      <w:r w:rsidRPr="00EF798E">
        <w:rPr>
          <w:i/>
        </w:rPr>
        <w:t>antarctica</w:t>
      </w:r>
      <w:r w:rsidRPr="009757FB">
        <w:t xml:space="preserve">) penguins have </w:t>
      </w:r>
      <w:proofErr w:type="gramStart"/>
      <w:r w:rsidRPr="009757FB">
        <w:t>declined</w:t>
      </w:r>
      <w:proofErr w:type="gramEnd"/>
      <w:r w:rsidRPr="009757FB">
        <w:t xml:space="preserve"> and gentoo (</w:t>
      </w:r>
      <w:r w:rsidR="00180759" w:rsidRPr="00EF798E">
        <w:rPr>
          <w:i/>
        </w:rPr>
        <w:t xml:space="preserve">P. </w:t>
      </w:r>
      <w:proofErr w:type="spellStart"/>
      <w:r w:rsidRPr="00EF798E">
        <w:rPr>
          <w:i/>
        </w:rPr>
        <w:t>papua</w:t>
      </w:r>
      <w:proofErr w:type="spellEnd"/>
      <w:r w:rsidRPr="009757FB">
        <w:t>) penguins have increased</w:t>
      </w:r>
      <w:r w:rsidR="00D71347" w:rsidRPr="009757FB">
        <w:t xml:space="preserve">. </w:t>
      </w:r>
    </w:p>
    <w:p w14:paraId="52BE0F73" w14:textId="3A374899" w:rsidR="00347C9A" w:rsidRPr="009757FB" w:rsidRDefault="00D71347" w:rsidP="009757FB">
      <w:pPr>
        <w:pStyle w:val="ATSNormal"/>
      </w:pPr>
      <w:r w:rsidRPr="009757FB">
        <w:t>Oceanites’ 2016 Future of Antarctica Forum noted the key roles of Antarctic science, management, and diplomacy in addressing climate change; and specific concern about overall changes across the Antarctic and Southern Oceans, the notable warming trend that has recently occurred in the western Antarctic Peninsula, and its implications for the Antarctic ecosystem (</w:t>
      </w:r>
      <w:hyperlink r:id="rId18" w:history="1">
        <w:r w:rsidR="00EF798E" w:rsidRPr="003D7818">
          <w:rPr>
            <w:rStyle w:val="Hipervnculo"/>
            <w:lang w:val="en-US"/>
          </w:rPr>
          <w:t>https://oceanites.org/wp-content/uploads/2021/03/FOA-Forum-REPORT.pdf</w:t>
        </w:r>
      </w:hyperlink>
      <w:r w:rsidRPr="009757FB">
        <w:t xml:space="preserve">). </w:t>
      </w:r>
    </w:p>
    <w:p w14:paraId="08014373" w14:textId="75E8F975" w:rsidR="00347C9A" w:rsidRPr="009757FB" w:rsidRDefault="00347C9A" w:rsidP="009757FB">
      <w:pPr>
        <w:pStyle w:val="ATSNormal"/>
      </w:pPr>
      <w:r w:rsidRPr="009757FB">
        <w:t xml:space="preserve">The recent, comprehensive survey work at the Elephant Island and Low Island vicinity of the Antarctic Peninsula have filled some critical gaps for chinstrap penguins, but a number of key, under-surveyed areas should be considered high priorities for future data collection; for example, large chinstrap colonies in the South Orkney Islands, and Cape Garry (Low Island). </w:t>
      </w:r>
      <w:r w:rsidR="00EF798E">
        <w:t xml:space="preserve"> </w:t>
      </w:r>
      <w:r w:rsidRPr="009757FB">
        <w:t xml:space="preserve">With regard to </w:t>
      </w:r>
      <w:proofErr w:type="spellStart"/>
      <w:r w:rsidRPr="009757FB">
        <w:t>Adélie</w:t>
      </w:r>
      <w:proofErr w:type="spellEnd"/>
      <w:r w:rsidRPr="009757FB">
        <w:t xml:space="preserve"> penguins, it would be helpful to have updated census data from Marguerite Bay south to the Red Rock Ridge and the Rhyolite Islands, which would further inform the differences in trends we have noticed north and south of Marguerite Bay.</w:t>
      </w:r>
    </w:p>
    <w:p w14:paraId="5B859A71" w14:textId="7DFCF5C4" w:rsidR="00D71347" w:rsidRPr="009757FB" w:rsidRDefault="00D71347" w:rsidP="009757FB">
      <w:pPr>
        <w:pStyle w:val="ATSNormal"/>
      </w:pPr>
      <w:r w:rsidRPr="009757FB">
        <w:t xml:space="preserve">Oceanites collaborators, as well as many other researchers, are focused on distinguishing the interactive effects of climate change vis-à-vis human activities and other causes that might definitively explain penguin population changes. </w:t>
      </w:r>
    </w:p>
    <w:p w14:paraId="2F82C77B" w14:textId="77777777" w:rsidR="00D71347" w:rsidRPr="009757FB" w:rsidRDefault="00D71347" w:rsidP="009757FB">
      <w:pPr>
        <w:pStyle w:val="ATSNormal"/>
      </w:pPr>
      <w:r w:rsidRPr="009757FB">
        <w:t>These analyses continue and are examining a suite of potential causal factors, including: a potentially shifting or shrinking krill stock; the amount of krill fishing and higher exposure to fishing interference during the penguin breeding season; competition for krill with whales and seals; penguins’ winter foraging ranges and other nonbreeding season impacts; and rising temperatures and retreating sea ice due to global warming.</w:t>
      </w:r>
    </w:p>
    <w:p w14:paraId="472B78C6" w14:textId="77777777" w:rsidR="003B67F8" w:rsidRPr="00476C0D" w:rsidRDefault="003B67F8" w:rsidP="009757FB">
      <w:pPr>
        <w:pStyle w:val="ATSHeading2"/>
        <w:rPr>
          <w:lang w:val="en-US"/>
        </w:rPr>
      </w:pPr>
      <w:r w:rsidRPr="00476C0D">
        <w:rPr>
          <w:lang w:val="en-US"/>
        </w:rPr>
        <w:lastRenderedPageBreak/>
        <w:t>Primary Contacts:</w:t>
      </w:r>
    </w:p>
    <w:p w14:paraId="69C51B85" w14:textId="77777777" w:rsidR="003B67F8" w:rsidRDefault="003B67F8" w:rsidP="009757FB">
      <w:pPr>
        <w:pStyle w:val="ATSNormal"/>
        <w:rPr>
          <w:lang w:val="en-US"/>
        </w:rPr>
      </w:pPr>
      <w:r w:rsidRPr="00B76434">
        <w:rPr>
          <w:lang w:val="en-US"/>
        </w:rPr>
        <w:t>Ron Naveen, Oceanites, I</w:t>
      </w:r>
      <w:r>
        <w:rPr>
          <w:lang w:val="en-US"/>
        </w:rPr>
        <w:t>nc.</w:t>
      </w:r>
      <w:r w:rsidRPr="00D53FB6">
        <w:rPr>
          <w:rFonts w:ascii="Helvetica" w:hAnsi="Helvetica"/>
          <w:color w:val="555555"/>
          <w:sz w:val="19"/>
          <w:szCs w:val="19"/>
          <w:shd w:val="clear" w:color="auto" w:fill="FFFFFF"/>
        </w:rPr>
        <w:t xml:space="preserve"> </w:t>
      </w:r>
      <w:hyperlink r:id="rId19" w:history="1">
        <w:r w:rsidRPr="00F34C6F">
          <w:rPr>
            <w:rStyle w:val="Hipervnculo"/>
            <w:rFonts w:ascii="Helvetica" w:hAnsi="Helvetica"/>
            <w:sz w:val="19"/>
            <w:szCs w:val="19"/>
            <w:shd w:val="clear" w:color="auto" w:fill="FFFFFF"/>
          </w:rPr>
          <w:t>oceanites@icloud.com</w:t>
        </w:r>
      </w:hyperlink>
      <w:r>
        <w:rPr>
          <w:rFonts w:ascii="Helvetica" w:hAnsi="Helvetica"/>
          <w:color w:val="555555"/>
          <w:sz w:val="19"/>
          <w:szCs w:val="19"/>
          <w:shd w:val="clear" w:color="auto" w:fill="FFFFFF"/>
        </w:rPr>
        <w:t xml:space="preserve"> </w:t>
      </w:r>
    </w:p>
    <w:p w14:paraId="1582A277" w14:textId="58EAB205" w:rsidR="004B4A60" w:rsidRDefault="003B67F8" w:rsidP="009757FB">
      <w:pPr>
        <w:pStyle w:val="ATSNormal"/>
      </w:pPr>
      <w:r w:rsidRPr="00B76434">
        <w:rPr>
          <w:lang w:val="en-US"/>
        </w:rPr>
        <w:t>Grant Humphries</w:t>
      </w:r>
      <w:r w:rsidR="00EF798E">
        <w:rPr>
          <w:lang w:val="en-US"/>
        </w:rPr>
        <w:t xml:space="preserve">, </w:t>
      </w:r>
      <w:r w:rsidR="00347C9A">
        <w:rPr>
          <w:lang w:val="en-US"/>
        </w:rPr>
        <w:t xml:space="preserve">Black </w:t>
      </w:r>
      <w:proofErr w:type="spellStart"/>
      <w:r w:rsidR="00347C9A">
        <w:rPr>
          <w:lang w:val="en-US"/>
        </w:rPr>
        <w:t>Bawks</w:t>
      </w:r>
      <w:proofErr w:type="spellEnd"/>
      <w:r w:rsidR="00347C9A">
        <w:rPr>
          <w:lang w:val="en-US"/>
        </w:rPr>
        <w:t xml:space="preserve"> Data Science Ltd,</w:t>
      </w:r>
      <w:r w:rsidR="00066562">
        <w:rPr>
          <w:lang w:val="en-US"/>
        </w:rPr>
        <w:t xml:space="preserve"> </w:t>
      </w:r>
      <w:r w:rsidR="00066562" w:rsidRPr="00066562">
        <w:rPr>
          <w:lang w:val="en-US"/>
        </w:rPr>
        <w:t>Director of Science, Oceanites</w:t>
      </w:r>
      <w:r>
        <w:rPr>
          <w:lang w:val="en-US"/>
        </w:rPr>
        <w:t xml:space="preserve"> </w:t>
      </w:r>
      <w:hyperlink r:id="rId20" w:history="1">
        <w:r w:rsidRPr="00DD7A03">
          <w:rPr>
            <w:rStyle w:val="Hipervnculo"/>
            <w:lang w:val="en-US"/>
          </w:rPr>
          <w:t>grwhumphries@blackbawks.net</w:t>
        </w:r>
      </w:hyperlink>
    </w:p>
    <w:sectPr w:rsidR="004B4A60" w:rsidSect="00C26F2D">
      <w:headerReference w:type="default" r:id="rId21"/>
      <w:footerReference w:type="default" r:id="rId2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6BDBC" w14:textId="77777777" w:rsidR="00BB6C33" w:rsidRDefault="00BB6C33">
      <w:r>
        <w:separator/>
      </w:r>
    </w:p>
  </w:endnote>
  <w:endnote w:type="continuationSeparator" w:id="0">
    <w:p w14:paraId="0C88AFFE" w14:textId="77777777" w:rsidR="00BB6C33" w:rsidRDefault="00BB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12D3" w14:textId="77777777" w:rsidR="00BB6C33" w:rsidRDefault="00BB6C33" w:rsidP="00CF5C82">
    <w:pPr>
      <w:framePr w:wrap="around" w:vAnchor="text" w:hAnchor="margin" w:xAlign="right" w:y="1"/>
    </w:pPr>
    <w:r>
      <w:fldChar w:fldCharType="begin"/>
    </w:r>
    <w:r>
      <w:instrText xml:space="preserve">PAGE  </w:instrText>
    </w:r>
    <w:r>
      <w:fldChar w:fldCharType="end"/>
    </w:r>
  </w:p>
  <w:p w14:paraId="3DA11BD1" w14:textId="77777777" w:rsidR="00BB6C33" w:rsidRDefault="00BB6C3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56DA" w14:textId="5467F12F" w:rsidR="00BB6C33" w:rsidRDefault="00BB6C33" w:rsidP="00CF5C82">
    <w:pPr>
      <w:framePr w:wrap="around" w:vAnchor="text" w:hAnchor="margin" w:xAlign="right" w:y="1"/>
    </w:pPr>
    <w:r>
      <w:fldChar w:fldCharType="begin"/>
    </w:r>
    <w:r>
      <w:instrText xml:space="preserve">PAGE  </w:instrText>
    </w:r>
    <w:r>
      <w:fldChar w:fldCharType="separate"/>
    </w:r>
    <w:r w:rsidR="009F1B96">
      <w:rPr>
        <w:noProof/>
      </w:rPr>
      <w:t>1</w:t>
    </w:r>
    <w:r>
      <w:fldChar w:fldCharType="end"/>
    </w:r>
  </w:p>
  <w:p w14:paraId="24E09C99" w14:textId="136A64A3" w:rsidR="00BB6C33" w:rsidRDefault="00BB6C33" w:rsidP="009A1B75">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3A6F" w14:textId="184CA0AB" w:rsidR="00BB6C33" w:rsidRDefault="00BB6C33" w:rsidP="00CF5C82">
    <w:pPr>
      <w:framePr w:wrap="around" w:vAnchor="text" w:hAnchor="margin" w:xAlign="right" w:y="1"/>
    </w:pPr>
    <w:r>
      <w:fldChar w:fldCharType="begin"/>
    </w:r>
    <w:r>
      <w:instrText xml:space="preserve">PAGE  </w:instrText>
    </w:r>
    <w:r>
      <w:fldChar w:fldCharType="separate"/>
    </w:r>
    <w:r w:rsidR="009F1B96">
      <w:rPr>
        <w:noProof/>
      </w:rPr>
      <w:t>3</w:t>
    </w:r>
    <w:r>
      <w:fldChar w:fldCharType="end"/>
    </w:r>
  </w:p>
  <w:p w14:paraId="72F77822" w14:textId="77777777" w:rsidR="00BB6C33" w:rsidRDefault="00BB6C3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60AD" w14:textId="77777777" w:rsidR="00BB6C33" w:rsidRDefault="00BB6C33">
      <w:r>
        <w:separator/>
      </w:r>
    </w:p>
  </w:footnote>
  <w:footnote w:type="continuationSeparator" w:id="0">
    <w:p w14:paraId="68887C64" w14:textId="77777777" w:rsidR="00BB6C33" w:rsidRDefault="00BB6C33">
      <w:r>
        <w:continuationSeparator/>
      </w:r>
    </w:p>
  </w:footnote>
  <w:footnote w:id="1">
    <w:p w14:paraId="79985A4D" w14:textId="32579A83" w:rsidR="00BB6C33" w:rsidRPr="00816438" w:rsidRDefault="00BB6C33" w:rsidP="00816438">
      <w:pPr>
        <w:pStyle w:val="Textonotapie"/>
      </w:pPr>
      <w:r>
        <w:rPr>
          <w:rStyle w:val="Refdenotaalpie"/>
        </w:rPr>
        <w:footnoteRef/>
      </w:r>
      <w:r>
        <w:t xml:space="preserve"> Naveen R., Humphries G.R.W, and Robbins, A.M.C. 2020. State of Antarctic Penguins Report 2020. Oceanites, Inc., Chevy Chase, MD, USA.</w:t>
      </w:r>
    </w:p>
  </w:footnote>
  <w:footnote w:id="2">
    <w:p w14:paraId="33BE2A5A" w14:textId="607DA9AE" w:rsidR="00BB6C33" w:rsidRDefault="00BB6C33">
      <w:pPr>
        <w:pStyle w:val="Textonotapie"/>
      </w:pPr>
      <w:r>
        <w:rPr>
          <w:rStyle w:val="Refdenotaalpie"/>
        </w:rPr>
        <w:footnoteRef/>
      </w:r>
      <w:r>
        <w:t xml:space="preserve"> </w:t>
      </w:r>
      <w:r>
        <w:rPr>
          <w:sz w:val="20"/>
          <w:szCs w:val="20"/>
        </w:rPr>
        <w:t>Insufficient recent survey data</w:t>
      </w:r>
      <w:r w:rsidRPr="000E0BD3">
        <w:rPr>
          <w:sz w:val="20"/>
          <w:szCs w:val="20"/>
        </w:rPr>
        <w:t xml:space="preserve"> to allow for an updated trend assessment</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B6C33" w14:paraId="1110F72B" w14:textId="77777777" w:rsidTr="00490760">
      <w:trPr>
        <w:trHeight w:val="344"/>
        <w:jc w:val="center"/>
      </w:trPr>
      <w:tc>
        <w:tcPr>
          <w:tcW w:w="5495" w:type="dxa"/>
        </w:tcPr>
        <w:p w14:paraId="56C82E73" w14:textId="77777777" w:rsidR="00BB6C33" w:rsidRDefault="00BB6C33" w:rsidP="00F968D4"/>
      </w:tc>
      <w:tc>
        <w:tcPr>
          <w:tcW w:w="4253" w:type="dxa"/>
          <w:gridSpan w:val="2"/>
        </w:tcPr>
        <w:p w14:paraId="58AACC24" w14:textId="13044BA2" w:rsidR="00BB6C33" w:rsidRPr="00BD47E4" w:rsidRDefault="00BB6C33" w:rsidP="002A07BC">
          <w:pPr>
            <w:jc w:val="right"/>
            <w:rPr>
              <w:b/>
              <w:sz w:val="32"/>
              <w:szCs w:val="32"/>
            </w:rPr>
          </w:pPr>
          <w:r>
            <w:rPr>
              <w:b/>
              <w:sz w:val="32"/>
              <w:szCs w:val="32"/>
            </w:rPr>
            <w:t>IP</w:t>
          </w:r>
        </w:p>
      </w:tc>
      <w:tc>
        <w:tcPr>
          <w:tcW w:w="1524" w:type="dxa"/>
          <w:gridSpan w:val="2"/>
        </w:tcPr>
        <w:p w14:paraId="2B665D2B" w14:textId="73D37CDF" w:rsidR="00BB6C33" w:rsidRPr="00BD47E4" w:rsidRDefault="009F1B96" w:rsidP="00DB7C09">
          <w:pPr>
            <w:rPr>
              <w:b/>
              <w:sz w:val="32"/>
              <w:szCs w:val="32"/>
            </w:rPr>
          </w:pPr>
          <w:r>
            <w:rPr>
              <w:b/>
              <w:sz w:val="32"/>
              <w:szCs w:val="32"/>
            </w:rPr>
            <w:t>60</w:t>
          </w:r>
          <w:r w:rsidR="009A1B75">
            <w:rPr>
              <w:b/>
              <w:sz w:val="32"/>
              <w:szCs w:val="32"/>
            </w:rPr>
            <w:t xml:space="preserve"> rev.1</w:t>
          </w:r>
        </w:p>
      </w:tc>
    </w:tr>
    <w:tr w:rsidR="00BB6C33" w14:paraId="5F32529F" w14:textId="77777777" w:rsidTr="00490760">
      <w:trPr>
        <w:trHeight w:val="2165"/>
        <w:jc w:val="center"/>
      </w:trPr>
      <w:tc>
        <w:tcPr>
          <w:tcW w:w="5495" w:type="dxa"/>
        </w:tcPr>
        <w:p w14:paraId="52E6D71B" w14:textId="77777777" w:rsidR="00BB6C33" w:rsidRPr="00EE4D48" w:rsidRDefault="00BB6C33" w:rsidP="002A07BC">
          <w:pPr>
            <w:rPr>
              <w:b/>
              <w:sz w:val="28"/>
              <w:szCs w:val="28"/>
            </w:rPr>
          </w:pPr>
          <w:r>
            <w:rPr>
              <w:b/>
              <w:noProof/>
              <w:sz w:val="28"/>
              <w:szCs w:val="28"/>
              <w:lang w:val="en-US"/>
            </w:rPr>
            <w:drawing>
              <wp:inline distT="0" distB="0" distL="0" distR="0" wp14:anchorId="570DB6CE" wp14:editId="442AEE81">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CD70045" w14:textId="77777777" w:rsidR="00BB6C33" w:rsidRPr="00FE5146" w:rsidRDefault="00BB6C33" w:rsidP="00490760">
          <w:pPr>
            <w:jc w:val="right"/>
            <w:rPr>
              <w:sz w:val="144"/>
              <w:szCs w:val="144"/>
            </w:rPr>
          </w:pPr>
          <w:r w:rsidRPr="00FE5146">
            <w:rPr>
              <w:sz w:val="144"/>
              <w:szCs w:val="144"/>
            </w:rPr>
            <w:t>ENG</w:t>
          </w:r>
        </w:p>
      </w:tc>
    </w:tr>
    <w:tr w:rsidR="00BB6C33" w14:paraId="0502786F" w14:textId="77777777" w:rsidTr="00BD47E4">
      <w:trPr>
        <w:trHeight w:val="409"/>
        <w:jc w:val="center"/>
      </w:trPr>
      <w:tc>
        <w:tcPr>
          <w:tcW w:w="9039" w:type="dxa"/>
          <w:gridSpan w:val="2"/>
        </w:tcPr>
        <w:p w14:paraId="28988BD5" w14:textId="77777777" w:rsidR="00BB6C33" w:rsidRDefault="00BB6C33" w:rsidP="002C30DA">
          <w:pPr>
            <w:jc w:val="right"/>
          </w:pPr>
          <w:r>
            <w:t>Agenda Item:</w:t>
          </w:r>
        </w:p>
      </w:tc>
      <w:tc>
        <w:tcPr>
          <w:tcW w:w="1843" w:type="dxa"/>
          <w:gridSpan w:val="2"/>
        </w:tcPr>
        <w:p w14:paraId="7F393DB2" w14:textId="13C7AC62" w:rsidR="00BB6C33" w:rsidRDefault="009F1B96" w:rsidP="002C30DA">
          <w:pPr>
            <w:jc w:val="right"/>
          </w:pPr>
          <w:r>
            <w:t xml:space="preserve">CEP </w:t>
          </w:r>
          <w:r w:rsidR="00BB6C33">
            <w:t>10c</w:t>
          </w:r>
        </w:p>
      </w:tc>
      <w:tc>
        <w:tcPr>
          <w:tcW w:w="390" w:type="dxa"/>
        </w:tcPr>
        <w:p w14:paraId="5200D544" w14:textId="77777777" w:rsidR="00BB6C33" w:rsidRDefault="00BB6C33" w:rsidP="00387A65">
          <w:pPr>
            <w:jc w:val="right"/>
          </w:pPr>
        </w:p>
      </w:tc>
    </w:tr>
    <w:tr w:rsidR="00BB6C33" w14:paraId="6383BBA5" w14:textId="77777777" w:rsidTr="00BD47E4">
      <w:trPr>
        <w:trHeight w:val="397"/>
        <w:jc w:val="center"/>
      </w:trPr>
      <w:tc>
        <w:tcPr>
          <w:tcW w:w="9039" w:type="dxa"/>
          <w:gridSpan w:val="2"/>
        </w:tcPr>
        <w:p w14:paraId="4AD2EEEC" w14:textId="77777777" w:rsidR="00BB6C33" w:rsidRDefault="00BB6C33" w:rsidP="002C30DA">
          <w:pPr>
            <w:jc w:val="right"/>
          </w:pPr>
          <w:r>
            <w:t>Presented by:</w:t>
          </w:r>
        </w:p>
      </w:tc>
      <w:tc>
        <w:tcPr>
          <w:tcW w:w="1843" w:type="dxa"/>
          <w:gridSpan w:val="2"/>
        </w:tcPr>
        <w:p w14:paraId="1924C135" w14:textId="53E0ACEC" w:rsidR="00BB6C33" w:rsidRDefault="00BB6C33" w:rsidP="000E0BD3">
          <w:pPr>
            <w:jc w:val="right"/>
          </w:pPr>
          <w:r>
            <w:t>SCAR</w:t>
          </w:r>
        </w:p>
      </w:tc>
      <w:tc>
        <w:tcPr>
          <w:tcW w:w="390" w:type="dxa"/>
        </w:tcPr>
        <w:p w14:paraId="3214D031" w14:textId="77777777" w:rsidR="00BB6C33" w:rsidRDefault="00BB6C33" w:rsidP="00387A65">
          <w:pPr>
            <w:jc w:val="right"/>
          </w:pPr>
        </w:p>
      </w:tc>
    </w:tr>
    <w:tr w:rsidR="00BB6C33" w14:paraId="360B1412" w14:textId="77777777" w:rsidTr="00BD47E4">
      <w:trPr>
        <w:trHeight w:val="409"/>
        <w:jc w:val="center"/>
      </w:trPr>
      <w:tc>
        <w:tcPr>
          <w:tcW w:w="9039" w:type="dxa"/>
          <w:gridSpan w:val="2"/>
        </w:tcPr>
        <w:p w14:paraId="4FC28C98" w14:textId="77777777" w:rsidR="00BB6C33" w:rsidRDefault="00BB6C33" w:rsidP="002C30DA">
          <w:pPr>
            <w:jc w:val="right"/>
          </w:pPr>
          <w:r>
            <w:t>Original:</w:t>
          </w:r>
        </w:p>
      </w:tc>
      <w:tc>
        <w:tcPr>
          <w:tcW w:w="1843" w:type="dxa"/>
          <w:gridSpan w:val="2"/>
        </w:tcPr>
        <w:p w14:paraId="75989362" w14:textId="32F87D82" w:rsidR="00BB6C33" w:rsidRDefault="00BB6C33" w:rsidP="002C30DA">
          <w:pPr>
            <w:jc w:val="right"/>
          </w:pPr>
          <w:r>
            <w:t>English</w:t>
          </w:r>
        </w:p>
      </w:tc>
      <w:tc>
        <w:tcPr>
          <w:tcW w:w="390" w:type="dxa"/>
        </w:tcPr>
        <w:p w14:paraId="795B1394" w14:textId="77777777" w:rsidR="00BB6C33" w:rsidRDefault="00BB6C33" w:rsidP="00387A65">
          <w:pPr>
            <w:jc w:val="right"/>
          </w:pPr>
        </w:p>
      </w:tc>
    </w:tr>
    <w:tr w:rsidR="009F1B96" w14:paraId="43926CF1" w14:textId="77777777" w:rsidTr="00BD47E4">
      <w:trPr>
        <w:trHeight w:val="409"/>
        <w:jc w:val="center"/>
      </w:trPr>
      <w:tc>
        <w:tcPr>
          <w:tcW w:w="9039" w:type="dxa"/>
          <w:gridSpan w:val="2"/>
        </w:tcPr>
        <w:p w14:paraId="620DC164" w14:textId="77777777" w:rsidR="009F1B96" w:rsidRDefault="009F1B96" w:rsidP="002C30DA">
          <w:pPr>
            <w:jc w:val="right"/>
          </w:pPr>
          <w:r>
            <w:t>Submitted:</w:t>
          </w:r>
        </w:p>
      </w:tc>
      <w:tc>
        <w:tcPr>
          <w:tcW w:w="1843" w:type="dxa"/>
          <w:gridSpan w:val="2"/>
        </w:tcPr>
        <w:p w14:paraId="44C104C6" w14:textId="026FBD8E" w:rsidR="009F1B96" w:rsidRDefault="009F1B96" w:rsidP="0097629D">
          <w:pPr>
            <w:jc w:val="right"/>
          </w:pPr>
          <w:bookmarkStart w:id="0" w:name="date_submission"/>
          <w:r>
            <w:t>13/5/2021</w:t>
          </w:r>
          <w:bookmarkEnd w:id="0"/>
        </w:p>
      </w:tc>
      <w:tc>
        <w:tcPr>
          <w:tcW w:w="390" w:type="dxa"/>
        </w:tcPr>
        <w:p w14:paraId="3BE10BE7" w14:textId="77777777" w:rsidR="009F1B96" w:rsidRDefault="009F1B96" w:rsidP="00387A65">
          <w:pPr>
            <w:jc w:val="right"/>
          </w:pPr>
        </w:p>
      </w:tc>
    </w:tr>
  </w:tbl>
  <w:p w14:paraId="636A3317" w14:textId="77777777" w:rsidR="00BB6C33" w:rsidRDefault="00BB6C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B6C33" w:rsidRPr="0087014A" w14:paraId="7E11A4F4" w14:textId="77777777">
      <w:trPr>
        <w:trHeight w:val="354"/>
        <w:jc w:val="center"/>
      </w:trPr>
      <w:tc>
        <w:tcPr>
          <w:tcW w:w="9694" w:type="dxa"/>
        </w:tcPr>
        <w:p w14:paraId="0EC46EF4" w14:textId="3342D1DF" w:rsidR="00BB6C33" w:rsidRPr="00BD47E4" w:rsidRDefault="00BB6C33" w:rsidP="00C26F2D">
          <w:pPr>
            <w:jc w:val="right"/>
            <w:rPr>
              <w:b/>
              <w:sz w:val="32"/>
              <w:szCs w:val="32"/>
            </w:rPr>
          </w:pPr>
          <w:r>
            <w:rPr>
              <w:b/>
              <w:sz w:val="32"/>
              <w:szCs w:val="32"/>
            </w:rPr>
            <w:t>IP</w:t>
          </w:r>
        </w:p>
      </w:tc>
      <w:tc>
        <w:tcPr>
          <w:tcW w:w="1332" w:type="dxa"/>
        </w:tcPr>
        <w:p w14:paraId="20E14B47" w14:textId="6892D95D" w:rsidR="00BB6C33" w:rsidRPr="00BD47E4" w:rsidRDefault="009F1B96" w:rsidP="00080F4C">
          <w:pPr>
            <w:rPr>
              <w:b/>
              <w:sz w:val="32"/>
              <w:szCs w:val="32"/>
            </w:rPr>
          </w:pPr>
          <w:r>
            <w:rPr>
              <w:b/>
              <w:sz w:val="32"/>
              <w:szCs w:val="32"/>
            </w:rPr>
            <w:t>60</w:t>
          </w:r>
          <w:r w:rsidR="009A1B75">
            <w:rPr>
              <w:b/>
              <w:sz w:val="32"/>
              <w:szCs w:val="32"/>
            </w:rPr>
            <w:t xml:space="preserve"> rev.1</w:t>
          </w:r>
        </w:p>
      </w:tc>
    </w:tr>
  </w:tbl>
  <w:p w14:paraId="05F20D65" w14:textId="77777777" w:rsidR="00BB6C33" w:rsidRDefault="00BB6C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10AD1C0">
      <w:start w:val="1"/>
      <w:numFmt w:val="bullet"/>
      <w:pStyle w:val="ATSBullet1"/>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CB4761C">
      <w:start w:val="1"/>
      <w:numFmt w:val="decimal"/>
      <w:lvlText w:val="%1)"/>
      <w:lvlJc w:val="left"/>
      <w:pPr>
        <w:tabs>
          <w:tab w:val="num" w:pos="340"/>
        </w:tabs>
        <w:ind w:left="340"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FB86456">
      <w:start w:val="1"/>
      <w:numFmt w:val="decimal"/>
      <w:lvlText w:val="%1."/>
      <w:lvlJc w:val="left"/>
      <w:pPr>
        <w:tabs>
          <w:tab w:val="num" w:pos="1057"/>
        </w:tabs>
        <w:ind w:left="1057" w:hanging="360"/>
      </w:pPr>
      <w:rPr>
        <w:rFonts w:hint="default"/>
      </w:rPr>
    </w:lvl>
    <w:lvl w:ilvl="1" w:tplc="08090019" w:tentative="1">
      <w:start w:val="1"/>
      <w:numFmt w:val="lowerLetter"/>
      <w:lvlText w:val="%2."/>
      <w:lvlJc w:val="left"/>
      <w:pPr>
        <w:tabs>
          <w:tab w:val="num" w:pos="2137"/>
        </w:tabs>
        <w:ind w:left="2137" w:hanging="360"/>
      </w:pPr>
    </w:lvl>
    <w:lvl w:ilvl="2" w:tplc="0809001B" w:tentative="1">
      <w:start w:val="1"/>
      <w:numFmt w:val="lowerRoman"/>
      <w:lvlText w:val="%3."/>
      <w:lvlJc w:val="right"/>
      <w:pPr>
        <w:tabs>
          <w:tab w:val="num" w:pos="2857"/>
        </w:tabs>
        <w:ind w:left="2857" w:hanging="180"/>
      </w:pPr>
    </w:lvl>
    <w:lvl w:ilvl="3" w:tplc="0809000F" w:tentative="1">
      <w:start w:val="1"/>
      <w:numFmt w:val="decimal"/>
      <w:lvlText w:val="%4."/>
      <w:lvlJc w:val="left"/>
      <w:pPr>
        <w:tabs>
          <w:tab w:val="num" w:pos="3577"/>
        </w:tabs>
        <w:ind w:left="3577" w:hanging="360"/>
      </w:pPr>
    </w:lvl>
    <w:lvl w:ilvl="4" w:tplc="08090019" w:tentative="1">
      <w:start w:val="1"/>
      <w:numFmt w:val="lowerLetter"/>
      <w:lvlText w:val="%5."/>
      <w:lvlJc w:val="left"/>
      <w:pPr>
        <w:tabs>
          <w:tab w:val="num" w:pos="4297"/>
        </w:tabs>
        <w:ind w:left="4297" w:hanging="360"/>
      </w:pPr>
    </w:lvl>
    <w:lvl w:ilvl="5" w:tplc="0809001B" w:tentative="1">
      <w:start w:val="1"/>
      <w:numFmt w:val="lowerRoman"/>
      <w:lvlText w:val="%6."/>
      <w:lvlJc w:val="right"/>
      <w:pPr>
        <w:tabs>
          <w:tab w:val="num" w:pos="5017"/>
        </w:tabs>
        <w:ind w:left="5017" w:hanging="180"/>
      </w:pPr>
    </w:lvl>
    <w:lvl w:ilvl="6" w:tplc="0809000F" w:tentative="1">
      <w:start w:val="1"/>
      <w:numFmt w:val="decimal"/>
      <w:lvlText w:val="%7."/>
      <w:lvlJc w:val="left"/>
      <w:pPr>
        <w:tabs>
          <w:tab w:val="num" w:pos="5737"/>
        </w:tabs>
        <w:ind w:left="5737" w:hanging="360"/>
      </w:pPr>
    </w:lvl>
    <w:lvl w:ilvl="7" w:tplc="08090019" w:tentative="1">
      <w:start w:val="1"/>
      <w:numFmt w:val="lowerLetter"/>
      <w:lvlText w:val="%8."/>
      <w:lvlJc w:val="left"/>
      <w:pPr>
        <w:tabs>
          <w:tab w:val="num" w:pos="6457"/>
        </w:tabs>
        <w:ind w:left="6457" w:hanging="360"/>
      </w:pPr>
    </w:lvl>
    <w:lvl w:ilvl="8" w:tplc="0809001B"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AA06A96">
      <w:start w:val="1"/>
      <w:numFmt w:val="decimal"/>
      <w:pStyle w:val="ATSNumber1"/>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F3A39B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8090003" w:tentative="1">
      <w:start w:val="1"/>
      <w:numFmt w:val="bullet"/>
      <w:lvlText w:val="o"/>
      <w:lvlJc w:val="left"/>
      <w:pPr>
        <w:tabs>
          <w:tab w:val="num" w:pos="2517"/>
        </w:tabs>
        <w:ind w:left="2517" w:hanging="360"/>
      </w:pPr>
      <w:rPr>
        <w:rFonts w:ascii="Courier New" w:hAnsi="Courier New" w:cs="Courier New" w:hint="default"/>
      </w:rPr>
    </w:lvl>
    <w:lvl w:ilvl="2" w:tplc="08090005" w:tentative="1">
      <w:start w:val="1"/>
      <w:numFmt w:val="bullet"/>
      <w:lvlText w:val=""/>
      <w:lvlJc w:val="left"/>
      <w:pPr>
        <w:tabs>
          <w:tab w:val="num" w:pos="3237"/>
        </w:tabs>
        <w:ind w:left="3237" w:hanging="360"/>
      </w:pPr>
      <w:rPr>
        <w:rFonts w:ascii="Wingdings" w:hAnsi="Wingdings" w:hint="default"/>
      </w:rPr>
    </w:lvl>
    <w:lvl w:ilvl="3" w:tplc="08090001" w:tentative="1">
      <w:start w:val="1"/>
      <w:numFmt w:val="bullet"/>
      <w:lvlText w:val=""/>
      <w:lvlJc w:val="left"/>
      <w:pPr>
        <w:tabs>
          <w:tab w:val="num" w:pos="3957"/>
        </w:tabs>
        <w:ind w:left="3957" w:hanging="360"/>
      </w:pPr>
      <w:rPr>
        <w:rFonts w:ascii="Symbol" w:hAnsi="Symbol" w:hint="default"/>
      </w:rPr>
    </w:lvl>
    <w:lvl w:ilvl="4" w:tplc="08090003" w:tentative="1">
      <w:start w:val="1"/>
      <w:numFmt w:val="bullet"/>
      <w:lvlText w:val="o"/>
      <w:lvlJc w:val="left"/>
      <w:pPr>
        <w:tabs>
          <w:tab w:val="num" w:pos="4677"/>
        </w:tabs>
        <w:ind w:left="4677" w:hanging="360"/>
      </w:pPr>
      <w:rPr>
        <w:rFonts w:ascii="Courier New" w:hAnsi="Courier New" w:cs="Courier New" w:hint="default"/>
      </w:rPr>
    </w:lvl>
    <w:lvl w:ilvl="5" w:tplc="08090005" w:tentative="1">
      <w:start w:val="1"/>
      <w:numFmt w:val="bullet"/>
      <w:lvlText w:val=""/>
      <w:lvlJc w:val="left"/>
      <w:pPr>
        <w:tabs>
          <w:tab w:val="num" w:pos="5397"/>
        </w:tabs>
        <w:ind w:left="5397" w:hanging="360"/>
      </w:pPr>
      <w:rPr>
        <w:rFonts w:ascii="Wingdings" w:hAnsi="Wingdings" w:hint="default"/>
      </w:rPr>
    </w:lvl>
    <w:lvl w:ilvl="6" w:tplc="08090001" w:tentative="1">
      <w:start w:val="1"/>
      <w:numFmt w:val="bullet"/>
      <w:lvlText w:val=""/>
      <w:lvlJc w:val="left"/>
      <w:pPr>
        <w:tabs>
          <w:tab w:val="num" w:pos="6117"/>
        </w:tabs>
        <w:ind w:left="6117" w:hanging="360"/>
      </w:pPr>
      <w:rPr>
        <w:rFonts w:ascii="Symbol" w:hAnsi="Symbol" w:hint="default"/>
      </w:rPr>
    </w:lvl>
    <w:lvl w:ilvl="7" w:tplc="08090003" w:tentative="1">
      <w:start w:val="1"/>
      <w:numFmt w:val="bullet"/>
      <w:lvlText w:val="o"/>
      <w:lvlJc w:val="left"/>
      <w:pPr>
        <w:tabs>
          <w:tab w:val="num" w:pos="6837"/>
        </w:tabs>
        <w:ind w:left="6837" w:hanging="360"/>
      </w:pPr>
      <w:rPr>
        <w:rFonts w:ascii="Courier New" w:hAnsi="Courier New" w:cs="Courier New" w:hint="default"/>
      </w:rPr>
    </w:lvl>
    <w:lvl w:ilvl="8" w:tplc="08090005"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B860C66">
      <w:start w:val="1"/>
      <w:numFmt w:val="decimal"/>
      <w:pStyle w:val="ATSNumber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7F8"/>
    <w:rsid w:val="00000A83"/>
    <w:rsid w:val="000020FA"/>
    <w:rsid w:val="00010610"/>
    <w:rsid w:val="00066562"/>
    <w:rsid w:val="000761B3"/>
    <w:rsid w:val="00080F4C"/>
    <w:rsid w:val="000E0BD3"/>
    <w:rsid w:val="000E1D5C"/>
    <w:rsid w:val="00152323"/>
    <w:rsid w:val="00173B63"/>
    <w:rsid w:val="00180759"/>
    <w:rsid w:val="00182A38"/>
    <w:rsid w:val="001A040E"/>
    <w:rsid w:val="001B789F"/>
    <w:rsid w:val="001C3681"/>
    <w:rsid w:val="001D51C1"/>
    <w:rsid w:val="00214BCE"/>
    <w:rsid w:val="00221CC5"/>
    <w:rsid w:val="00250E6A"/>
    <w:rsid w:val="002626CF"/>
    <w:rsid w:val="002A07BC"/>
    <w:rsid w:val="002B44E6"/>
    <w:rsid w:val="002B5B89"/>
    <w:rsid w:val="002C30DA"/>
    <w:rsid w:val="002F0A13"/>
    <w:rsid w:val="00315EC7"/>
    <w:rsid w:val="003275C8"/>
    <w:rsid w:val="00347C9A"/>
    <w:rsid w:val="00352DB2"/>
    <w:rsid w:val="00361014"/>
    <w:rsid w:val="00387A65"/>
    <w:rsid w:val="00394ED6"/>
    <w:rsid w:val="003B67F8"/>
    <w:rsid w:val="003C28B2"/>
    <w:rsid w:val="0042783D"/>
    <w:rsid w:val="004279DB"/>
    <w:rsid w:val="00455B97"/>
    <w:rsid w:val="00480418"/>
    <w:rsid w:val="00490760"/>
    <w:rsid w:val="004A08C3"/>
    <w:rsid w:val="004B4A60"/>
    <w:rsid w:val="004B658E"/>
    <w:rsid w:val="004C61B8"/>
    <w:rsid w:val="004D7F47"/>
    <w:rsid w:val="004F2D03"/>
    <w:rsid w:val="004F79F0"/>
    <w:rsid w:val="00510DFF"/>
    <w:rsid w:val="005135C7"/>
    <w:rsid w:val="00515FA8"/>
    <w:rsid w:val="005A74C1"/>
    <w:rsid w:val="00617C89"/>
    <w:rsid w:val="006945D6"/>
    <w:rsid w:val="006B40A8"/>
    <w:rsid w:val="006D0029"/>
    <w:rsid w:val="006F5A19"/>
    <w:rsid w:val="006F70EB"/>
    <w:rsid w:val="00724FFB"/>
    <w:rsid w:val="00725B2B"/>
    <w:rsid w:val="0073006D"/>
    <w:rsid w:val="007368A4"/>
    <w:rsid w:val="00757F32"/>
    <w:rsid w:val="007B11D9"/>
    <w:rsid w:val="007D525B"/>
    <w:rsid w:val="007E240A"/>
    <w:rsid w:val="00801A28"/>
    <w:rsid w:val="00816438"/>
    <w:rsid w:val="0082147B"/>
    <w:rsid w:val="00845B19"/>
    <w:rsid w:val="00866791"/>
    <w:rsid w:val="00881E3D"/>
    <w:rsid w:val="008B0BC3"/>
    <w:rsid w:val="008B7CEE"/>
    <w:rsid w:val="008C6A7F"/>
    <w:rsid w:val="008F00DC"/>
    <w:rsid w:val="00905E3C"/>
    <w:rsid w:val="00940B63"/>
    <w:rsid w:val="00946F7D"/>
    <w:rsid w:val="00952E9F"/>
    <w:rsid w:val="009600EF"/>
    <w:rsid w:val="009635D5"/>
    <w:rsid w:val="0097369D"/>
    <w:rsid w:val="009757FB"/>
    <w:rsid w:val="0097629D"/>
    <w:rsid w:val="00980EE9"/>
    <w:rsid w:val="00993666"/>
    <w:rsid w:val="00994FBA"/>
    <w:rsid w:val="009A1B75"/>
    <w:rsid w:val="009E619D"/>
    <w:rsid w:val="009E64FE"/>
    <w:rsid w:val="009F1B96"/>
    <w:rsid w:val="00A06259"/>
    <w:rsid w:val="00A731A4"/>
    <w:rsid w:val="00AB2396"/>
    <w:rsid w:val="00AD71D7"/>
    <w:rsid w:val="00AE5DD0"/>
    <w:rsid w:val="00AF289D"/>
    <w:rsid w:val="00B033A3"/>
    <w:rsid w:val="00B0588A"/>
    <w:rsid w:val="00B270AC"/>
    <w:rsid w:val="00B65440"/>
    <w:rsid w:val="00B70709"/>
    <w:rsid w:val="00B70CE1"/>
    <w:rsid w:val="00B87116"/>
    <w:rsid w:val="00BB6C33"/>
    <w:rsid w:val="00BC03DE"/>
    <w:rsid w:val="00BD39D8"/>
    <w:rsid w:val="00BD47E4"/>
    <w:rsid w:val="00BF077B"/>
    <w:rsid w:val="00BF41DC"/>
    <w:rsid w:val="00C173F4"/>
    <w:rsid w:val="00C20F3D"/>
    <w:rsid w:val="00C24057"/>
    <w:rsid w:val="00C24DE9"/>
    <w:rsid w:val="00C26F2D"/>
    <w:rsid w:val="00C5221F"/>
    <w:rsid w:val="00C526AB"/>
    <w:rsid w:val="00C6275B"/>
    <w:rsid w:val="00C81C8C"/>
    <w:rsid w:val="00C81F9B"/>
    <w:rsid w:val="00C94E1C"/>
    <w:rsid w:val="00CF5C82"/>
    <w:rsid w:val="00D015BD"/>
    <w:rsid w:val="00D30785"/>
    <w:rsid w:val="00D5142D"/>
    <w:rsid w:val="00D71347"/>
    <w:rsid w:val="00D72F9F"/>
    <w:rsid w:val="00DB7C09"/>
    <w:rsid w:val="00DC323B"/>
    <w:rsid w:val="00DD1DCE"/>
    <w:rsid w:val="00DE3114"/>
    <w:rsid w:val="00DF6C41"/>
    <w:rsid w:val="00E14E92"/>
    <w:rsid w:val="00E17695"/>
    <w:rsid w:val="00E21A62"/>
    <w:rsid w:val="00E220A4"/>
    <w:rsid w:val="00E311C9"/>
    <w:rsid w:val="00E6741E"/>
    <w:rsid w:val="00E81D82"/>
    <w:rsid w:val="00EA30DB"/>
    <w:rsid w:val="00EA5226"/>
    <w:rsid w:val="00EB028B"/>
    <w:rsid w:val="00EC33B9"/>
    <w:rsid w:val="00ED3348"/>
    <w:rsid w:val="00EE4D48"/>
    <w:rsid w:val="00EE5F28"/>
    <w:rsid w:val="00EF798E"/>
    <w:rsid w:val="00F1702F"/>
    <w:rsid w:val="00F53661"/>
    <w:rsid w:val="00F5556C"/>
    <w:rsid w:val="00F575B1"/>
    <w:rsid w:val="00F60C41"/>
    <w:rsid w:val="00F65B4D"/>
    <w:rsid w:val="00F75424"/>
    <w:rsid w:val="00F930E3"/>
    <w:rsid w:val="00F968D4"/>
    <w:rsid w:val="00FA0B9F"/>
    <w:rsid w:val="00FA51F5"/>
    <w:rsid w:val="00FA6C02"/>
    <w:rsid w:val="00FB6891"/>
    <w:rsid w:val="00FD3CD3"/>
    <w:rsid w:val="00FE4A56"/>
    <w:rsid w:val="00FE514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81D3575"/>
  <w15:docId w15:val="{2EBDD8B3-E8AB-4BD7-B2F7-D99662C7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styleId="Refdecomentario">
    <w:name w:val="annotation reference"/>
    <w:basedOn w:val="Fuentedeprrafopredeter"/>
    <w:rsid w:val="00180759"/>
    <w:rPr>
      <w:sz w:val="18"/>
      <w:szCs w:val="18"/>
    </w:rPr>
  </w:style>
  <w:style w:type="paragraph" w:styleId="Textocomentario">
    <w:name w:val="annotation text"/>
    <w:basedOn w:val="Normal"/>
    <w:link w:val="TextocomentarioCar"/>
    <w:rsid w:val="00180759"/>
    <w:rPr>
      <w:sz w:val="24"/>
    </w:rPr>
  </w:style>
  <w:style w:type="character" w:customStyle="1" w:styleId="TextocomentarioCar">
    <w:name w:val="Texto comentario Car"/>
    <w:basedOn w:val="Fuentedeprrafopredeter"/>
    <w:link w:val="Textocomentario"/>
    <w:rsid w:val="00180759"/>
    <w:rPr>
      <w:sz w:val="24"/>
      <w:szCs w:val="24"/>
      <w:lang w:val="en-GB" w:eastAsia="en-US"/>
    </w:rPr>
  </w:style>
  <w:style w:type="paragraph" w:styleId="Asuntodelcomentario">
    <w:name w:val="annotation subject"/>
    <w:basedOn w:val="Textocomentario"/>
    <w:next w:val="Textocomentario"/>
    <w:link w:val="AsuntodelcomentarioCar"/>
    <w:rsid w:val="00180759"/>
    <w:rPr>
      <w:b/>
      <w:bCs/>
      <w:sz w:val="20"/>
      <w:szCs w:val="20"/>
    </w:rPr>
  </w:style>
  <w:style w:type="character" w:customStyle="1" w:styleId="AsuntodelcomentarioCar">
    <w:name w:val="Asunto del comentario Car"/>
    <w:basedOn w:val="TextocomentarioCar"/>
    <w:link w:val="Asuntodelcomentario"/>
    <w:rsid w:val="00180759"/>
    <w:rPr>
      <w:b/>
      <w:bC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0873">
      <w:bodyDiv w:val="1"/>
      <w:marLeft w:val="0"/>
      <w:marRight w:val="0"/>
      <w:marTop w:val="0"/>
      <w:marBottom w:val="0"/>
      <w:divBdr>
        <w:top w:val="none" w:sz="0" w:space="0" w:color="auto"/>
        <w:left w:val="none" w:sz="0" w:space="0" w:color="auto"/>
        <w:bottom w:val="none" w:sz="0" w:space="0" w:color="auto"/>
        <w:right w:val="none" w:sz="0" w:space="0" w:color="auto"/>
      </w:divBdr>
      <w:divsChild>
        <w:div w:id="468523827">
          <w:marLeft w:val="0"/>
          <w:marRight w:val="0"/>
          <w:marTop w:val="0"/>
          <w:marBottom w:val="0"/>
          <w:divBdr>
            <w:top w:val="none" w:sz="0" w:space="0" w:color="auto"/>
            <w:left w:val="none" w:sz="0" w:space="0" w:color="auto"/>
            <w:bottom w:val="none" w:sz="0" w:space="0" w:color="auto"/>
            <w:right w:val="none" w:sz="0" w:space="0" w:color="auto"/>
          </w:divBdr>
          <w:divsChild>
            <w:div w:id="161090198">
              <w:marLeft w:val="0"/>
              <w:marRight w:val="0"/>
              <w:marTop w:val="0"/>
              <w:marBottom w:val="0"/>
              <w:divBdr>
                <w:top w:val="none" w:sz="0" w:space="0" w:color="auto"/>
                <w:left w:val="none" w:sz="0" w:space="0" w:color="auto"/>
                <w:bottom w:val="none" w:sz="0" w:space="0" w:color="auto"/>
                <w:right w:val="none" w:sz="0" w:space="0" w:color="auto"/>
              </w:divBdr>
              <w:divsChild>
                <w:div w:id="148910284">
                  <w:marLeft w:val="0"/>
                  <w:marRight w:val="0"/>
                  <w:marTop w:val="0"/>
                  <w:marBottom w:val="0"/>
                  <w:divBdr>
                    <w:top w:val="none" w:sz="0" w:space="0" w:color="auto"/>
                    <w:left w:val="none" w:sz="0" w:space="0" w:color="auto"/>
                    <w:bottom w:val="none" w:sz="0" w:space="0" w:color="auto"/>
                    <w:right w:val="none" w:sz="0" w:space="0" w:color="auto"/>
                  </w:divBdr>
                  <w:divsChild>
                    <w:div w:id="2788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oceanites.org/wp-content/uploads/2021/03/FOA-Forum-REPORT.pdf"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oceanites.org/future-of-antarctica/penguin-conservation/state-of-antarctic-penguins-reports/" TargetMode="External"/><Relationship Id="rId2" Type="http://schemas.openxmlformats.org/officeDocument/2006/relationships/customXml" Target="../customXml/item2.xml"/><Relationship Id="rId16" Type="http://schemas.openxmlformats.org/officeDocument/2006/relationships/hyperlink" Target="http://www.penguinmap.com" TargetMode="External"/><Relationship Id="rId20" Type="http://schemas.openxmlformats.org/officeDocument/2006/relationships/hyperlink" Target="mailto:grwhumphries@blackbawks.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ceanites.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oceanites@icloud.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ceanites.org/wp-content/uploads/2020/10/SOAP-2020.pdf"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1ACEE2E2DB15940A06F73625A8FF4BA" ma:contentTypeVersion="13" ma:contentTypeDescription="Create a new document." ma:contentTypeScope="" ma:versionID="e22326494805361a0a9e35ab07174d12">
  <xsd:schema xmlns:xsd="http://www.w3.org/2001/XMLSchema" xmlns:xs="http://www.w3.org/2001/XMLSchema" xmlns:p="http://schemas.microsoft.com/office/2006/metadata/properties" xmlns:ns3="0191722b-fb81-4cd9-8aaf-08d99e3b54c6" xmlns:ns4="de7036ba-e162-4772-a395-dcf7be11db03" targetNamespace="http://schemas.microsoft.com/office/2006/metadata/properties" ma:root="true" ma:fieldsID="9933e109415bc869466dd78ebc37c086" ns3:_="" ns4:_="">
    <xsd:import namespace="0191722b-fb81-4cd9-8aaf-08d99e3b54c6"/>
    <xsd:import namespace="de7036ba-e162-4772-a395-dcf7be11db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1722b-fb81-4cd9-8aaf-08d99e3b54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7036ba-e162-4772-a395-dcf7be11db0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96BB2C-C00E-4A5C-86D7-5C6C144F18B8}">
  <ds:schemaRefs>
    <ds:schemaRef ds:uri="http://schemas.microsoft.com/sharepoint/v3/contenttype/forms"/>
  </ds:schemaRefs>
</ds:datastoreItem>
</file>

<file path=customXml/itemProps2.xml><?xml version="1.0" encoding="utf-8"?>
<ds:datastoreItem xmlns:ds="http://schemas.openxmlformats.org/officeDocument/2006/customXml" ds:itemID="{78320824-B92B-4B02-A632-E72DEA7F043A}">
  <ds:schemaRefs>
    <ds:schemaRef ds:uri="http://schemas.microsoft.com/office/2006/metadata/properties"/>
    <ds:schemaRef ds:uri="http://schemas.microsoft.com/office/infopath/2007/PartnerControls"/>
    <ds:schemaRef ds:uri="0191722b-fb81-4cd9-8aaf-08d99e3b54c6"/>
    <ds:schemaRef ds:uri="http://purl.org/dc/terms/"/>
    <ds:schemaRef ds:uri="http://schemas.openxmlformats.org/package/2006/metadata/core-properties"/>
    <ds:schemaRef ds:uri="http://schemas.microsoft.com/office/2006/documentManagement/types"/>
    <ds:schemaRef ds:uri="de7036ba-e162-4772-a395-dcf7be11db03"/>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890F1622-CE02-EB47-A909-B8955E8EDAAC}">
  <ds:schemaRefs>
    <ds:schemaRef ds:uri="http://schemas.openxmlformats.org/officeDocument/2006/bibliography"/>
  </ds:schemaRefs>
</ds:datastoreItem>
</file>

<file path=customXml/itemProps4.xml><?xml version="1.0" encoding="utf-8"?>
<ds:datastoreItem xmlns:ds="http://schemas.openxmlformats.org/officeDocument/2006/customXml" ds:itemID="{A7BE4712-F015-4DD2-9547-256562768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1722b-fb81-4cd9-8aaf-08d99e3b54c6"/>
    <ds:schemaRef ds:uri="de7036ba-e162-4772-a395-dcf7be11db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1163</Words>
  <Characters>6402</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vt:lpstr>
      <vt:lpstr>(Paper title:)</vt:lpstr>
    </vt:vector>
  </TitlesOfParts>
  <Company>ATS</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Ron Naveen</dc:creator>
  <cp:keywords/>
  <dc:description/>
  <cp:lastModifiedBy>Jose Luis Agraz</cp:lastModifiedBy>
  <cp:revision>3</cp:revision>
  <cp:lastPrinted>2008-01-22T18:20:00Z</cp:lastPrinted>
  <dcterms:created xsi:type="dcterms:W3CDTF">2021-05-15T09:29:00Z</dcterms:created>
  <dcterms:modified xsi:type="dcterms:W3CDTF">2021-05-17T14:56:00Z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0x010100C1ACEE2E2DB15940A06F73625A8FF4BA</vt:lpwstr>
  </property>
</Properties>
</file>