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C722" w14:textId="77777777" w:rsidR="00C26F2D" w:rsidRPr="00BF077B" w:rsidRDefault="009257D5" w:rsidP="00BF077B">
      <w:pPr>
        <w:pStyle w:val="ATSNormal"/>
        <w:rPr>
          <w:rStyle w:val="Ttulodellibro"/>
        </w:rPr>
      </w:pPr>
    </w:p>
    <w:p w14:paraId="5FCD60EE" w14:textId="77777777" w:rsidR="002F0A13" w:rsidRDefault="009257D5" w:rsidP="004B4A60">
      <w:pPr>
        <w:rPr>
          <w:b/>
          <w:u w:val="single"/>
          <w:lang w:val="es-ES_tradnl"/>
        </w:rPr>
      </w:pPr>
    </w:p>
    <w:p w14:paraId="650C74C8" w14:textId="77777777" w:rsidR="002F0A13" w:rsidRDefault="009257D5" w:rsidP="004B4A60">
      <w:pPr>
        <w:rPr>
          <w:b/>
          <w:u w:val="single"/>
          <w:lang w:val="es-ES_tradnl"/>
        </w:rPr>
      </w:pPr>
    </w:p>
    <w:p w14:paraId="29E91332" w14:textId="77777777" w:rsidR="002F0A13" w:rsidRDefault="009257D5" w:rsidP="004B4A60">
      <w:pPr>
        <w:rPr>
          <w:b/>
          <w:u w:val="single"/>
          <w:lang w:val="es-ES_tradnl"/>
        </w:rPr>
      </w:pPr>
    </w:p>
    <w:p w14:paraId="6D922646" w14:textId="77777777" w:rsidR="002F0A13" w:rsidRDefault="009257D5" w:rsidP="004B4A60">
      <w:pPr>
        <w:rPr>
          <w:b/>
          <w:u w:val="single"/>
          <w:lang w:val="es-ES_tradnl"/>
        </w:rPr>
      </w:pPr>
    </w:p>
    <w:p w14:paraId="1AD345B7" w14:textId="77777777" w:rsidR="00C26F2D" w:rsidRDefault="009257D5" w:rsidP="004B4A60">
      <w:pPr>
        <w:rPr>
          <w:b/>
          <w:u w:val="single"/>
          <w:lang w:val="es-ES_tradnl"/>
        </w:rPr>
      </w:pPr>
    </w:p>
    <w:p w14:paraId="362641BE" w14:textId="77777777" w:rsidR="004B4A60" w:rsidRPr="0057246E" w:rsidRDefault="009257D5" w:rsidP="001B789F">
      <w:pPr>
        <w:pStyle w:val="ATSTitle"/>
      </w:pPr>
      <w:bookmarkStart w:id="0" w:name="name"/>
      <w:r>
        <w:t>WMO Annual Report</w:t>
      </w:r>
      <w:bookmarkEnd w:id="0"/>
    </w:p>
    <w:p w14:paraId="74B4DBB4" w14:textId="77777777" w:rsidR="004B4A60" w:rsidRPr="0057246E" w:rsidRDefault="009257D5" w:rsidP="00F75424">
      <w:pPr>
        <w:jc w:val="center"/>
      </w:pPr>
    </w:p>
    <w:p w14:paraId="595D85BF" w14:textId="77777777" w:rsidR="004B4A60" w:rsidRPr="002F0A13" w:rsidRDefault="009257D5" w:rsidP="002F0A13"/>
    <w:p w14:paraId="73E0C5E1" w14:textId="77777777" w:rsidR="004B4A60" w:rsidRDefault="009257D5" w:rsidP="00F75424">
      <w:pPr>
        <w:jc w:val="center"/>
      </w:pPr>
      <w:bookmarkStart w:id="1" w:name="memo"/>
      <w:bookmarkEnd w:id="1"/>
    </w:p>
    <w:p w14:paraId="11142C3F" w14:textId="77777777" w:rsidR="0097629D" w:rsidRDefault="009257D5" w:rsidP="00F75424">
      <w:pPr>
        <w:jc w:val="center"/>
      </w:pPr>
    </w:p>
    <w:p w14:paraId="4DF228C1" w14:textId="77777777" w:rsidR="0097629D" w:rsidRDefault="009257D5" w:rsidP="00F75424">
      <w:pPr>
        <w:jc w:val="center"/>
      </w:pPr>
    </w:p>
    <w:p w14:paraId="5E1252F9" w14:textId="77777777" w:rsidR="0097629D" w:rsidRDefault="009257D5" w:rsidP="00F75424">
      <w:pPr>
        <w:jc w:val="center"/>
      </w:pPr>
    </w:p>
    <w:p w14:paraId="0005F2A7" w14:textId="77777777" w:rsidR="0097629D" w:rsidRPr="00C26F2D" w:rsidRDefault="009257D5" w:rsidP="00F75424">
      <w:pPr>
        <w:jc w:val="center"/>
      </w:pPr>
    </w:p>
    <w:p w14:paraId="7F3A9C1F" w14:textId="77777777" w:rsidR="004B4A60" w:rsidRPr="0057246E" w:rsidRDefault="009257D5" w:rsidP="004B4A60"/>
    <w:p w14:paraId="06845EF5" w14:textId="77777777" w:rsidR="00C26F2D" w:rsidRDefault="009257D5"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F3B8A7D" w14:textId="5C4C7E08" w:rsidR="004B4A60" w:rsidRDefault="009257D5" w:rsidP="00952E9F"/>
    <w:p w14:paraId="2F503EB1" w14:textId="77777777" w:rsidR="009257D5" w:rsidRDefault="009257D5" w:rsidP="009257D5">
      <w:pPr>
        <w:pStyle w:val="ATSHeading1"/>
      </w:pPr>
      <w:r>
        <w:t xml:space="preserve">WMO Annual Report </w:t>
      </w:r>
    </w:p>
    <w:p w14:paraId="3481CB77" w14:textId="77777777" w:rsidR="009257D5" w:rsidRPr="006B06E6" w:rsidRDefault="009257D5" w:rsidP="009257D5">
      <w:pPr>
        <w:jc w:val="center"/>
      </w:pPr>
      <w:r>
        <w:t xml:space="preserve">An Information Paper submitted by </w:t>
      </w:r>
      <w:proofErr w:type="gramStart"/>
      <w:r>
        <w:t>WMO</w:t>
      </w:r>
      <w:proofErr w:type="gramEnd"/>
    </w:p>
    <w:p w14:paraId="726772CA" w14:textId="77777777" w:rsidR="009257D5" w:rsidRPr="00BA2FD2" w:rsidRDefault="009257D5" w:rsidP="009257D5">
      <w:pPr>
        <w:pStyle w:val="ATSNormal"/>
      </w:pPr>
    </w:p>
    <w:p w14:paraId="05AB9211" w14:textId="77777777" w:rsidR="009257D5" w:rsidRDefault="009257D5" w:rsidP="009257D5">
      <w:pPr>
        <w:pStyle w:val="ATSNormal"/>
      </w:pPr>
      <w:r>
        <w:t>The World Meteorological Organization</w:t>
      </w:r>
      <w:r>
        <w:rPr>
          <w:rStyle w:val="Refdenotaalpie"/>
        </w:rPr>
        <w:footnoteReference w:id="1"/>
      </w:r>
      <w:r>
        <w:t xml:space="preserve"> (WMO) is a specialized agency of the United Nations and includes 193 Member States and Territories. It is the UN system's authoritative voice on the state and behaviour of the Earth's atmosphere, its interaction with the oceans, the climate it produces and the resulting distribution of water resources. </w:t>
      </w:r>
    </w:p>
    <w:p w14:paraId="220F5232" w14:textId="77777777" w:rsidR="009257D5" w:rsidRDefault="009257D5" w:rsidP="009257D5">
      <w:pPr>
        <w:widowControl w:val="0"/>
        <w:autoSpaceDE w:val="0"/>
        <w:autoSpaceDN w:val="0"/>
        <w:adjustRightInd w:val="0"/>
        <w:rPr>
          <w:lang w:eastAsia="en-GB"/>
        </w:rPr>
      </w:pPr>
      <w:r w:rsidRPr="4604F983">
        <w:rPr>
          <w:lang w:eastAsia="en-GB"/>
        </w:rPr>
        <w:t>WMO has framed its Polar and High Mountain activities as part of the WMO Strategic Plan 2020-2023 along the following priorities: (</w:t>
      </w:r>
      <w:proofErr w:type="spellStart"/>
      <w:r w:rsidRPr="4604F983">
        <w:rPr>
          <w:lang w:eastAsia="en-GB"/>
        </w:rPr>
        <w:t>i</w:t>
      </w:r>
      <w:proofErr w:type="spellEnd"/>
      <w:r w:rsidRPr="4604F983">
        <w:rPr>
          <w:lang w:eastAsia="en-GB"/>
        </w:rPr>
        <w:t>) integration of surface and space observations, (ii) polar prediction and services, including climate services, (iii) the Global Cryosphere Watch pre-operational phase, (iv) high mountain activities, (v) transition from research to operation and services, and (vi) resources and partnership.</w:t>
      </w:r>
    </w:p>
    <w:p w14:paraId="40D10E99" w14:textId="77777777" w:rsidR="009257D5" w:rsidRDefault="009257D5" w:rsidP="009257D5">
      <w:pPr>
        <w:rPr>
          <w:szCs w:val="22"/>
          <w:lang w:eastAsia="en-GB"/>
        </w:rPr>
      </w:pPr>
      <w:r w:rsidRPr="4604F983">
        <w:rPr>
          <w:szCs w:val="22"/>
          <w:lang w:eastAsia="en-GB"/>
        </w:rPr>
        <w:t>The activities of WMO related to Antarctica has been coordinated through the Executive Council Panel on Polar and High Mountains Observations, Research, and Services (EC-PHORS), since 2007. In 2021, EC-PHORS held its 10</w:t>
      </w:r>
      <w:r w:rsidRPr="4604F983">
        <w:rPr>
          <w:szCs w:val="22"/>
          <w:vertAlign w:val="superscript"/>
          <w:lang w:eastAsia="en-GB"/>
        </w:rPr>
        <w:t>th</w:t>
      </w:r>
      <w:r w:rsidRPr="4604F983">
        <w:rPr>
          <w:szCs w:val="22"/>
          <w:lang w:eastAsia="en-GB"/>
        </w:rPr>
        <w:t xml:space="preserve"> session and the report in available </w:t>
      </w:r>
      <w:hyperlink r:id="rId11">
        <w:r w:rsidRPr="4604F983">
          <w:rPr>
            <w:rStyle w:val="Hipervnculo"/>
            <w:szCs w:val="22"/>
            <w:lang w:eastAsia="en-GB"/>
          </w:rPr>
          <w:t>online</w:t>
        </w:r>
      </w:hyperlink>
      <w:r w:rsidRPr="4604F983">
        <w:rPr>
          <w:szCs w:val="22"/>
          <w:lang w:eastAsia="en-GB"/>
        </w:rPr>
        <w:t xml:space="preserve">. The meeting recommended revised terms of reference of the Panel including a focus on the evolution of the coordination of those activities on Antarctica where WMO could make contributions to advance specific current and emerging goals, as well as the engagements with other actors in the region, </w:t>
      </w:r>
      <w:proofErr w:type="gramStart"/>
      <w:r w:rsidRPr="4604F983">
        <w:rPr>
          <w:szCs w:val="22"/>
          <w:lang w:eastAsia="en-GB"/>
        </w:rPr>
        <w:t>e.g.</w:t>
      </w:r>
      <w:proofErr w:type="gramEnd"/>
      <w:r w:rsidRPr="4604F983">
        <w:rPr>
          <w:szCs w:val="22"/>
          <w:lang w:eastAsia="en-GB"/>
        </w:rPr>
        <w:t xml:space="preserve"> SCAR, COMNAP, etc.</w:t>
      </w:r>
    </w:p>
    <w:p w14:paraId="2F29D388" w14:textId="77777777" w:rsidR="009257D5" w:rsidRDefault="009257D5" w:rsidP="009257D5">
      <w:pPr>
        <w:widowControl w:val="0"/>
        <w:autoSpaceDE w:val="0"/>
        <w:autoSpaceDN w:val="0"/>
        <w:adjustRightInd w:val="0"/>
        <w:rPr>
          <w:lang w:eastAsia="en-GB"/>
        </w:rPr>
      </w:pPr>
    </w:p>
    <w:p w14:paraId="72A4DAF9" w14:textId="77777777" w:rsidR="009257D5" w:rsidRDefault="009257D5" w:rsidP="009257D5">
      <w:pPr>
        <w:rPr>
          <w:u w:val="single"/>
          <w:lang w:eastAsia="en-GB"/>
        </w:rPr>
      </w:pPr>
      <w:r w:rsidRPr="4604F983">
        <w:rPr>
          <w:u w:val="single"/>
          <w:lang w:eastAsia="en-GB"/>
        </w:rPr>
        <w:t>WMO Observations and Data activities relevant to Antarctica:</w:t>
      </w:r>
    </w:p>
    <w:p w14:paraId="3971891B" w14:textId="77777777" w:rsidR="009257D5" w:rsidRPr="002F37F6" w:rsidRDefault="009257D5" w:rsidP="009257D5">
      <w:pPr>
        <w:rPr>
          <w:u w:val="single"/>
          <w:lang w:eastAsia="en-GB"/>
        </w:rPr>
      </w:pPr>
    </w:p>
    <w:p w14:paraId="53A59405" w14:textId="77777777" w:rsidR="009257D5" w:rsidRPr="00D44A3A" w:rsidRDefault="009257D5" w:rsidP="009257D5">
      <w:pPr>
        <w:rPr>
          <w:lang w:eastAsia="en-GB"/>
        </w:rPr>
      </w:pPr>
      <w:r w:rsidRPr="002F37F6">
        <w:rPr>
          <w:lang w:eastAsia="en-GB"/>
        </w:rPr>
        <w:t xml:space="preserve">WMO continues to play a key role in </w:t>
      </w:r>
      <w:r w:rsidRPr="4604F983">
        <w:rPr>
          <w:lang w:eastAsia="en-GB"/>
        </w:rPr>
        <w:t xml:space="preserve">facilitating programmes of surface and upper-air meteorological observations in the Antarctic by working with relevant scientific organizations, and the standardization of observing, coding, data exchange and data management practices applied to the Antarctic. Following the governance reform of WMO activities, these will receive active support through the structures of the </w:t>
      </w:r>
      <w:r>
        <w:rPr>
          <w:lang w:eastAsia="en-GB"/>
        </w:rPr>
        <w:t xml:space="preserve">WMO </w:t>
      </w:r>
      <w:r w:rsidRPr="4604F983">
        <w:rPr>
          <w:lang w:eastAsia="en-GB"/>
        </w:rPr>
        <w:t xml:space="preserve">Commission for Observation, </w:t>
      </w:r>
      <w:proofErr w:type="gramStart"/>
      <w:r w:rsidRPr="4604F983">
        <w:rPr>
          <w:lang w:eastAsia="en-GB"/>
        </w:rPr>
        <w:t>Infrastructure</w:t>
      </w:r>
      <w:proofErr w:type="gramEnd"/>
      <w:r w:rsidRPr="4604F983">
        <w:rPr>
          <w:lang w:eastAsia="en-GB"/>
        </w:rPr>
        <w:t xml:space="preserve"> and Information Systems (Infrastructure Commission).</w:t>
      </w:r>
      <w:r w:rsidRPr="00D44A3A">
        <w:rPr>
          <w:lang w:eastAsia="en-GB"/>
        </w:rPr>
        <w:t xml:space="preserve"> </w:t>
      </w:r>
    </w:p>
    <w:p w14:paraId="122C5B09" w14:textId="77777777" w:rsidR="009257D5" w:rsidRDefault="009257D5" w:rsidP="009257D5">
      <w:pPr>
        <w:rPr>
          <w:lang w:eastAsia="en-GB"/>
        </w:rPr>
      </w:pPr>
    </w:p>
    <w:p w14:paraId="4AAD2C3B" w14:textId="77777777" w:rsidR="009257D5" w:rsidRPr="00D44A3A" w:rsidRDefault="009257D5" w:rsidP="009257D5">
      <w:pPr>
        <w:rPr>
          <w:lang w:eastAsia="en-GB"/>
        </w:rPr>
      </w:pPr>
      <w:r w:rsidRPr="002F37F6">
        <w:rPr>
          <w:lang w:eastAsia="en-GB"/>
        </w:rPr>
        <w:t>The 73</w:t>
      </w:r>
      <w:r w:rsidRPr="00D44A3A">
        <w:rPr>
          <w:lang w:eastAsia="en-GB"/>
        </w:rPr>
        <w:t>rd</w:t>
      </w:r>
      <w:r w:rsidRPr="002F37F6">
        <w:rPr>
          <w:lang w:eastAsia="en-GB"/>
        </w:rPr>
        <w:t xml:space="preserve"> session of the WMO Executive Council (</w:t>
      </w:r>
      <w:hyperlink r:id="rId12">
        <w:r w:rsidRPr="00D44A3A">
          <w:t>E</w:t>
        </w:r>
      </w:hyperlink>
      <w:hyperlink r:id="rId13">
        <w:r w:rsidRPr="00D44A3A">
          <w:t>C-73</w:t>
        </w:r>
      </w:hyperlink>
      <w:r w:rsidRPr="002F37F6">
        <w:rPr>
          <w:lang w:eastAsia="en-GB"/>
        </w:rPr>
        <w:t xml:space="preserve">), which will take place in June 2021, will consider for approval the </w:t>
      </w:r>
      <w:hyperlink r:id="rId14">
        <w:r w:rsidRPr="00D44A3A">
          <w:t xml:space="preserve">pre-operational plan of </w:t>
        </w:r>
        <w:r>
          <w:t>the Global Cryosphere Watch (</w:t>
        </w:r>
        <w:r w:rsidRPr="00D44A3A">
          <w:t>GCW</w:t>
        </w:r>
      </w:hyperlink>
      <w:r>
        <w:rPr>
          <w:lang w:eastAsia="en-GB"/>
        </w:rPr>
        <w:t>)</w:t>
      </w:r>
      <w:r w:rsidRPr="002F37F6">
        <w:rPr>
          <w:lang w:eastAsia="en-GB"/>
        </w:rPr>
        <w:t xml:space="preserve">. </w:t>
      </w:r>
      <w:r w:rsidRPr="00D44A3A">
        <w:rPr>
          <w:lang w:eastAsia="en-GB"/>
        </w:rPr>
        <w:t xml:space="preserve">A summary on the GCW Sea Ice objectives was published in the WMO Bulletin </w:t>
      </w:r>
      <w:hyperlink r:id="rId15">
        <w:r w:rsidRPr="00D44A3A">
          <w:t>Vol 70(1) - 2021</w:t>
        </w:r>
        <w:r>
          <w:rPr>
            <w:rStyle w:val="Refdenotaalpie"/>
          </w:rPr>
          <w:footnoteReference w:id="2"/>
        </w:r>
        <w:r w:rsidRPr="00D44A3A">
          <w:t>.</w:t>
        </w:r>
      </w:hyperlink>
    </w:p>
    <w:p w14:paraId="7086A39B" w14:textId="77777777" w:rsidR="009257D5" w:rsidRDefault="009257D5" w:rsidP="009257D5">
      <w:pPr>
        <w:rPr>
          <w:lang w:eastAsia="en-GB"/>
        </w:rPr>
      </w:pPr>
    </w:p>
    <w:p w14:paraId="783F58C8" w14:textId="77777777" w:rsidR="009257D5" w:rsidRPr="00D44A3A" w:rsidRDefault="009257D5" w:rsidP="009257D5">
      <w:pPr>
        <w:rPr>
          <w:lang w:eastAsia="en-GB"/>
        </w:rPr>
      </w:pPr>
      <w:r w:rsidRPr="002F37F6">
        <w:rPr>
          <w:lang w:eastAsia="en-GB"/>
        </w:rPr>
        <w:t xml:space="preserve">The </w:t>
      </w:r>
      <w:r>
        <w:rPr>
          <w:lang w:eastAsia="en-GB"/>
        </w:rPr>
        <w:t xml:space="preserve">observing </w:t>
      </w:r>
      <w:r w:rsidRPr="002F37F6">
        <w:rPr>
          <w:lang w:eastAsia="en-GB"/>
        </w:rPr>
        <w:t xml:space="preserve">stations operated </w:t>
      </w:r>
      <w:r>
        <w:rPr>
          <w:lang w:eastAsia="en-GB"/>
        </w:rPr>
        <w:t>i</w:t>
      </w:r>
      <w:r w:rsidRPr="002F37F6">
        <w:rPr>
          <w:lang w:eastAsia="en-GB"/>
        </w:rPr>
        <w:t>n Antarctica provide critical input to global prediction models and the availability of their data in real time is critical. To facilitate the registration of available surface stations in the WMO’s Observing System Capability and Analysis Tool (</w:t>
      </w:r>
      <w:hyperlink r:id="rId16" w:anchor="/">
        <w:r w:rsidRPr="00D44A3A">
          <w:t>OSCAR/Surface</w:t>
        </w:r>
      </w:hyperlink>
      <w:r w:rsidRPr="002F37F6">
        <w:rPr>
          <w:lang w:eastAsia="en-GB"/>
        </w:rPr>
        <w:t xml:space="preserve">) WMO has provided further clarification regarding the allocation of WIGOS Station Identifiers (WSI) for stations operating in </w:t>
      </w:r>
      <w:hyperlink r:id="rId17">
        <w:r w:rsidRPr="00D44A3A">
          <w:t>Antarctica.</w:t>
        </w:r>
      </w:hyperlink>
      <w:r w:rsidRPr="002F37F6">
        <w:rPr>
          <w:lang w:eastAsia="en-GB"/>
        </w:rPr>
        <w:t xml:space="preserve"> Specifically, station operators are invited to connect with their national OSCAR/Surface Focal Points who are authorised to issue WSIs for Antarctica-based stations operated by national institutions. These Focal Points will also provide guidance on the registration process, based on the nationally agreed policies</w:t>
      </w:r>
      <w:r w:rsidRPr="4604F983">
        <w:rPr>
          <w:lang w:eastAsia="en-GB"/>
        </w:rPr>
        <w:t>. The list of t</w:t>
      </w:r>
      <w:r w:rsidRPr="00D44A3A">
        <w:rPr>
          <w:lang w:eastAsia="en-GB"/>
        </w:rPr>
        <w:t xml:space="preserve">he OSCAR/Surface national focal points is available </w:t>
      </w:r>
      <w:r>
        <w:rPr>
          <w:lang w:eastAsia="en-GB"/>
        </w:rPr>
        <w:t>from</w:t>
      </w:r>
      <w:r w:rsidRPr="00D44A3A">
        <w:rPr>
          <w:lang w:eastAsia="en-GB"/>
        </w:rPr>
        <w:t xml:space="preserve"> https://community.wmo.int/governance/commission-membership/national-focal-points-oscarsurface. </w:t>
      </w:r>
    </w:p>
    <w:p w14:paraId="313DEB04" w14:textId="77777777" w:rsidR="009257D5" w:rsidRPr="00D44A3A" w:rsidRDefault="009257D5" w:rsidP="009257D5">
      <w:pPr>
        <w:rPr>
          <w:lang w:eastAsia="en-GB"/>
        </w:rPr>
      </w:pPr>
      <w:r w:rsidRPr="00D44A3A">
        <w:rPr>
          <w:lang w:eastAsia="en-GB"/>
        </w:rPr>
        <w:t>Additionally, several other programmes, including the Global Cryosphere Watch, has been authorized to issue WSIs, where these are not issued by the National Focal Points. This clarification should further facilitate the engagement of station operators in Antarctica, with the goal of facilitating the real time data exchange from these stations.</w:t>
      </w:r>
    </w:p>
    <w:p w14:paraId="2F6DC3C2" w14:textId="77777777" w:rsidR="009257D5" w:rsidRPr="002F37F6" w:rsidRDefault="009257D5" w:rsidP="009257D5">
      <w:pPr>
        <w:rPr>
          <w:lang w:eastAsia="en-GB"/>
        </w:rPr>
      </w:pPr>
    </w:p>
    <w:p w14:paraId="20FBB202" w14:textId="77777777" w:rsidR="009257D5" w:rsidRPr="002F37F6" w:rsidRDefault="009257D5" w:rsidP="009257D5">
      <w:pPr>
        <w:rPr>
          <w:szCs w:val="22"/>
          <w:lang w:eastAsia="en-GB"/>
        </w:rPr>
      </w:pPr>
      <w:r w:rsidRPr="4604F983">
        <w:rPr>
          <w:szCs w:val="22"/>
          <w:lang w:eastAsia="en-GB"/>
        </w:rPr>
        <w:t xml:space="preserve">During the current intersessional period, WMO is developing two critical policies, which will be discussed at </w:t>
      </w:r>
      <w:hyperlink r:id="rId18">
        <w:r w:rsidRPr="4604F983">
          <w:rPr>
            <w:rStyle w:val="Hipervnculo"/>
            <w:szCs w:val="22"/>
            <w:lang w:eastAsia="en-GB"/>
          </w:rPr>
          <w:t>EC-73</w:t>
        </w:r>
      </w:hyperlink>
      <w:r w:rsidRPr="4604F983">
        <w:rPr>
          <w:szCs w:val="22"/>
          <w:lang w:eastAsia="en-GB"/>
        </w:rPr>
        <w:t xml:space="preserve">. The first is on the </w:t>
      </w:r>
      <w:hyperlink r:id="rId19">
        <w:r w:rsidRPr="4604F983">
          <w:rPr>
            <w:rStyle w:val="Hipervnculo"/>
            <w:szCs w:val="22"/>
            <w:lang w:eastAsia="en-GB"/>
          </w:rPr>
          <w:t>Unified Data Policy for the International Exchange of Earth System Dat</w:t>
        </w:r>
      </w:hyperlink>
      <w:r w:rsidRPr="4604F983">
        <w:rPr>
          <w:szCs w:val="22"/>
          <w:lang w:eastAsia="en-GB"/>
        </w:rPr>
        <w:t xml:space="preserve">a and the second is on establishing the regulatory framework for a </w:t>
      </w:r>
      <w:hyperlink r:id="rId20">
        <w:r w:rsidRPr="4604F983">
          <w:rPr>
            <w:rStyle w:val="Hipervnculo"/>
            <w:szCs w:val="22"/>
            <w:lang w:eastAsia="en-GB"/>
          </w:rPr>
          <w:t>Global Basic Observing Network</w:t>
        </w:r>
      </w:hyperlink>
      <w:r w:rsidRPr="4604F983">
        <w:rPr>
          <w:szCs w:val="22"/>
          <w:lang w:eastAsia="en-GB"/>
        </w:rPr>
        <w:t xml:space="preserve">, to which the observing stations in Antarctica are expected to make a critical contribution. </w:t>
      </w:r>
    </w:p>
    <w:p w14:paraId="72E8C9F8" w14:textId="77777777" w:rsidR="009257D5" w:rsidRDefault="009257D5" w:rsidP="009257D5">
      <w:pPr>
        <w:rPr>
          <w:szCs w:val="22"/>
          <w:lang w:eastAsia="en-GB"/>
        </w:rPr>
      </w:pPr>
      <w:r w:rsidRPr="4604F983">
        <w:rPr>
          <w:szCs w:val="22"/>
          <w:lang w:eastAsia="en-GB"/>
        </w:rPr>
        <w:lastRenderedPageBreak/>
        <w:t>A concept of a WIGOS Data Quality Monitoring System (WDQMS) developed by WMO is relatively mature. A pilot project using the existing monitoring capabilities of the global NWP Centres for the surface component of the Global Observing System is being transitioned to pre-operational status and has already demonstrated the value of such a system. WMO is interested to support the implementation of this concept for the stations operated in Antarctica and collaborate with interested organizations, in this sense.</w:t>
      </w:r>
    </w:p>
    <w:p w14:paraId="679927BA" w14:textId="77777777" w:rsidR="009257D5" w:rsidRPr="004A7172" w:rsidRDefault="009257D5" w:rsidP="009257D5">
      <w:pPr>
        <w:pStyle w:val="ATSHeading1"/>
        <w:jc w:val="left"/>
        <w:rPr>
          <w:rFonts w:ascii="Times New Roman" w:hAnsi="Times New Roman"/>
          <w:b w:val="0"/>
          <w:sz w:val="22"/>
          <w:u w:val="single"/>
        </w:rPr>
      </w:pPr>
      <w:r w:rsidRPr="004A7172">
        <w:rPr>
          <w:rFonts w:ascii="Times New Roman" w:hAnsi="Times New Roman"/>
          <w:b w:val="0"/>
          <w:sz w:val="22"/>
          <w:u w:val="single"/>
        </w:rPr>
        <w:t>Winter Antarctic Targeted Observing Periods and Further Plans of the Year of Polar Prediction in the Southern Hemisphere (YOPP-SH)</w:t>
      </w:r>
    </w:p>
    <w:p w14:paraId="7995F57D" w14:textId="54DFC47E" w:rsidR="009257D5" w:rsidRPr="005A1D9D" w:rsidRDefault="009257D5" w:rsidP="009257D5">
      <w:pPr>
        <w:pStyle w:val="ATSNormal"/>
        <w:rPr>
          <w:szCs w:val="22"/>
        </w:rPr>
      </w:pPr>
      <w:r w:rsidRPr="005A1D9D">
        <w:rPr>
          <w:szCs w:val="22"/>
        </w:rPr>
        <w:t>The Year of Polar Prediction (YOPP</w:t>
      </w:r>
      <w:r>
        <w:rPr>
          <w:szCs w:val="22"/>
        </w:rPr>
        <w:t>)</w:t>
      </w:r>
      <w:r w:rsidRPr="005A1D9D">
        <w:rPr>
          <w:szCs w:val="22"/>
        </w:rPr>
        <w:t xml:space="preserve"> 2017-2019 galvanised extra observation and modelling efforts in both the Arctic and Antarctic. YOPP is part of the World Meteorological Organization's Polar Prediction Project (PPP). From July 2019, the </w:t>
      </w:r>
      <w:r>
        <w:rPr>
          <w:szCs w:val="22"/>
        </w:rPr>
        <w:t>PPP</w:t>
      </w:r>
      <w:r w:rsidRPr="005A1D9D">
        <w:rPr>
          <w:szCs w:val="22"/>
        </w:rPr>
        <w:t xml:space="preserve"> moved into its Consolidation Phase. This final phase of PPP (until end of 2022) is crucial to synthesize the data and research from the Preparation and Core Phases and to determine the long-term success of YOPP. YOPP-SH is currently planning a second S</w:t>
      </w:r>
      <w:r>
        <w:rPr>
          <w:szCs w:val="22"/>
        </w:rPr>
        <w:t>pecial Observing Period</w:t>
      </w:r>
      <w:r w:rsidRPr="005A1D9D">
        <w:rPr>
          <w:szCs w:val="22"/>
        </w:rPr>
        <w:t>, mid-April to mid-July 2022, coinciding with the rapid expansion of the sea-ice cover</w:t>
      </w:r>
      <w:r>
        <w:rPr>
          <w:szCs w:val="22"/>
        </w:rPr>
        <w:t xml:space="preserve"> </w:t>
      </w:r>
      <w:r w:rsidRPr="00F660F2">
        <w:t>(</w:t>
      </w:r>
      <w:r w:rsidRPr="004A7172">
        <w:t xml:space="preserve">see </w:t>
      </w:r>
      <w:r w:rsidRPr="009257D5">
        <w:t xml:space="preserve">associated IP </w:t>
      </w:r>
      <w:r w:rsidRPr="009257D5">
        <w:t>94</w:t>
      </w:r>
      <w:r w:rsidRPr="009257D5">
        <w:t>).</w:t>
      </w:r>
    </w:p>
    <w:p w14:paraId="08F7C455" w14:textId="77777777" w:rsidR="009257D5" w:rsidRDefault="009257D5" w:rsidP="009257D5">
      <w:pPr>
        <w:widowControl w:val="0"/>
        <w:autoSpaceDE w:val="0"/>
        <w:autoSpaceDN w:val="0"/>
        <w:adjustRightInd w:val="0"/>
        <w:rPr>
          <w:lang w:eastAsia="en-GB"/>
        </w:rPr>
      </w:pPr>
      <w:r w:rsidRPr="7ED80E86">
        <w:rPr>
          <w:lang w:eastAsia="en-GB"/>
        </w:rPr>
        <w:t> </w:t>
      </w:r>
    </w:p>
    <w:p w14:paraId="2433B78A" w14:textId="77777777" w:rsidR="009257D5" w:rsidRDefault="009257D5" w:rsidP="009257D5">
      <w:pPr>
        <w:widowControl w:val="0"/>
        <w:autoSpaceDE w:val="0"/>
        <w:autoSpaceDN w:val="0"/>
        <w:adjustRightInd w:val="0"/>
        <w:rPr>
          <w:u w:val="single"/>
          <w:lang w:eastAsia="en-GB"/>
        </w:rPr>
      </w:pPr>
      <w:r w:rsidRPr="7ED80E86">
        <w:rPr>
          <w:u w:val="single"/>
          <w:lang w:eastAsia="en-GB"/>
        </w:rPr>
        <w:t>Antarctic Polar Regional Climate Centre (</w:t>
      </w:r>
      <w:proofErr w:type="spellStart"/>
      <w:r w:rsidRPr="7ED80E86">
        <w:rPr>
          <w:u w:val="single"/>
          <w:lang w:eastAsia="en-GB"/>
        </w:rPr>
        <w:t>AntRCC</w:t>
      </w:r>
      <w:proofErr w:type="spellEnd"/>
      <w:r w:rsidRPr="7ED80E86">
        <w:rPr>
          <w:u w:val="single"/>
          <w:lang w:eastAsia="en-GB"/>
        </w:rPr>
        <w:t>) Network</w:t>
      </w:r>
      <w:r>
        <w:rPr>
          <w:u w:val="single"/>
          <w:lang w:eastAsia="en-GB"/>
        </w:rPr>
        <w:t xml:space="preserve">: the </w:t>
      </w:r>
      <w:proofErr w:type="spellStart"/>
      <w:r>
        <w:rPr>
          <w:u w:val="single"/>
          <w:lang w:eastAsia="en-GB"/>
        </w:rPr>
        <w:t>Ccope</w:t>
      </w:r>
      <w:proofErr w:type="spellEnd"/>
      <w:r>
        <w:rPr>
          <w:u w:val="single"/>
          <w:lang w:eastAsia="en-GB"/>
        </w:rPr>
        <w:t xml:space="preserve"> and Concept</w:t>
      </w:r>
      <w:r w:rsidRPr="7ED80E86">
        <w:rPr>
          <w:lang w:eastAsia="en-GB"/>
        </w:rPr>
        <w:t xml:space="preserve"> </w:t>
      </w:r>
    </w:p>
    <w:p w14:paraId="6F14E79F" w14:textId="77777777" w:rsidR="009257D5" w:rsidRDefault="009257D5" w:rsidP="009257D5">
      <w:pPr>
        <w:suppressAutoHyphens/>
        <w:rPr>
          <w:lang w:eastAsia="en-GB"/>
        </w:rPr>
      </w:pPr>
    </w:p>
    <w:p w14:paraId="1006AB56" w14:textId="662E5F0B" w:rsidR="009257D5" w:rsidRPr="00B243EE" w:rsidRDefault="009257D5" w:rsidP="009257D5">
      <w:pPr>
        <w:suppressAutoHyphens/>
        <w:rPr>
          <w:rFonts w:ascii="Verdana" w:hAnsi="Verdana" w:cs="Arial"/>
          <w:kern w:val="1"/>
          <w:sz w:val="20"/>
          <w:szCs w:val="20"/>
          <w:lang w:val="en-CA" w:eastAsia="zh-CN"/>
        </w:rPr>
      </w:pPr>
      <w:r w:rsidRPr="7ED80E86">
        <w:rPr>
          <w:lang w:eastAsia="en-GB"/>
        </w:rPr>
        <w:t>WMO</w:t>
      </w:r>
      <w:r>
        <w:rPr>
          <w:lang w:eastAsia="en-GB"/>
        </w:rPr>
        <w:t>, with partners,</w:t>
      </w:r>
      <w:r w:rsidRPr="7ED80E86">
        <w:rPr>
          <w:lang w:eastAsia="en-GB"/>
        </w:rPr>
        <w:t xml:space="preserve"> continued with the development of an Antarctic Polar Regional Climate Centre (</w:t>
      </w:r>
      <w:proofErr w:type="spellStart"/>
      <w:r w:rsidRPr="7ED80E86">
        <w:rPr>
          <w:lang w:eastAsia="en-GB"/>
        </w:rPr>
        <w:t>AntRCC</w:t>
      </w:r>
      <w:proofErr w:type="spellEnd"/>
      <w:r w:rsidRPr="7ED80E86">
        <w:rPr>
          <w:lang w:eastAsia="en-GB"/>
        </w:rPr>
        <w:t>) Network</w:t>
      </w:r>
      <w:r>
        <w:rPr>
          <w:lang w:eastAsia="en-GB"/>
        </w:rPr>
        <w:t xml:space="preserve">. </w:t>
      </w:r>
      <w:r w:rsidRPr="005A1D9D">
        <w:rPr>
          <w:szCs w:val="22"/>
          <w:lang w:eastAsia="en-GB"/>
        </w:rPr>
        <w:t xml:space="preserve">To facilitate the engagement of countries (including Treaty Parties, WMO Members etc.) interested in climate services for the Antarctic Region, including representatives from operational, research and user communities, WMO in coordination with the Secretariat of Antarctic Treaty and other partners, organized a “Scoping Workshop on Climate Services for Polar Regions: Towards Implementing an Antarctic RCC- Network”. </w:t>
      </w:r>
      <w:proofErr w:type="gramStart"/>
      <w:r>
        <w:rPr>
          <w:szCs w:val="22"/>
          <w:lang w:eastAsia="en-GB"/>
        </w:rPr>
        <w:t>A majority of</w:t>
      </w:r>
      <w:proofErr w:type="gramEnd"/>
      <w:r w:rsidRPr="005A1D9D">
        <w:rPr>
          <w:szCs w:val="22"/>
          <w:lang w:eastAsia="en-GB"/>
        </w:rPr>
        <w:t xml:space="preserve"> countr</w:t>
      </w:r>
      <w:r>
        <w:rPr>
          <w:szCs w:val="22"/>
          <w:lang w:eastAsia="en-GB"/>
        </w:rPr>
        <w:t>y</w:t>
      </w:r>
      <w:r w:rsidRPr="005A1D9D">
        <w:rPr>
          <w:szCs w:val="22"/>
          <w:lang w:eastAsia="en-GB"/>
        </w:rPr>
        <w:t xml:space="preserve"> representatives expressed a clear indication of interest to contribute to Antarctic RCC-Network activities, and mutually agreed that the RCC implementation for the Antarctic would likely be based on a distributed-function model, similar to that of the WMO Regional Association VI serving Europe, that is countries with strong capabilities in mandatory functions could take the lead responsibility for specific functions and involve other contributors to form a consortium.</w:t>
      </w:r>
      <w:r>
        <w:rPr>
          <w:szCs w:val="22"/>
          <w:lang w:eastAsia="en-GB"/>
        </w:rPr>
        <w:t xml:space="preserve"> Further details are provided in the </w:t>
      </w:r>
      <w:r w:rsidRPr="009257D5">
        <w:rPr>
          <w:szCs w:val="22"/>
          <w:lang w:eastAsia="en-GB"/>
        </w:rPr>
        <w:t xml:space="preserve">associated IP </w:t>
      </w:r>
      <w:r w:rsidRPr="009257D5">
        <w:rPr>
          <w:szCs w:val="22"/>
          <w:lang w:eastAsia="en-GB"/>
        </w:rPr>
        <w:t>95</w:t>
      </w:r>
      <w:r w:rsidRPr="009257D5">
        <w:rPr>
          <w:szCs w:val="22"/>
          <w:lang w:eastAsia="en-GB"/>
        </w:rPr>
        <w:t>.</w:t>
      </w:r>
    </w:p>
    <w:p w14:paraId="6AE7BD5C" w14:textId="77777777" w:rsidR="009257D5" w:rsidRPr="005A1D9D" w:rsidRDefault="009257D5" w:rsidP="009257D5">
      <w:pPr>
        <w:widowControl w:val="0"/>
        <w:autoSpaceDE w:val="0"/>
        <w:autoSpaceDN w:val="0"/>
        <w:adjustRightInd w:val="0"/>
        <w:rPr>
          <w:lang w:val="en-CA" w:eastAsia="en-GB"/>
        </w:rPr>
      </w:pPr>
    </w:p>
    <w:p w14:paraId="57585853" w14:textId="77777777" w:rsidR="009257D5" w:rsidRDefault="009257D5" w:rsidP="009257D5">
      <w:pPr>
        <w:widowControl w:val="0"/>
        <w:autoSpaceDE w:val="0"/>
        <w:autoSpaceDN w:val="0"/>
        <w:adjustRightInd w:val="0"/>
        <w:rPr>
          <w:lang w:eastAsia="en-GB"/>
        </w:rPr>
      </w:pPr>
    </w:p>
    <w:p w14:paraId="73414330" w14:textId="77777777" w:rsidR="009257D5" w:rsidRDefault="009257D5" w:rsidP="009257D5">
      <w:pPr>
        <w:rPr>
          <w:szCs w:val="22"/>
          <w:u w:val="single"/>
          <w:lang w:eastAsia="en-GB"/>
        </w:rPr>
      </w:pPr>
      <w:r>
        <w:rPr>
          <w:szCs w:val="22"/>
          <w:u w:val="single"/>
          <w:lang w:eastAsia="en-GB"/>
        </w:rPr>
        <w:t xml:space="preserve">Antarctic Science activities of the </w:t>
      </w:r>
      <w:r w:rsidRPr="7ED80E86">
        <w:rPr>
          <w:szCs w:val="22"/>
          <w:u w:val="single"/>
          <w:lang w:eastAsia="en-GB"/>
        </w:rPr>
        <w:t>World Climate Research Programme</w:t>
      </w:r>
    </w:p>
    <w:p w14:paraId="29BB7CE1" w14:textId="77777777" w:rsidR="009257D5" w:rsidRDefault="009257D5" w:rsidP="009257D5">
      <w:pPr>
        <w:rPr>
          <w:szCs w:val="22"/>
          <w:u w:val="single"/>
          <w:lang w:eastAsia="en-GB"/>
        </w:rPr>
      </w:pPr>
    </w:p>
    <w:p w14:paraId="18B281B5" w14:textId="77777777" w:rsidR="009257D5" w:rsidRDefault="009257D5" w:rsidP="009257D5">
      <w:pPr>
        <w:widowControl w:val="0"/>
        <w:autoSpaceDE w:val="0"/>
        <w:autoSpaceDN w:val="0"/>
        <w:adjustRightInd w:val="0"/>
        <w:rPr>
          <w:lang w:eastAsia="en-GB"/>
        </w:rPr>
      </w:pPr>
      <w:r>
        <w:rPr>
          <w:lang w:eastAsia="en-GB"/>
        </w:rPr>
        <w:t>Through its co-sponsored World Climate Research Programme</w:t>
      </w:r>
      <w:r>
        <w:rPr>
          <w:vertAlign w:val="superscript"/>
          <w:lang w:eastAsia="en-GB"/>
        </w:rPr>
        <w:t>2</w:t>
      </w:r>
      <w:r>
        <w:rPr>
          <w:lang w:eastAsia="en-GB"/>
        </w:rPr>
        <w:t xml:space="preserve">, WMO carries out </w:t>
      </w:r>
      <w:proofErr w:type="gramStart"/>
      <w:r>
        <w:rPr>
          <w:lang w:eastAsia="en-GB"/>
        </w:rPr>
        <w:t>a number of</w:t>
      </w:r>
      <w:proofErr w:type="gramEnd"/>
      <w:r>
        <w:rPr>
          <w:lang w:eastAsia="en-GB"/>
        </w:rPr>
        <w:t xml:space="preserve"> research activities and modelling on a variety of scales in which the climate of the Antarctic region is a key aspect. For example, its Climate and Cryosphere Core Project (</w:t>
      </w:r>
      <w:hyperlink r:id="rId21" w:history="1">
        <w:r w:rsidRPr="0030536D">
          <w:rPr>
            <w:rStyle w:val="Hipervnculo"/>
            <w:lang w:eastAsia="en-GB"/>
          </w:rPr>
          <w:t>http://www.climate-cryosphere.org</w:t>
        </w:r>
      </w:hyperlink>
      <w:r>
        <w:rPr>
          <w:lang w:eastAsia="en-GB"/>
        </w:rPr>
        <w:t xml:space="preserve">) with an international office at the </w:t>
      </w:r>
      <w:proofErr w:type="spellStart"/>
      <w:r>
        <w:rPr>
          <w:lang w:eastAsia="en-GB"/>
        </w:rPr>
        <w:t>Bjerknes</w:t>
      </w:r>
      <w:proofErr w:type="spellEnd"/>
      <w:r>
        <w:rPr>
          <w:lang w:eastAsia="en-GB"/>
        </w:rPr>
        <w:t xml:space="preserve"> Centre in Norway, focusses on the cryosphere component of the climate system. This includes coordinating </w:t>
      </w:r>
      <w:proofErr w:type="gramStart"/>
      <w:r>
        <w:rPr>
          <w:lang w:eastAsia="en-GB"/>
        </w:rPr>
        <w:t>a number of</w:t>
      </w:r>
      <w:proofErr w:type="gramEnd"/>
      <w:r>
        <w:rPr>
          <w:lang w:eastAsia="en-GB"/>
        </w:rPr>
        <w:t xml:space="preserve"> research activities (often in partnership with SCAR) on ice sheet mass balance and sea level, sea ice, permafrost and other cryosphere components. WCRP also coordinates </w:t>
      </w:r>
      <w:proofErr w:type="gramStart"/>
      <w:r>
        <w:rPr>
          <w:lang w:eastAsia="en-GB"/>
        </w:rPr>
        <w:t>a number of</w:t>
      </w:r>
      <w:proofErr w:type="gramEnd"/>
      <w:r>
        <w:rPr>
          <w:lang w:eastAsia="en-GB"/>
        </w:rPr>
        <w:t xml:space="preserve"> modelling activities of relevance to Treaty Parties, including Antarctic CORDEX</w:t>
      </w:r>
      <w:r>
        <w:rPr>
          <w:rStyle w:val="Refdenotaalpie"/>
          <w:lang w:eastAsia="en-GB"/>
        </w:rPr>
        <w:footnoteReference w:id="3"/>
      </w:r>
      <w:r>
        <w:rPr>
          <w:lang w:eastAsia="en-GB"/>
        </w:rPr>
        <w:t xml:space="preserve"> (the Coordinated Regional Downscaling Experiment, with an office at the Swedish Meteorological and Hydrological Institute), and the Coupled Model Intercomparison Project that produces the scenario runs used by the IPCC</w:t>
      </w:r>
      <w:r>
        <w:rPr>
          <w:rStyle w:val="Refdenotaalpie"/>
          <w:lang w:eastAsia="en-GB"/>
        </w:rPr>
        <w:footnoteReference w:id="4"/>
      </w:r>
      <w:r>
        <w:rPr>
          <w:lang w:eastAsia="en-GB"/>
        </w:rPr>
        <w:t xml:space="preserve"> (now also with a new project office hosted by the European Space Agency in the UK). </w:t>
      </w:r>
    </w:p>
    <w:p w14:paraId="1326B88D" w14:textId="77777777" w:rsidR="009257D5" w:rsidRDefault="009257D5" w:rsidP="009257D5">
      <w:pPr>
        <w:widowControl w:val="0"/>
        <w:autoSpaceDE w:val="0"/>
        <w:autoSpaceDN w:val="0"/>
        <w:adjustRightInd w:val="0"/>
        <w:rPr>
          <w:lang w:eastAsia="en-GB"/>
        </w:rPr>
      </w:pPr>
    </w:p>
    <w:p w14:paraId="4F82AAC0" w14:textId="77777777" w:rsidR="009257D5" w:rsidRDefault="009257D5" w:rsidP="009257D5">
      <w:pPr>
        <w:rPr>
          <w:lang w:eastAsia="en-GB"/>
        </w:rPr>
      </w:pPr>
      <w:r>
        <w:rPr>
          <w:lang w:eastAsia="en-GB"/>
        </w:rPr>
        <w:t>As part of the implementation of its Strategic Plan 2019-2028</w:t>
      </w:r>
      <w:r>
        <w:rPr>
          <w:rStyle w:val="Refdenotaalpie"/>
          <w:lang w:eastAsia="en-GB"/>
        </w:rPr>
        <w:footnoteReference w:id="5"/>
      </w:r>
      <w:r>
        <w:rPr>
          <w:lang w:eastAsia="en-GB"/>
        </w:rPr>
        <w:t xml:space="preserve"> WCRP has started </w:t>
      </w:r>
      <w:proofErr w:type="gramStart"/>
      <w:r>
        <w:rPr>
          <w:lang w:eastAsia="en-GB"/>
        </w:rPr>
        <w:t>a number of</w:t>
      </w:r>
      <w:proofErr w:type="gramEnd"/>
      <w:r>
        <w:rPr>
          <w:lang w:eastAsia="en-GB"/>
        </w:rPr>
        <w:t xml:space="preserve"> new activities of interest to Parties. Key among these </w:t>
      </w:r>
      <w:proofErr w:type="gramStart"/>
      <w:r>
        <w:rPr>
          <w:lang w:eastAsia="en-GB"/>
        </w:rPr>
        <w:t>are</w:t>
      </w:r>
      <w:proofErr w:type="gramEnd"/>
      <w:r>
        <w:rPr>
          <w:lang w:eastAsia="en-GB"/>
        </w:rPr>
        <w:t xml:space="preserve"> the new WCRP Lighthouse Activities</w:t>
      </w:r>
      <w:r>
        <w:rPr>
          <w:rStyle w:val="Refdenotaalpie"/>
          <w:lang w:eastAsia="en-GB"/>
        </w:rPr>
        <w:footnoteReference w:id="6"/>
      </w:r>
      <w:r>
        <w:rPr>
          <w:lang w:eastAsia="en-GB"/>
        </w:rPr>
        <w:t xml:space="preserve"> being developed (see Figure 1, below). We welcome engagement in the development of these activities and intend to provide additional information on the relevance of these to the Antarctic region at a future ATCM.</w:t>
      </w:r>
    </w:p>
    <w:p w14:paraId="62DD640F" w14:textId="77777777" w:rsidR="009257D5" w:rsidRDefault="009257D5" w:rsidP="009257D5">
      <w:pPr>
        <w:rPr>
          <w:lang w:eastAsia="en-GB"/>
        </w:rPr>
      </w:pPr>
    </w:p>
    <w:p w14:paraId="62548B42" w14:textId="186AF394" w:rsidR="009257D5" w:rsidRDefault="009257D5" w:rsidP="009257D5">
      <w:pPr>
        <w:jc w:val="center"/>
        <w:rPr>
          <w:lang w:eastAsia="en-GB"/>
        </w:rPr>
      </w:pPr>
      <w:r w:rsidRPr="00284533">
        <w:rPr>
          <w:noProof/>
        </w:rPr>
        <w:lastRenderedPageBreak/>
        <w:drawing>
          <wp:inline distT="0" distB="0" distL="0" distR="0" wp14:anchorId="76B2400E" wp14:editId="6DC0CC4F">
            <wp:extent cx="4110990" cy="3156585"/>
            <wp:effectExtent l="0" t="0" r="3810" b="5715"/>
            <wp:docPr id="2" name="Imagen 2" descr="Graphical user interface, text, application, chat or text messag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chat or text message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0990" cy="3156585"/>
                    </a:xfrm>
                    <a:prstGeom prst="rect">
                      <a:avLst/>
                    </a:prstGeom>
                    <a:noFill/>
                    <a:ln>
                      <a:noFill/>
                    </a:ln>
                  </pic:spPr>
                </pic:pic>
              </a:graphicData>
            </a:graphic>
          </wp:inline>
        </w:drawing>
      </w:r>
    </w:p>
    <w:p w14:paraId="606F4DD3" w14:textId="77777777" w:rsidR="009257D5" w:rsidRDefault="009257D5" w:rsidP="009257D5">
      <w:pPr>
        <w:rPr>
          <w:lang w:eastAsia="en-GB"/>
        </w:rPr>
      </w:pPr>
    </w:p>
    <w:p w14:paraId="2909723E" w14:textId="77777777" w:rsidR="009257D5" w:rsidRPr="001F7C9A" w:rsidRDefault="009257D5" w:rsidP="009257D5">
      <w:pPr>
        <w:jc w:val="center"/>
        <w:rPr>
          <w:i/>
          <w:iCs/>
          <w:sz w:val="20"/>
          <w:szCs w:val="20"/>
          <w:lang w:eastAsia="en-GB"/>
        </w:rPr>
      </w:pPr>
      <w:r>
        <w:rPr>
          <w:i/>
          <w:iCs/>
          <w:sz w:val="20"/>
          <w:szCs w:val="20"/>
          <w:lang w:eastAsia="en-GB"/>
        </w:rPr>
        <w:t xml:space="preserve">Figure 1: WCRP’s new Lighthouse Activities. See: </w:t>
      </w:r>
      <w:hyperlink r:id="rId23" w:history="1">
        <w:r w:rsidRPr="0030536D">
          <w:rPr>
            <w:rStyle w:val="Hipervnculo"/>
            <w:i/>
            <w:iCs/>
            <w:sz w:val="20"/>
            <w:szCs w:val="20"/>
            <w:lang w:eastAsia="en-GB"/>
          </w:rPr>
          <w:t>https://www.wcrp-climate.org/wcrp-ip-la</w:t>
        </w:r>
      </w:hyperlink>
      <w:r>
        <w:rPr>
          <w:i/>
          <w:iCs/>
          <w:sz w:val="20"/>
          <w:szCs w:val="20"/>
          <w:lang w:eastAsia="en-GB"/>
        </w:rPr>
        <w:t xml:space="preserve"> for details.</w:t>
      </w:r>
    </w:p>
    <w:p w14:paraId="6A707F26" w14:textId="77777777" w:rsidR="009257D5" w:rsidRDefault="009257D5" w:rsidP="009257D5">
      <w:pPr>
        <w:rPr>
          <w:lang w:eastAsia="en-GB"/>
        </w:rPr>
      </w:pPr>
    </w:p>
    <w:p w14:paraId="78CAD1B5" w14:textId="77777777" w:rsidR="009257D5" w:rsidRDefault="009257D5" w:rsidP="009257D5">
      <w:pPr>
        <w:rPr>
          <w:lang w:eastAsia="en-GB"/>
        </w:rPr>
      </w:pPr>
      <w:r>
        <w:rPr>
          <w:lang w:eastAsia="en-GB"/>
        </w:rPr>
        <w:t xml:space="preserve">A number of </w:t>
      </w:r>
      <w:proofErr w:type="gramStart"/>
      <w:r>
        <w:rPr>
          <w:lang w:eastAsia="en-GB"/>
        </w:rPr>
        <w:t>regionally-based</w:t>
      </w:r>
      <w:proofErr w:type="gramEnd"/>
      <w:r>
        <w:rPr>
          <w:lang w:eastAsia="en-GB"/>
        </w:rPr>
        <w:t xml:space="preserve"> Climate Research Forums</w:t>
      </w:r>
      <w:r>
        <w:rPr>
          <w:rStyle w:val="Refdenotaalpie"/>
          <w:lang w:eastAsia="en-GB"/>
        </w:rPr>
        <w:footnoteReference w:id="7"/>
      </w:r>
      <w:r>
        <w:rPr>
          <w:lang w:eastAsia="en-GB"/>
        </w:rPr>
        <w:t xml:space="preserve"> </w:t>
      </w:r>
      <w:r w:rsidRPr="00605530">
        <w:rPr>
          <w:lang w:eastAsia="en-GB"/>
        </w:rPr>
        <w:t xml:space="preserve">to exchange ideas, discuss new activities and opportunities </w:t>
      </w:r>
      <w:r>
        <w:rPr>
          <w:lang w:eastAsia="en-GB"/>
        </w:rPr>
        <w:t xml:space="preserve">are </w:t>
      </w:r>
      <w:r w:rsidRPr="00605530">
        <w:rPr>
          <w:lang w:eastAsia="en-GB"/>
        </w:rPr>
        <w:t xml:space="preserve">being developed by WCRP, </w:t>
      </w:r>
      <w:r>
        <w:rPr>
          <w:lang w:eastAsia="en-GB"/>
        </w:rPr>
        <w:t xml:space="preserve">to </w:t>
      </w:r>
      <w:r w:rsidRPr="00605530">
        <w:rPr>
          <w:lang w:eastAsia="en-GB"/>
        </w:rPr>
        <w:t>explore ways that our community of scientists, partner programs, funders and end-users of our climate science can engage</w:t>
      </w:r>
      <w:r>
        <w:rPr>
          <w:lang w:eastAsia="en-GB"/>
        </w:rPr>
        <w:t xml:space="preserve">. We invite interested Parties and others to take part. </w:t>
      </w:r>
    </w:p>
    <w:p w14:paraId="17DC0517" w14:textId="77777777" w:rsidR="009257D5" w:rsidRDefault="009257D5" w:rsidP="009257D5">
      <w:pPr>
        <w:rPr>
          <w:lang w:eastAsia="en-GB"/>
        </w:rPr>
      </w:pPr>
    </w:p>
    <w:p w14:paraId="6EBC1267" w14:textId="77777777" w:rsidR="009257D5" w:rsidRDefault="009257D5" w:rsidP="009257D5">
      <w:pPr>
        <w:widowControl w:val="0"/>
        <w:autoSpaceDE w:val="0"/>
        <w:autoSpaceDN w:val="0"/>
        <w:adjustRightInd w:val="0"/>
        <w:rPr>
          <w:color w:val="000000" w:themeColor="text1"/>
          <w:szCs w:val="22"/>
          <w:u w:val="single"/>
        </w:rPr>
      </w:pPr>
      <w:r w:rsidRPr="7ED80E86">
        <w:rPr>
          <w:u w:val="single"/>
          <w:lang w:eastAsia="en-GB"/>
        </w:rPr>
        <w:t xml:space="preserve">WMO </w:t>
      </w:r>
      <w:r w:rsidRPr="7ED80E86">
        <w:rPr>
          <w:color w:val="000000" w:themeColor="text1"/>
          <w:szCs w:val="22"/>
          <w:u w:val="single"/>
        </w:rPr>
        <w:t>Statement on the State of the Global Climate</w:t>
      </w:r>
    </w:p>
    <w:p w14:paraId="401AEB76" w14:textId="77777777" w:rsidR="009257D5" w:rsidRDefault="009257D5" w:rsidP="009257D5">
      <w:pPr>
        <w:widowControl w:val="0"/>
        <w:autoSpaceDE w:val="0"/>
        <w:autoSpaceDN w:val="0"/>
        <w:adjustRightInd w:val="0"/>
        <w:rPr>
          <w:lang w:eastAsia="en-GB"/>
        </w:rPr>
      </w:pPr>
      <w:r>
        <w:rPr>
          <w:lang w:eastAsia="en-GB"/>
        </w:rPr>
        <w:t>Each year WMO produces a high-level “Statement on the State of the Global Climate”</w:t>
      </w:r>
      <w:r>
        <w:rPr>
          <w:rStyle w:val="Refdenotaalpie"/>
          <w:lang w:eastAsia="en-GB"/>
        </w:rPr>
        <w:footnoteReference w:id="8"/>
      </w:r>
      <w:r>
        <w:rPr>
          <w:lang w:eastAsia="en-GB"/>
        </w:rPr>
        <w:t xml:space="preserve"> with key partners, including SCAR. These statements are presented at the Conference of Parties (COP) meetings and other fora and are available in English, Spanish, Russian, French, Chinese and Arabic. Copies can be downloaded from: </w:t>
      </w:r>
      <w:proofErr w:type="gramStart"/>
      <w:r w:rsidRPr="001F6D44">
        <w:rPr>
          <w:lang w:eastAsia="en-GB"/>
        </w:rPr>
        <w:t>https://library.wmo.int/doc_num.php?explnum_id=10618</w:t>
      </w:r>
      <w:proofErr w:type="gramEnd"/>
    </w:p>
    <w:p w14:paraId="63C7D306" w14:textId="77777777" w:rsidR="009257D5" w:rsidRDefault="009257D5" w:rsidP="009257D5">
      <w:pPr>
        <w:widowControl w:val="0"/>
        <w:autoSpaceDE w:val="0"/>
        <w:autoSpaceDN w:val="0"/>
        <w:adjustRightInd w:val="0"/>
        <w:rPr>
          <w:lang w:eastAsia="en-GB"/>
        </w:rPr>
      </w:pPr>
    </w:p>
    <w:p w14:paraId="03F78020" w14:textId="77777777" w:rsidR="009257D5" w:rsidRPr="0092320D" w:rsidRDefault="009257D5" w:rsidP="009257D5">
      <w:r>
        <w:rPr>
          <w:lang w:eastAsia="en-GB"/>
        </w:rPr>
        <w:t xml:space="preserve">WMO continues to look forward </w:t>
      </w:r>
      <w:r>
        <w:t xml:space="preserve">to a positive, mutually beneficial engagement with Treaty Parties in Antarctic weather and climate observations, </w:t>
      </w:r>
      <w:proofErr w:type="gramStart"/>
      <w:r>
        <w:t>services</w:t>
      </w:r>
      <w:proofErr w:type="gramEnd"/>
      <w:r>
        <w:t xml:space="preserve"> and research. For further queries please contact Mike Sparrow (</w:t>
      </w:r>
      <w:hyperlink r:id="rId24" w:history="1">
        <w:r w:rsidRPr="00A72829">
          <w:rPr>
            <w:rStyle w:val="Hipervnculo"/>
          </w:rPr>
          <w:t>msparrow@wmo.int</w:t>
        </w:r>
      </w:hyperlink>
      <w:r>
        <w:t>) in the first instance.</w:t>
      </w:r>
    </w:p>
    <w:p w14:paraId="48FAF12A" w14:textId="77777777" w:rsidR="009257D5" w:rsidRDefault="009257D5" w:rsidP="009257D5">
      <w:pPr>
        <w:widowControl w:val="0"/>
        <w:autoSpaceDE w:val="0"/>
        <w:autoSpaceDN w:val="0"/>
        <w:adjustRightInd w:val="0"/>
        <w:rPr>
          <w:i/>
        </w:rPr>
      </w:pPr>
    </w:p>
    <w:p w14:paraId="5E02B22C" w14:textId="77777777" w:rsidR="009257D5" w:rsidRDefault="009257D5" w:rsidP="009257D5"/>
    <w:p w14:paraId="287A1AA0" w14:textId="77777777" w:rsidR="009257D5" w:rsidRDefault="009257D5" w:rsidP="009257D5"/>
    <w:p w14:paraId="7D8BCF73" w14:textId="77777777" w:rsidR="009257D5" w:rsidRDefault="009257D5" w:rsidP="00952E9F"/>
    <w:sectPr w:rsidR="009257D5" w:rsidSect="00C26F2D">
      <w:headerReference w:type="default" r:id="rId25"/>
      <w:footerReference w:type="default" r:id="rId2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0225C" w14:textId="77777777" w:rsidR="00000000" w:rsidRDefault="009257D5">
      <w:r>
        <w:separator/>
      </w:r>
    </w:p>
  </w:endnote>
  <w:endnote w:type="continuationSeparator" w:id="0">
    <w:p w14:paraId="4702F2A6" w14:textId="77777777" w:rsidR="00000000" w:rsidRDefault="0092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F553" w14:textId="77777777" w:rsidR="00FA0B9F" w:rsidRDefault="009257D5" w:rsidP="00CF5C82">
    <w:pPr>
      <w:framePr w:wrap="around" w:vAnchor="text" w:hAnchor="margin" w:xAlign="right" w:y="1"/>
    </w:pPr>
    <w:r>
      <w:fldChar w:fldCharType="begin"/>
    </w:r>
    <w:r>
      <w:instrText xml:space="preserve">PAGE  </w:instrText>
    </w:r>
    <w:r>
      <w:fldChar w:fldCharType="separate"/>
    </w:r>
    <w:r>
      <w:fldChar w:fldCharType="end"/>
    </w:r>
  </w:p>
  <w:p w14:paraId="386270E8" w14:textId="77777777" w:rsidR="00FA0B9F" w:rsidRDefault="009257D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20DA" w14:textId="77777777" w:rsidR="00FA0B9F" w:rsidRDefault="009257D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526130D" w14:textId="656C2B4F" w:rsidR="00FA0B9F" w:rsidRDefault="009257D5" w:rsidP="009257D5">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1FD6" w14:textId="77777777" w:rsidR="00E311C9" w:rsidRDefault="009257D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81A2836" w14:textId="77777777" w:rsidR="00E311C9" w:rsidRDefault="009257D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9AB4" w14:textId="77777777" w:rsidR="00000000" w:rsidRDefault="009257D5">
      <w:r>
        <w:separator/>
      </w:r>
    </w:p>
  </w:footnote>
  <w:footnote w:type="continuationSeparator" w:id="0">
    <w:p w14:paraId="4CBF15C8" w14:textId="77777777" w:rsidR="00000000" w:rsidRDefault="009257D5">
      <w:r>
        <w:continuationSeparator/>
      </w:r>
    </w:p>
  </w:footnote>
  <w:footnote w:id="1">
    <w:p w14:paraId="6F5C4164" w14:textId="77777777" w:rsidR="009257D5" w:rsidRDefault="009257D5" w:rsidP="009257D5">
      <w:pPr>
        <w:pStyle w:val="Textonotapie"/>
      </w:pPr>
      <w:r>
        <w:rPr>
          <w:rStyle w:val="Refdenotaalpie"/>
        </w:rPr>
        <w:footnoteRef/>
      </w:r>
      <w:r>
        <w:t xml:space="preserve"> </w:t>
      </w:r>
      <w:r>
        <w:rPr>
          <w:sz w:val="16"/>
        </w:rPr>
        <w:t>www.wmo.int</w:t>
      </w:r>
    </w:p>
  </w:footnote>
  <w:footnote w:id="2">
    <w:p w14:paraId="41458E4B" w14:textId="77777777" w:rsidR="009257D5" w:rsidRDefault="009257D5" w:rsidP="009257D5">
      <w:pPr>
        <w:pStyle w:val="Textonotapie"/>
      </w:pPr>
      <w:r>
        <w:rPr>
          <w:rStyle w:val="Refdenotaalpie"/>
        </w:rPr>
        <w:footnoteRef/>
      </w:r>
      <w:r>
        <w:t xml:space="preserve"> </w:t>
      </w:r>
      <w:r w:rsidRPr="001A2C15">
        <w:rPr>
          <w:sz w:val="16"/>
          <w:szCs w:val="16"/>
        </w:rPr>
        <w:t>https://library.wmo.int/doc_num.php?explnum_id=10595</w:t>
      </w:r>
    </w:p>
  </w:footnote>
  <w:footnote w:id="3">
    <w:p w14:paraId="24709B8E" w14:textId="77777777" w:rsidR="009257D5" w:rsidRDefault="009257D5" w:rsidP="009257D5">
      <w:pPr>
        <w:pStyle w:val="Textonotapie"/>
      </w:pPr>
      <w:r>
        <w:rPr>
          <w:rStyle w:val="Refdenotaalpie"/>
        </w:rPr>
        <w:footnoteRef/>
      </w:r>
      <w:r>
        <w:t xml:space="preserve"> </w:t>
      </w:r>
      <w:r w:rsidRPr="0020783A">
        <w:rPr>
          <w:sz w:val="16"/>
          <w:szCs w:val="16"/>
        </w:rPr>
        <w:t>https://cordex.org/domains/region-10-antarctica/</w:t>
      </w:r>
    </w:p>
  </w:footnote>
  <w:footnote w:id="4">
    <w:p w14:paraId="0F0C54EE" w14:textId="77777777" w:rsidR="009257D5" w:rsidRDefault="009257D5" w:rsidP="009257D5">
      <w:pPr>
        <w:pStyle w:val="Textonotapie"/>
      </w:pPr>
      <w:r>
        <w:rPr>
          <w:rStyle w:val="Refdenotaalpie"/>
        </w:rPr>
        <w:footnoteRef/>
      </w:r>
      <w:r>
        <w:t xml:space="preserve"> </w:t>
      </w:r>
      <w:r w:rsidRPr="00B1218B">
        <w:rPr>
          <w:sz w:val="16"/>
          <w:szCs w:val="16"/>
        </w:rPr>
        <w:t>https://www.wcrp-climate.org/wgcm-cmip</w:t>
      </w:r>
    </w:p>
  </w:footnote>
  <w:footnote w:id="5">
    <w:p w14:paraId="6722E6BB" w14:textId="77777777" w:rsidR="009257D5" w:rsidRDefault="009257D5" w:rsidP="009257D5">
      <w:pPr>
        <w:pStyle w:val="Textonotapie"/>
      </w:pPr>
      <w:r>
        <w:rPr>
          <w:rStyle w:val="Refdenotaalpie"/>
        </w:rPr>
        <w:footnoteRef/>
      </w:r>
      <w:r>
        <w:t xml:space="preserve"> </w:t>
      </w:r>
      <w:r w:rsidRPr="002850E9">
        <w:rPr>
          <w:sz w:val="16"/>
          <w:szCs w:val="16"/>
        </w:rPr>
        <w:t>https://www.wcrp-climate.org/wcrp-sp</w:t>
      </w:r>
    </w:p>
  </w:footnote>
  <w:footnote w:id="6">
    <w:p w14:paraId="40FA7D95" w14:textId="77777777" w:rsidR="009257D5" w:rsidRDefault="009257D5" w:rsidP="009257D5">
      <w:pPr>
        <w:pStyle w:val="Textonotapie"/>
      </w:pPr>
      <w:r>
        <w:rPr>
          <w:rStyle w:val="Refdenotaalpie"/>
        </w:rPr>
        <w:footnoteRef/>
      </w:r>
      <w:r>
        <w:t xml:space="preserve"> </w:t>
      </w:r>
      <w:r w:rsidRPr="00605530">
        <w:rPr>
          <w:sz w:val="16"/>
          <w:szCs w:val="16"/>
        </w:rPr>
        <w:t>https://www.wcrp-climate.org/wcrp-ip-la</w:t>
      </w:r>
    </w:p>
  </w:footnote>
  <w:footnote w:id="7">
    <w:p w14:paraId="64B09B50" w14:textId="77777777" w:rsidR="009257D5" w:rsidRDefault="009257D5" w:rsidP="009257D5">
      <w:pPr>
        <w:pStyle w:val="Textonotapie"/>
      </w:pPr>
      <w:r>
        <w:rPr>
          <w:rStyle w:val="Refdenotaalpie"/>
        </w:rPr>
        <w:footnoteRef/>
      </w:r>
      <w:r>
        <w:t xml:space="preserve"> </w:t>
      </w:r>
      <w:r w:rsidRPr="00605530">
        <w:rPr>
          <w:sz w:val="16"/>
          <w:szCs w:val="16"/>
        </w:rPr>
        <w:t>https://www.wcrp-climate.org/climate-research-forums</w:t>
      </w:r>
    </w:p>
  </w:footnote>
  <w:footnote w:id="8">
    <w:p w14:paraId="66433243" w14:textId="77777777" w:rsidR="009257D5" w:rsidRDefault="009257D5" w:rsidP="009257D5">
      <w:pPr>
        <w:pStyle w:val="Textonotapie"/>
      </w:pPr>
      <w:r>
        <w:rPr>
          <w:rStyle w:val="Refdenotaalpie"/>
        </w:rPr>
        <w:footnoteRef/>
      </w:r>
      <w:r>
        <w:t xml:space="preserve"> </w:t>
      </w:r>
      <w:r w:rsidRPr="001F6D44">
        <w:rPr>
          <w:sz w:val="16"/>
          <w:szCs w:val="16"/>
        </w:rPr>
        <w:t>https://public.wmo.int/en/our-mandate/climate/wmo-statement-state-of-global-climate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15165" w14:paraId="03DF0ADB" w14:textId="77777777" w:rsidTr="00490760">
      <w:trPr>
        <w:trHeight w:val="344"/>
        <w:jc w:val="center"/>
      </w:trPr>
      <w:tc>
        <w:tcPr>
          <w:tcW w:w="5495" w:type="dxa"/>
        </w:tcPr>
        <w:p w14:paraId="2810BCC0" w14:textId="77777777" w:rsidR="00DB7C09" w:rsidRDefault="009257D5" w:rsidP="00F968D4"/>
      </w:tc>
      <w:tc>
        <w:tcPr>
          <w:tcW w:w="4253" w:type="dxa"/>
          <w:gridSpan w:val="2"/>
        </w:tcPr>
        <w:p w14:paraId="2525C9B9" w14:textId="77777777" w:rsidR="00DB7C09" w:rsidRPr="00BD47E4" w:rsidRDefault="009257D5" w:rsidP="002A07BC">
          <w:pPr>
            <w:jc w:val="right"/>
            <w:rPr>
              <w:b/>
              <w:sz w:val="32"/>
              <w:szCs w:val="32"/>
            </w:rPr>
          </w:pPr>
          <w:bookmarkStart w:id="2" w:name="type"/>
          <w:r w:rsidRPr="00BD47E4">
            <w:rPr>
              <w:b/>
              <w:sz w:val="32"/>
              <w:szCs w:val="32"/>
            </w:rPr>
            <w:t>IP</w:t>
          </w:r>
          <w:bookmarkEnd w:id="2"/>
        </w:p>
      </w:tc>
      <w:tc>
        <w:tcPr>
          <w:tcW w:w="1524" w:type="dxa"/>
          <w:gridSpan w:val="2"/>
        </w:tcPr>
        <w:p w14:paraId="35B88BFC" w14:textId="77777777" w:rsidR="00DB7C09" w:rsidRPr="00BD47E4" w:rsidRDefault="009257D5" w:rsidP="00DB7C09">
          <w:pPr>
            <w:rPr>
              <w:b/>
              <w:sz w:val="32"/>
              <w:szCs w:val="32"/>
            </w:rPr>
          </w:pPr>
          <w:bookmarkStart w:id="3" w:name="number"/>
          <w:r w:rsidRPr="00BD47E4">
            <w:rPr>
              <w:b/>
              <w:sz w:val="32"/>
              <w:szCs w:val="32"/>
            </w:rPr>
            <w:t>93</w:t>
          </w:r>
          <w:bookmarkEnd w:id="3"/>
        </w:p>
      </w:tc>
    </w:tr>
    <w:tr w:rsidR="00915165" w14:paraId="3D8DD216" w14:textId="77777777" w:rsidTr="00490760">
      <w:trPr>
        <w:trHeight w:val="2165"/>
        <w:jc w:val="center"/>
      </w:trPr>
      <w:tc>
        <w:tcPr>
          <w:tcW w:w="5495" w:type="dxa"/>
        </w:tcPr>
        <w:p w14:paraId="1EB031E7" w14:textId="77777777" w:rsidR="00490760" w:rsidRPr="00EE4D48" w:rsidRDefault="009257D5" w:rsidP="002A07BC">
          <w:pPr>
            <w:rPr>
              <w:b/>
              <w:sz w:val="28"/>
              <w:szCs w:val="28"/>
            </w:rPr>
          </w:pPr>
          <w:r>
            <w:rPr>
              <w:b/>
              <w:noProof/>
              <w:sz w:val="28"/>
              <w:szCs w:val="28"/>
            </w:rPr>
            <w:drawing>
              <wp:inline distT="0" distB="0" distL="0" distR="0" wp14:anchorId="6B8FCB25" wp14:editId="067130D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9230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8772330" w14:textId="77777777" w:rsidR="00490760" w:rsidRPr="00FE5146" w:rsidRDefault="009257D5" w:rsidP="00490760">
          <w:pPr>
            <w:jc w:val="right"/>
            <w:rPr>
              <w:sz w:val="144"/>
              <w:szCs w:val="144"/>
            </w:rPr>
          </w:pPr>
          <w:r w:rsidRPr="00FE5146">
            <w:rPr>
              <w:sz w:val="144"/>
              <w:szCs w:val="144"/>
            </w:rPr>
            <w:t>ENG</w:t>
          </w:r>
        </w:p>
      </w:tc>
    </w:tr>
    <w:tr w:rsidR="00915165" w14:paraId="752BFE85" w14:textId="77777777" w:rsidTr="00BD47E4">
      <w:trPr>
        <w:trHeight w:val="409"/>
        <w:jc w:val="center"/>
      </w:trPr>
      <w:tc>
        <w:tcPr>
          <w:tcW w:w="9039" w:type="dxa"/>
          <w:gridSpan w:val="2"/>
        </w:tcPr>
        <w:p w14:paraId="04C1742E" w14:textId="77777777" w:rsidR="00BD47E4" w:rsidRDefault="009257D5" w:rsidP="002C30DA">
          <w:pPr>
            <w:jc w:val="right"/>
          </w:pPr>
          <w:r>
            <w:t>Agenda Item:</w:t>
          </w:r>
        </w:p>
      </w:tc>
      <w:tc>
        <w:tcPr>
          <w:tcW w:w="1843" w:type="dxa"/>
          <w:gridSpan w:val="2"/>
        </w:tcPr>
        <w:p w14:paraId="0C92C88E" w14:textId="77777777" w:rsidR="00BD47E4" w:rsidRDefault="009257D5" w:rsidP="002C30DA">
          <w:pPr>
            <w:jc w:val="right"/>
          </w:pPr>
          <w:bookmarkStart w:id="4" w:name="agenda"/>
          <w:r>
            <w:t>ATCM 4, CEP 5</w:t>
          </w:r>
          <w:bookmarkEnd w:id="4"/>
        </w:p>
      </w:tc>
      <w:tc>
        <w:tcPr>
          <w:tcW w:w="390" w:type="dxa"/>
        </w:tcPr>
        <w:p w14:paraId="762499C5" w14:textId="77777777" w:rsidR="00BD47E4" w:rsidRDefault="009257D5" w:rsidP="00387A65">
          <w:pPr>
            <w:jc w:val="right"/>
          </w:pPr>
        </w:p>
      </w:tc>
    </w:tr>
    <w:tr w:rsidR="00915165" w14:paraId="6D3D4CB6" w14:textId="77777777" w:rsidTr="00BD47E4">
      <w:trPr>
        <w:trHeight w:val="397"/>
        <w:jc w:val="center"/>
      </w:trPr>
      <w:tc>
        <w:tcPr>
          <w:tcW w:w="9039" w:type="dxa"/>
          <w:gridSpan w:val="2"/>
        </w:tcPr>
        <w:p w14:paraId="33D01A25" w14:textId="77777777" w:rsidR="00BD47E4" w:rsidRDefault="009257D5" w:rsidP="002C30DA">
          <w:pPr>
            <w:jc w:val="right"/>
          </w:pPr>
          <w:r>
            <w:t>Presented by:</w:t>
          </w:r>
        </w:p>
      </w:tc>
      <w:tc>
        <w:tcPr>
          <w:tcW w:w="1843" w:type="dxa"/>
          <w:gridSpan w:val="2"/>
        </w:tcPr>
        <w:p w14:paraId="5187D196" w14:textId="77777777" w:rsidR="00BD47E4" w:rsidRDefault="009257D5" w:rsidP="002C30DA">
          <w:pPr>
            <w:jc w:val="right"/>
          </w:pPr>
          <w:bookmarkStart w:id="5" w:name="party"/>
          <w:r>
            <w:t>WMO</w:t>
          </w:r>
          <w:bookmarkEnd w:id="5"/>
        </w:p>
      </w:tc>
      <w:tc>
        <w:tcPr>
          <w:tcW w:w="390" w:type="dxa"/>
        </w:tcPr>
        <w:p w14:paraId="628040A8" w14:textId="77777777" w:rsidR="00BD47E4" w:rsidRDefault="009257D5" w:rsidP="00387A65">
          <w:pPr>
            <w:jc w:val="right"/>
          </w:pPr>
        </w:p>
      </w:tc>
    </w:tr>
    <w:tr w:rsidR="00915165" w14:paraId="2F40828A" w14:textId="77777777" w:rsidTr="00BD47E4">
      <w:trPr>
        <w:trHeight w:val="409"/>
        <w:jc w:val="center"/>
      </w:trPr>
      <w:tc>
        <w:tcPr>
          <w:tcW w:w="9039" w:type="dxa"/>
          <w:gridSpan w:val="2"/>
        </w:tcPr>
        <w:p w14:paraId="63B4E098" w14:textId="77777777" w:rsidR="00BD47E4" w:rsidRDefault="009257D5" w:rsidP="002C30DA">
          <w:pPr>
            <w:jc w:val="right"/>
          </w:pPr>
          <w:r>
            <w:t>Original:</w:t>
          </w:r>
        </w:p>
      </w:tc>
      <w:tc>
        <w:tcPr>
          <w:tcW w:w="1843" w:type="dxa"/>
          <w:gridSpan w:val="2"/>
        </w:tcPr>
        <w:p w14:paraId="2D191870" w14:textId="77777777" w:rsidR="00BD47E4" w:rsidRDefault="009257D5" w:rsidP="002C30DA">
          <w:pPr>
            <w:jc w:val="right"/>
          </w:pPr>
          <w:bookmarkStart w:id="6" w:name="language"/>
          <w:r>
            <w:t>English</w:t>
          </w:r>
          <w:bookmarkEnd w:id="6"/>
        </w:p>
      </w:tc>
      <w:tc>
        <w:tcPr>
          <w:tcW w:w="390" w:type="dxa"/>
        </w:tcPr>
        <w:p w14:paraId="36CB45C6" w14:textId="77777777" w:rsidR="00BD47E4" w:rsidRDefault="009257D5" w:rsidP="00387A65">
          <w:pPr>
            <w:jc w:val="right"/>
          </w:pPr>
        </w:p>
      </w:tc>
    </w:tr>
    <w:tr w:rsidR="00915165" w14:paraId="663582E6" w14:textId="77777777" w:rsidTr="00BD47E4">
      <w:trPr>
        <w:trHeight w:val="409"/>
        <w:jc w:val="center"/>
      </w:trPr>
      <w:tc>
        <w:tcPr>
          <w:tcW w:w="9039" w:type="dxa"/>
          <w:gridSpan w:val="2"/>
        </w:tcPr>
        <w:p w14:paraId="58DCB828" w14:textId="77777777" w:rsidR="0097629D" w:rsidRDefault="009257D5" w:rsidP="002C30DA">
          <w:pPr>
            <w:jc w:val="right"/>
          </w:pPr>
          <w:r>
            <w:t>Submitted:</w:t>
          </w:r>
        </w:p>
      </w:tc>
      <w:tc>
        <w:tcPr>
          <w:tcW w:w="1843" w:type="dxa"/>
          <w:gridSpan w:val="2"/>
        </w:tcPr>
        <w:p w14:paraId="2691B013" w14:textId="77777777" w:rsidR="0097629D" w:rsidRDefault="009257D5" w:rsidP="0097629D">
          <w:pPr>
            <w:jc w:val="right"/>
          </w:pPr>
          <w:bookmarkStart w:id="7" w:name="date_submission"/>
          <w:r>
            <w:t>14/5/2021</w:t>
          </w:r>
          <w:bookmarkEnd w:id="7"/>
        </w:p>
      </w:tc>
      <w:tc>
        <w:tcPr>
          <w:tcW w:w="390" w:type="dxa"/>
        </w:tcPr>
        <w:p w14:paraId="3E1C7EB4" w14:textId="77777777" w:rsidR="0097629D" w:rsidRDefault="009257D5" w:rsidP="00387A65">
          <w:pPr>
            <w:jc w:val="right"/>
          </w:pPr>
        </w:p>
      </w:tc>
    </w:tr>
  </w:tbl>
  <w:p w14:paraId="2DEBA4A5" w14:textId="77777777" w:rsidR="00AE5DD0" w:rsidRDefault="009257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15165" w14:paraId="5071EF23" w14:textId="77777777">
      <w:trPr>
        <w:trHeight w:val="354"/>
        <w:jc w:val="center"/>
      </w:trPr>
      <w:tc>
        <w:tcPr>
          <w:tcW w:w="9694" w:type="dxa"/>
        </w:tcPr>
        <w:p w14:paraId="78F21A53" w14:textId="0EDDD0AB" w:rsidR="00AE5DD0" w:rsidRPr="00BD47E4" w:rsidRDefault="009257D5" w:rsidP="00C26F2D">
          <w:pPr>
            <w:jc w:val="right"/>
            <w:rPr>
              <w:b/>
              <w:sz w:val="32"/>
              <w:szCs w:val="32"/>
            </w:rPr>
          </w:pPr>
          <w:r>
            <w:rPr>
              <w:b/>
              <w:sz w:val="32"/>
              <w:szCs w:val="32"/>
            </w:rPr>
            <w:t>IP</w:t>
          </w:r>
        </w:p>
      </w:tc>
      <w:tc>
        <w:tcPr>
          <w:tcW w:w="1332" w:type="dxa"/>
        </w:tcPr>
        <w:p w14:paraId="7AE8CF9F" w14:textId="025D9C94" w:rsidR="00AE5DD0" w:rsidRPr="00BD47E4" w:rsidRDefault="009257D5" w:rsidP="00080F4C">
          <w:pPr>
            <w:rPr>
              <w:b/>
              <w:sz w:val="32"/>
              <w:szCs w:val="32"/>
            </w:rPr>
          </w:pPr>
          <w:r>
            <w:rPr>
              <w:b/>
              <w:sz w:val="32"/>
              <w:szCs w:val="32"/>
            </w:rPr>
            <w:t>93</w:t>
          </w:r>
        </w:p>
      </w:tc>
    </w:tr>
  </w:tbl>
  <w:p w14:paraId="3DEFEC9A" w14:textId="77777777" w:rsidR="00AE5DD0" w:rsidRDefault="009257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70EBEAC">
      <w:start w:val="1"/>
      <w:numFmt w:val="bullet"/>
      <w:pStyle w:val="ATSBullet1"/>
      <w:lvlText w:val=""/>
      <w:lvlJc w:val="left"/>
      <w:pPr>
        <w:tabs>
          <w:tab w:val="num" w:pos="360"/>
        </w:tabs>
        <w:ind w:left="360" w:hanging="360"/>
      </w:pPr>
      <w:rPr>
        <w:rFonts w:ascii="Symbol" w:hAnsi="Symbol" w:hint="default"/>
        <w:color w:val="auto"/>
      </w:rPr>
    </w:lvl>
    <w:lvl w:ilvl="1" w:tplc="60063684" w:tentative="1">
      <w:start w:val="1"/>
      <w:numFmt w:val="bullet"/>
      <w:lvlText w:val="o"/>
      <w:lvlJc w:val="left"/>
      <w:pPr>
        <w:tabs>
          <w:tab w:val="num" w:pos="1440"/>
        </w:tabs>
        <w:ind w:left="1440" w:hanging="360"/>
      </w:pPr>
      <w:rPr>
        <w:rFonts w:ascii="Courier New" w:hAnsi="Courier New" w:cs="Courier New" w:hint="default"/>
      </w:rPr>
    </w:lvl>
    <w:lvl w:ilvl="2" w:tplc="EA984E1A" w:tentative="1">
      <w:start w:val="1"/>
      <w:numFmt w:val="bullet"/>
      <w:lvlText w:val=""/>
      <w:lvlJc w:val="left"/>
      <w:pPr>
        <w:tabs>
          <w:tab w:val="num" w:pos="2160"/>
        </w:tabs>
        <w:ind w:left="2160" w:hanging="360"/>
      </w:pPr>
      <w:rPr>
        <w:rFonts w:ascii="Wingdings" w:hAnsi="Wingdings" w:hint="default"/>
      </w:rPr>
    </w:lvl>
    <w:lvl w:ilvl="3" w:tplc="ADBEC732" w:tentative="1">
      <w:start w:val="1"/>
      <w:numFmt w:val="bullet"/>
      <w:lvlText w:val=""/>
      <w:lvlJc w:val="left"/>
      <w:pPr>
        <w:tabs>
          <w:tab w:val="num" w:pos="2880"/>
        </w:tabs>
        <w:ind w:left="2880" w:hanging="360"/>
      </w:pPr>
      <w:rPr>
        <w:rFonts w:ascii="Symbol" w:hAnsi="Symbol" w:hint="default"/>
      </w:rPr>
    </w:lvl>
    <w:lvl w:ilvl="4" w:tplc="6AACC0AC" w:tentative="1">
      <w:start w:val="1"/>
      <w:numFmt w:val="bullet"/>
      <w:lvlText w:val="o"/>
      <w:lvlJc w:val="left"/>
      <w:pPr>
        <w:tabs>
          <w:tab w:val="num" w:pos="3600"/>
        </w:tabs>
        <w:ind w:left="3600" w:hanging="360"/>
      </w:pPr>
      <w:rPr>
        <w:rFonts w:ascii="Courier New" w:hAnsi="Courier New" w:cs="Courier New" w:hint="default"/>
      </w:rPr>
    </w:lvl>
    <w:lvl w:ilvl="5" w:tplc="01100C54" w:tentative="1">
      <w:start w:val="1"/>
      <w:numFmt w:val="bullet"/>
      <w:lvlText w:val=""/>
      <w:lvlJc w:val="left"/>
      <w:pPr>
        <w:tabs>
          <w:tab w:val="num" w:pos="4320"/>
        </w:tabs>
        <w:ind w:left="4320" w:hanging="360"/>
      </w:pPr>
      <w:rPr>
        <w:rFonts w:ascii="Wingdings" w:hAnsi="Wingdings" w:hint="default"/>
      </w:rPr>
    </w:lvl>
    <w:lvl w:ilvl="6" w:tplc="41B66BAE" w:tentative="1">
      <w:start w:val="1"/>
      <w:numFmt w:val="bullet"/>
      <w:lvlText w:val=""/>
      <w:lvlJc w:val="left"/>
      <w:pPr>
        <w:tabs>
          <w:tab w:val="num" w:pos="5040"/>
        </w:tabs>
        <w:ind w:left="5040" w:hanging="360"/>
      </w:pPr>
      <w:rPr>
        <w:rFonts w:ascii="Symbol" w:hAnsi="Symbol" w:hint="default"/>
      </w:rPr>
    </w:lvl>
    <w:lvl w:ilvl="7" w:tplc="80FA661C" w:tentative="1">
      <w:start w:val="1"/>
      <w:numFmt w:val="bullet"/>
      <w:lvlText w:val="o"/>
      <w:lvlJc w:val="left"/>
      <w:pPr>
        <w:tabs>
          <w:tab w:val="num" w:pos="5760"/>
        </w:tabs>
        <w:ind w:left="5760" w:hanging="360"/>
      </w:pPr>
      <w:rPr>
        <w:rFonts w:ascii="Courier New" w:hAnsi="Courier New" w:cs="Courier New" w:hint="default"/>
      </w:rPr>
    </w:lvl>
    <w:lvl w:ilvl="8" w:tplc="B508A0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A1049268">
      <w:start w:val="1"/>
      <w:numFmt w:val="decimal"/>
      <w:lvlText w:val="%1)"/>
      <w:lvlJc w:val="left"/>
      <w:pPr>
        <w:tabs>
          <w:tab w:val="num" w:pos="340"/>
        </w:tabs>
        <w:ind w:left="340" w:hanging="340"/>
      </w:pPr>
      <w:rPr>
        <w:rFonts w:hint="default"/>
      </w:rPr>
    </w:lvl>
    <w:lvl w:ilvl="1" w:tplc="09E4B4CA" w:tentative="1">
      <w:start w:val="1"/>
      <w:numFmt w:val="lowerLetter"/>
      <w:lvlText w:val="%2."/>
      <w:lvlJc w:val="left"/>
      <w:pPr>
        <w:tabs>
          <w:tab w:val="num" w:pos="1440"/>
        </w:tabs>
        <w:ind w:left="1440" w:hanging="360"/>
      </w:pPr>
    </w:lvl>
    <w:lvl w:ilvl="2" w:tplc="45567F00" w:tentative="1">
      <w:start w:val="1"/>
      <w:numFmt w:val="lowerRoman"/>
      <w:lvlText w:val="%3."/>
      <w:lvlJc w:val="right"/>
      <w:pPr>
        <w:tabs>
          <w:tab w:val="num" w:pos="2160"/>
        </w:tabs>
        <w:ind w:left="2160" w:hanging="180"/>
      </w:pPr>
    </w:lvl>
    <w:lvl w:ilvl="3" w:tplc="8B8AAD7C" w:tentative="1">
      <w:start w:val="1"/>
      <w:numFmt w:val="decimal"/>
      <w:lvlText w:val="%4."/>
      <w:lvlJc w:val="left"/>
      <w:pPr>
        <w:tabs>
          <w:tab w:val="num" w:pos="2880"/>
        </w:tabs>
        <w:ind w:left="2880" w:hanging="360"/>
      </w:pPr>
    </w:lvl>
    <w:lvl w:ilvl="4" w:tplc="10D63916" w:tentative="1">
      <w:start w:val="1"/>
      <w:numFmt w:val="lowerLetter"/>
      <w:lvlText w:val="%5."/>
      <w:lvlJc w:val="left"/>
      <w:pPr>
        <w:tabs>
          <w:tab w:val="num" w:pos="3600"/>
        </w:tabs>
        <w:ind w:left="3600" w:hanging="360"/>
      </w:pPr>
    </w:lvl>
    <w:lvl w:ilvl="5" w:tplc="8908A3BA" w:tentative="1">
      <w:start w:val="1"/>
      <w:numFmt w:val="lowerRoman"/>
      <w:lvlText w:val="%6."/>
      <w:lvlJc w:val="right"/>
      <w:pPr>
        <w:tabs>
          <w:tab w:val="num" w:pos="4320"/>
        </w:tabs>
        <w:ind w:left="4320" w:hanging="180"/>
      </w:pPr>
    </w:lvl>
    <w:lvl w:ilvl="6" w:tplc="845ADB90" w:tentative="1">
      <w:start w:val="1"/>
      <w:numFmt w:val="decimal"/>
      <w:lvlText w:val="%7."/>
      <w:lvlJc w:val="left"/>
      <w:pPr>
        <w:tabs>
          <w:tab w:val="num" w:pos="5040"/>
        </w:tabs>
        <w:ind w:left="5040" w:hanging="360"/>
      </w:pPr>
    </w:lvl>
    <w:lvl w:ilvl="7" w:tplc="A6AEDA9C" w:tentative="1">
      <w:start w:val="1"/>
      <w:numFmt w:val="lowerLetter"/>
      <w:lvlText w:val="%8."/>
      <w:lvlJc w:val="left"/>
      <w:pPr>
        <w:tabs>
          <w:tab w:val="num" w:pos="5760"/>
        </w:tabs>
        <w:ind w:left="5760" w:hanging="360"/>
      </w:pPr>
    </w:lvl>
    <w:lvl w:ilvl="8" w:tplc="3C4695D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CA04AD8">
      <w:start w:val="1"/>
      <w:numFmt w:val="decimal"/>
      <w:lvlText w:val="%1."/>
      <w:lvlJc w:val="left"/>
      <w:pPr>
        <w:tabs>
          <w:tab w:val="num" w:pos="1057"/>
        </w:tabs>
        <w:ind w:left="1057" w:hanging="360"/>
      </w:pPr>
      <w:rPr>
        <w:rFonts w:hint="default"/>
      </w:rPr>
    </w:lvl>
    <w:lvl w:ilvl="1" w:tplc="C1905292" w:tentative="1">
      <w:start w:val="1"/>
      <w:numFmt w:val="lowerLetter"/>
      <w:lvlText w:val="%2."/>
      <w:lvlJc w:val="left"/>
      <w:pPr>
        <w:tabs>
          <w:tab w:val="num" w:pos="2137"/>
        </w:tabs>
        <w:ind w:left="2137" w:hanging="360"/>
      </w:pPr>
    </w:lvl>
    <w:lvl w:ilvl="2" w:tplc="24228734" w:tentative="1">
      <w:start w:val="1"/>
      <w:numFmt w:val="lowerRoman"/>
      <w:lvlText w:val="%3."/>
      <w:lvlJc w:val="right"/>
      <w:pPr>
        <w:tabs>
          <w:tab w:val="num" w:pos="2857"/>
        </w:tabs>
        <w:ind w:left="2857" w:hanging="180"/>
      </w:pPr>
    </w:lvl>
    <w:lvl w:ilvl="3" w:tplc="3C0A9AAA" w:tentative="1">
      <w:start w:val="1"/>
      <w:numFmt w:val="decimal"/>
      <w:lvlText w:val="%4."/>
      <w:lvlJc w:val="left"/>
      <w:pPr>
        <w:tabs>
          <w:tab w:val="num" w:pos="3577"/>
        </w:tabs>
        <w:ind w:left="3577" w:hanging="360"/>
      </w:pPr>
    </w:lvl>
    <w:lvl w:ilvl="4" w:tplc="FC7001A2" w:tentative="1">
      <w:start w:val="1"/>
      <w:numFmt w:val="lowerLetter"/>
      <w:lvlText w:val="%5."/>
      <w:lvlJc w:val="left"/>
      <w:pPr>
        <w:tabs>
          <w:tab w:val="num" w:pos="4297"/>
        </w:tabs>
        <w:ind w:left="4297" w:hanging="360"/>
      </w:pPr>
    </w:lvl>
    <w:lvl w:ilvl="5" w:tplc="004A62D2" w:tentative="1">
      <w:start w:val="1"/>
      <w:numFmt w:val="lowerRoman"/>
      <w:lvlText w:val="%6."/>
      <w:lvlJc w:val="right"/>
      <w:pPr>
        <w:tabs>
          <w:tab w:val="num" w:pos="5017"/>
        </w:tabs>
        <w:ind w:left="5017" w:hanging="180"/>
      </w:pPr>
    </w:lvl>
    <w:lvl w:ilvl="6" w:tplc="A1921066" w:tentative="1">
      <w:start w:val="1"/>
      <w:numFmt w:val="decimal"/>
      <w:lvlText w:val="%7."/>
      <w:lvlJc w:val="left"/>
      <w:pPr>
        <w:tabs>
          <w:tab w:val="num" w:pos="5737"/>
        </w:tabs>
        <w:ind w:left="5737" w:hanging="360"/>
      </w:pPr>
    </w:lvl>
    <w:lvl w:ilvl="7" w:tplc="54244900" w:tentative="1">
      <w:start w:val="1"/>
      <w:numFmt w:val="lowerLetter"/>
      <w:lvlText w:val="%8."/>
      <w:lvlJc w:val="left"/>
      <w:pPr>
        <w:tabs>
          <w:tab w:val="num" w:pos="6457"/>
        </w:tabs>
        <w:ind w:left="6457" w:hanging="360"/>
      </w:pPr>
    </w:lvl>
    <w:lvl w:ilvl="8" w:tplc="106AF73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752E898">
      <w:start w:val="1"/>
      <w:numFmt w:val="decimal"/>
      <w:pStyle w:val="ATSNumber1"/>
      <w:lvlText w:val="%1)"/>
      <w:lvlJc w:val="left"/>
      <w:pPr>
        <w:tabs>
          <w:tab w:val="num" w:pos="720"/>
        </w:tabs>
        <w:ind w:left="720" w:hanging="360"/>
      </w:pPr>
    </w:lvl>
    <w:lvl w:ilvl="1" w:tplc="BF387434" w:tentative="1">
      <w:start w:val="1"/>
      <w:numFmt w:val="lowerLetter"/>
      <w:lvlText w:val="%2."/>
      <w:lvlJc w:val="left"/>
      <w:pPr>
        <w:tabs>
          <w:tab w:val="num" w:pos="1440"/>
        </w:tabs>
        <w:ind w:left="1440" w:hanging="360"/>
      </w:pPr>
    </w:lvl>
    <w:lvl w:ilvl="2" w:tplc="53E4E436" w:tentative="1">
      <w:start w:val="1"/>
      <w:numFmt w:val="lowerRoman"/>
      <w:lvlText w:val="%3."/>
      <w:lvlJc w:val="right"/>
      <w:pPr>
        <w:tabs>
          <w:tab w:val="num" w:pos="2160"/>
        </w:tabs>
        <w:ind w:left="2160" w:hanging="180"/>
      </w:pPr>
    </w:lvl>
    <w:lvl w:ilvl="3" w:tplc="95B6DA58" w:tentative="1">
      <w:start w:val="1"/>
      <w:numFmt w:val="decimal"/>
      <w:lvlText w:val="%4."/>
      <w:lvlJc w:val="left"/>
      <w:pPr>
        <w:tabs>
          <w:tab w:val="num" w:pos="2880"/>
        </w:tabs>
        <w:ind w:left="2880" w:hanging="360"/>
      </w:pPr>
    </w:lvl>
    <w:lvl w:ilvl="4" w:tplc="F8C073CA" w:tentative="1">
      <w:start w:val="1"/>
      <w:numFmt w:val="lowerLetter"/>
      <w:lvlText w:val="%5."/>
      <w:lvlJc w:val="left"/>
      <w:pPr>
        <w:tabs>
          <w:tab w:val="num" w:pos="3600"/>
        </w:tabs>
        <w:ind w:left="3600" w:hanging="360"/>
      </w:pPr>
    </w:lvl>
    <w:lvl w:ilvl="5" w:tplc="869EF9AA" w:tentative="1">
      <w:start w:val="1"/>
      <w:numFmt w:val="lowerRoman"/>
      <w:lvlText w:val="%6."/>
      <w:lvlJc w:val="right"/>
      <w:pPr>
        <w:tabs>
          <w:tab w:val="num" w:pos="4320"/>
        </w:tabs>
        <w:ind w:left="4320" w:hanging="180"/>
      </w:pPr>
    </w:lvl>
    <w:lvl w:ilvl="6" w:tplc="B3E280D6" w:tentative="1">
      <w:start w:val="1"/>
      <w:numFmt w:val="decimal"/>
      <w:lvlText w:val="%7."/>
      <w:lvlJc w:val="left"/>
      <w:pPr>
        <w:tabs>
          <w:tab w:val="num" w:pos="5040"/>
        </w:tabs>
        <w:ind w:left="5040" w:hanging="360"/>
      </w:pPr>
    </w:lvl>
    <w:lvl w:ilvl="7" w:tplc="2A16D1E0" w:tentative="1">
      <w:start w:val="1"/>
      <w:numFmt w:val="lowerLetter"/>
      <w:lvlText w:val="%8."/>
      <w:lvlJc w:val="left"/>
      <w:pPr>
        <w:tabs>
          <w:tab w:val="num" w:pos="5760"/>
        </w:tabs>
        <w:ind w:left="5760" w:hanging="360"/>
      </w:pPr>
    </w:lvl>
    <w:lvl w:ilvl="8" w:tplc="3D8A504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052140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98CF892" w:tentative="1">
      <w:start w:val="1"/>
      <w:numFmt w:val="bullet"/>
      <w:lvlText w:val="o"/>
      <w:lvlJc w:val="left"/>
      <w:pPr>
        <w:tabs>
          <w:tab w:val="num" w:pos="2517"/>
        </w:tabs>
        <w:ind w:left="2517" w:hanging="360"/>
      </w:pPr>
      <w:rPr>
        <w:rFonts w:ascii="Courier New" w:hAnsi="Courier New" w:cs="Courier New" w:hint="default"/>
      </w:rPr>
    </w:lvl>
    <w:lvl w:ilvl="2" w:tplc="8CCE29EE" w:tentative="1">
      <w:start w:val="1"/>
      <w:numFmt w:val="bullet"/>
      <w:lvlText w:val=""/>
      <w:lvlJc w:val="left"/>
      <w:pPr>
        <w:tabs>
          <w:tab w:val="num" w:pos="3237"/>
        </w:tabs>
        <w:ind w:left="3237" w:hanging="360"/>
      </w:pPr>
      <w:rPr>
        <w:rFonts w:ascii="Wingdings" w:hAnsi="Wingdings" w:hint="default"/>
      </w:rPr>
    </w:lvl>
    <w:lvl w:ilvl="3" w:tplc="FEEEA7F0" w:tentative="1">
      <w:start w:val="1"/>
      <w:numFmt w:val="bullet"/>
      <w:lvlText w:val=""/>
      <w:lvlJc w:val="left"/>
      <w:pPr>
        <w:tabs>
          <w:tab w:val="num" w:pos="3957"/>
        </w:tabs>
        <w:ind w:left="3957" w:hanging="360"/>
      </w:pPr>
      <w:rPr>
        <w:rFonts w:ascii="Symbol" w:hAnsi="Symbol" w:hint="default"/>
      </w:rPr>
    </w:lvl>
    <w:lvl w:ilvl="4" w:tplc="19067832" w:tentative="1">
      <w:start w:val="1"/>
      <w:numFmt w:val="bullet"/>
      <w:lvlText w:val="o"/>
      <w:lvlJc w:val="left"/>
      <w:pPr>
        <w:tabs>
          <w:tab w:val="num" w:pos="4677"/>
        </w:tabs>
        <w:ind w:left="4677" w:hanging="360"/>
      </w:pPr>
      <w:rPr>
        <w:rFonts w:ascii="Courier New" w:hAnsi="Courier New" w:cs="Courier New" w:hint="default"/>
      </w:rPr>
    </w:lvl>
    <w:lvl w:ilvl="5" w:tplc="A60CA582" w:tentative="1">
      <w:start w:val="1"/>
      <w:numFmt w:val="bullet"/>
      <w:lvlText w:val=""/>
      <w:lvlJc w:val="left"/>
      <w:pPr>
        <w:tabs>
          <w:tab w:val="num" w:pos="5397"/>
        </w:tabs>
        <w:ind w:left="5397" w:hanging="360"/>
      </w:pPr>
      <w:rPr>
        <w:rFonts w:ascii="Wingdings" w:hAnsi="Wingdings" w:hint="default"/>
      </w:rPr>
    </w:lvl>
    <w:lvl w:ilvl="6" w:tplc="F3C0C6E2" w:tentative="1">
      <w:start w:val="1"/>
      <w:numFmt w:val="bullet"/>
      <w:lvlText w:val=""/>
      <w:lvlJc w:val="left"/>
      <w:pPr>
        <w:tabs>
          <w:tab w:val="num" w:pos="6117"/>
        </w:tabs>
        <w:ind w:left="6117" w:hanging="360"/>
      </w:pPr>
      <w:rPr>
        <w:rFonts w:ascii="Symbol" w:hAnsi="Symbol" w:hint="default"/>
      </w:rPr>
    </w:lvl>
    <w:lvl w:ilvl="7" w:tplc="7A9A0BF0" w:tentative="1">
      <w:start w:val="1"/>
      <w:numFmt w:val="bullet"/>
      <w:lvlText w:val="o"/>
      <w:lvlJc w:val="left"/>
      <w:pPr>
        <w:tabs>
          <w:tab w:val="num" w:pos="6837"/>
        </w:tabs>
        <w:ind w:left="6837" w:hanging="360"/>
      </w:pPr>
      <w:rPr>
        <w:rFonts w:ascii="Courier New" w:hAnsi="Courier New" w:cs="Courier New" w:hint="default"/>
      </w:rPr>
    </w:lvl>
    <w:lvl w:ilvl="8" w:tplc="6846D65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280EA28">
      <w:start w:val="1"/>
      <w:numFmt w:val="decimal"/>
      <w:pStyle w:val="ATSNumber2"/>
      <w:lvlText w:val="%1."/>
      <w:lvlJc w:val="left"/>
      <w:pPr>
        <w:tabs>
          <w:tab w:val="num" w:pos="720"/>
        </w:tabs>
        <w:ind w:left="720" w:hanging="360"/>
      </w:pPr>
      <w:rPr>
        <w:rFonts w:hint="default"/>
      </w:rPr>
    </w:lvl>
    <w:lvl w:ilvl="1" w:tplc="7E365E8C" w:tentative="1">
      <w:start w:val="1"/>
      <w:numFmt w:val="lowerLetter"/>
      <w:lvlText w:val="%2."/>
      <w:lvlJc w:val="left"/>
      <w:pPr>
        <w:tabs>
          <w:tab w:val="num" w:pos="1440"/>
        </w:tabs>
        <w:ind w:left="1440" w:hanging="360"/>
      </w:pPr>
    </w:lvl>
    <w:lvl w:ilvl="2" w:tplc="85D0EA56" w:tentative="1">
      <w:start w:val="1"/>
      <w:numFmt w:val="lowerRoman"/>
      <w:lvlText w:val="%3."/>
      <w:lvlJc w:val="right"/>
      <w:pPr>
        <w:tabs>
          <w:tab w:val="num" w:pos="2160"/>
        </w:tabs>
        <w:ind w:left="2160" w:hanging="180"/>
      </w:pPr>
    </w:lvl>
    <w:lvl w:ilvl="3" w:tplc="63925E56" w:tentative="1">
      <w:start w:val="1"/>
      <w:numFmt w:val="decimal"/>
      <w:lvlText w:val="%4."/>
      <w:lvlJc w:val="left"/>
      <w:pPr>
        <w:tabs>
          <w:tab w:val="num" w:pos="2880"/>
        </w:tabs>
        <w:ind w:left="2880" w:hanging="360"/>
      </w:pPr>
    </w:lvl>
    <w:lvl w:ilvl="4" w:tplc="94505F74" w:tentative="1">
      <w:start w:val="1"/>
      <w:numFmt w:val="lowerLetter"/>
      <w:lvlText w:val="%5."/>
      <w:lvlJc w:val="left"/>
      <w:pPr>
        <w:tabs>
          <w:tab w:val="num" w:pos="3600"/>
        </w:tabs>
        <w:ind w:left="3600" w:hanging="360"/>
      </w:pPr>
    </w:lvl>
    <w:lvl w:ilvl="5" w:tplc="65669A42" w:tentative="1">
      <w:start w:val="1"/>
      <w:numFmt w:val="lowerRoman"/>
      <w:lvlText w:val="%6."/>
      <w:lvlJc w:val="right"/>
      <w:pPr>
        <w:tabs>
          <w:tab w:val="num" w:pos="4320"/>
        </w:tabs>
        <w:ind w:left="4320" w:hanging="180"/>
      </w:pPr>
    </w:lvl>
    <w:lvl w:ilvl="6" w:tplc="7B945502" w:tentative="1">
      <w:start w:val="1"/>
      <w:numFmt w:val="decimal"/>
      <w:lvlText w:val="%7."/>
      <w:lvlJc w:val="left"/>
      <w:pPr>
        <w:tabs>
          <w:tab w:val="num" w:pos="5040"/>
        </w:tabs>
        <w:ind w:left="5040" w:hanging="360"/>
      </w:pPr>
    </w:lvl>
    <w:lvl w:ilvl="7" w:tplc="A4A2678A" w:tentative="1">
      <w:start w:val="1"/>
      <w:numFmt w:val="lowerLetter"/>
      <w:lvlText w:val="%8."/>
      <w:lvlJc w:val="left"/>
      <w:pPr>
        <w:tabs>
          <w:tab w:val="num" w:pos="5760"/>
        </w:tabs>
        <w:ind w:left="5760" w:hanging="360"/>
      </w:pPr>
    </w:lvl>
    <w:lvl w:ilvl="8" w:tplc="6E9A75D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65"/>
    <w:rsid w:val="00915165"/>
    <w:rsid w:val="009257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38EE8"/>
  <w15:chartTrackingRefBased/>
  <w15:docId w15:val="{D589BB1E-4C5C-4D27-9828-0C408520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9257D5"/>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eetings.wmo.int/ec-73/SitePages/Session%20Information.aspx" TargetMode="External"/><Relationship Id="rId18" Type="http://schemas.openxmlformats.org/officeDocument/2006/relationships/hyperlink" Target="https://meetings.wmo.int/ec-73/SitePages/Session%20Information.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climate-cryosphere.org" TargetMode="External"/><Relationship Id="rId7" Type="http://schemas.openxmlformats.org/officeDocument/2006/relationships/endnotes" Target="endnotes.xml"/><Relationship Id="rId12" Type="http://schemas.openxmlformats.org/officeDocument/2006/relationships/hyperlink" Target="https://meetings.wmo.int/EC-73/English/Forms/AllItems.aspx" TargetMode="External"/><Relationship Id="rId17" Type="http://schemas.openxmlformats.org/officeDocument/2006/relationships/hyperlink" Target="https://meetings.wmo.int/EC-73/English/1.%20DRAFTS%20FOR%20DISCUSSION/EC-73-d04-2(6)-WIGOS-GUIDE-No-1165-draft1_en.docx?Web=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oscar.wmo.int/surface/" TargetMode="External"/><Relationship Id="rId20" Type="http://schemas.openxmlformats.org/officeDocument/2006/relationships/hyperlink" Target="https://meetings.wmo.int/EC-73/English/1.%20DRAFTS%20FOR%20DISCUSSION/EC-73-d04-2(2)-GBON-draft1_en.docx?We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wmo.int/final-reports-ec-phors-sessions" TargetMode="External"/><Relationship Id="rId24" Type="http://schemas.openxmlformats.org/officeDocument/2006/relationships/hyperlink" Target="mailto:msparrow@wmo.int" TargetMode="External"/><Relationship Id="rId5" Type="http://schemas.openxmlformats.org/officeDocument/2006/relationships/webSettings" Target="webSettings.xml"/><Relationship Id="rId15" Type="http://schemas.openxmlformats.org/officeDocument/2006/relationships/hyperlink" Target="https://library.wmo.int/doc_num.php?explnum_id=10595" TargetMode="External"/><Relationship Id="rId23" Type="http://schemas.openxmlformats.org/officeDocument/2006/relationships/hyperlink" Target="https://www.wcrp-climate.org/wcrp-ip-la"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meetings.wmo.int/EC-73/_layouts/15/WopiFrame.aspx?sourcedoc=/EC-73/English/1.%20DRAFTS%20FOR%20DISCUSSION/EC-73-d03-4(1)-WMO-UNIFIED-DATA-POLICY-draft1_en.docx&amp;action=defaul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etings.wmo.int/EC-73/English/1.%20DRAFTS%20FOR%20DISCUSSION/EC-73-d04-2(12)-GOVERNANCE-TRANSITION-PLAN-GCW-draft1_en.docx?Web=1" TargetMode="External"/><Relationship Id="rId22" Type="http://schemas.openxmlformats.org/officeDocument/2006/relationships/image" Target="media/image2.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1302</Words>
  <Characters>8953</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2021-05-14T17:32:00Z</dcterms:modified>
</cp:coreProperties>
</file>