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3A85" w14:textId="77777777" w:rsidR="00C26F2D" w:rsidRPr="00BF077B" w:rsidRDefault="00DD5131" w:rsidP="00BF077B">
      <w:pPr>
        <w:pStyle w:val="ATSNormal"/>
        <w:rPr>
          <w:rStyle w:val="Ttulodellibro"/>
        </w:rPr>
      </w:pPr>
    </w:p>
    <w:p w14:paraId="67FFF37B" w14:textId="77777777" w:rsidR="002F0A13" w:rsidRDefault="00DD5131" w:rsidP="004B4A60">
      <w:pPr>
        <w:rPr>
          <w:b/>
          <w:u w:val="single"/>
          <w:lang w:val="es-ES_tradnl"/>
        </w:rPr>
      </w:pPr>
    </w:p>
    <w:p w14:paraId="612C9690" w14:textId="77777777" w:rsidR="002F0A13" w:rsidRDefault="00DD5131" w:rsidP="004B4A60">
      <w:pPr>
        <w:rPr>
          <w:b/>
          <w:u w:val="single"/>
          <w:lang w:val="es-ES_tradnl"/>
        </w:rPr>
      </w:pPr>
    </w:p>
    <w:p w14:paraId="06990D33" w14:textId="77777777" w:rsidR="002F0A13" w:rsidRDefault="00DD5131" w:rsidP="004B4A60">
      <w:pPr>
        <w:rPr>
          <w:b/>
          <w:u w:val="single"/>
          <w:lang w:val="es-ES_tradnl"/>
        </w:rPr>
      </w:pPr>
    </w:p>
    <w:p w14:paraId="389C0CCF" w14:textId="77777777" w:rsidR="002F0A13" w:rsidRDefault="00DD5131" w:rsidP="004B4A60">
      <w:pPr>
        <w:rPr>
          <w:b/>
          <w:u w:val="single"/>
          <w:lang w:val="es-ES_tradnl"/>
        </w:rPr>
      </w:pPr>
    </w:p>
    <w:p w14:paraId="55A42C47" w14:textId="77777777" w:rsidR="00C26F2D" w:rsidRDefault="00DD5131" w:rsidP="004B4A60">
      <w:pPr>
        <w:rPr>
          <w:b/>
          <w:u w:val="single"/>
          <w:lang w:val="es-ES_tradnl"/>
        </w:rPr>
      </w:pPr>
    </w:p>
    <w:p w14:paraId="164379C9" w14:textId="77777777" w:rsidR="004B4A60" w:rsidRPr="0057246E" w:rsidRDefault="00DD5131" w:rsidP="001B789F">
      <w:pPr>
        <w:pStyle w:val="ATSTitle"/>
      </w:pPr>
      <w:bookmarkStart w:id="0" w:name="name"/>
      <w:r>
        <w:t>Information on chemical pollution at Port Foster, Deception Island</w:t>
      </w:r>
      <w:bookmarkEnd w:id="0"/>
    </w:p>
    <w:p w14:paraId="35A3CD44" w14:textId="77777777" w:rsidR="004B4A60" w:rsidRPr="0057246E" w:rsidRDefault="00DD5131" w:rsidP="00F75424">
      <w:pPr>
        <w:jc w:val="center"/>
      </w:pPr>
    </w:p>
    <w:p w14:paraId="68067AD9" w14:textId="77777777" w:rsidR="004B4A60" w:rsidRPr="002F0A13" w:rsidRDefault="00DD5131" w:rsidP="002F0A13"/>
    <w:p w14:paraId="5BA3CC2B" w14:textId="77777777" w:rsidR="004B4A60" w:rsidRDefault="00DD5131" w:rsidP="00F75424">
      <w:pPr>
        <w:jc w:val="center"/>
      </w:pPr>
      <w:bookmarkStart w:id="1" w:name="memo"/>
      <w:bookmarkEnd w:id="1"/>
    </w:p>
    <w:p w14:paraId="35DC78B2" w14:textId="77777777" w:rsidR="0097629D" w:rsidRDefault="00DD5131" w:rsidP="00F75424">
      <w:pPr>
        <w:jc w:val="center"/>
      </w:pPr>
    </w:p>
    <w:p w14:paraId="660F0DCB" w14:textId="77777777" w:rsidR="0097629D" w:rsidRDefault="00DD5131" w:rsidP="00F75424">
      <w:pPr>
        <w:jc w:val="center"/>
      </w:pPr>
    </w:p>
    <w:p w14:paraId="6A91095F" w14:textId="77777777" w:rsidR="0097629D" w:rsidRDefault="00DD5131" w:rsidP="00F75424">
      <w:pPr>
        <w:jc w:val="center"/>
      </w:pPr>
    </w:p>
    <w:p w14:paraId="59217F8A" w14:textId="77777777" w:rsidR="0097629D" w:rsidRPr="00C26F2D" w:rsidRDefault="00DD5131" w:rsidP="00F75424">
      <w:pPr>
        <w:jc w:val="center"/>
      </w:pPr>
    </w:p>
    <w:p w14:paraId="7526BEE6" w14:textId="77777777" w:rsidR="004B4A60" w:rsidRPr="0057246E" w:rsidRDefault="00DD5131" w:rsidP="004B4A60"/>
    <w:p w14:paraId="6A7681BA" w14:textId="77777777" w:rsidR="00C26F2D" w:rsidRDefault="00DD513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47DF031" w14:textId="77777777" w:rsidR="00DD5131" w:rsidRPr="002A367D" w:rsidRDefault="00DD5131" w:rsidP="00DD5131">
      <w:pPr>
        <w:pStyle w:val="ATSHeading1"/>
      </w:pPr>
      <w:r>
        <w:lastRenderedPageBreak/>
        <w:t>Information</w:t>
      </w:r>
      <w:r w:rsidRPr="002A367D">
        <w:t xml:space="preserve"> o</w:t>
      </w:r>
      <w:r>
        <w:t>n chemical pollution at Port Foster, Deception Island</w:t>
      </w:r>
    </w:p>
    <w:p w14:paraId="2E7467A3" w14:textId="77777777" w:rsidR="00DD5131" w:rsidRDefault="00DD5131" w:rsidP="00DD5131">
      <w:pPr>
        <w:jc w:val="center"/>
        <w:outlineLvl w:val="0"/>
        <w:rPr>
          <w:b/>
          <w:lang w:val="en-US"/>
        </w:rPr>
      </w:pPr>
    </w:p>
    <w:p w14:paraId="42B897E7" w14:textId="77777777" w:rsidR="00DD5131" w:rsidRDefault="00DD5131" w:rsidP="00DD5131">
      <w:pPr>
        <w:jc w:val="center"/>
        <w:outlineLvl w:val="0"/>
        <w:rPr>
          <w:b/>
        </w:rPr>
      </w:pPr>
      <w:r>
        <w:rPr>
          <w:b/>
        </w:rPr>
        <w:t>An Information P</w:t>
      </w:r>
      <w:r w:rsidRPr="00314965">
        <w:rPr>
          <w:b/>
        </w:rPr>
        <w:t xml:space="preserve">aper submitted by </w:t>
      </w:r>
      <w:r>
        <w:rPr>
          <w:b/>
        </w:rPr>
        <w:t>Portugal and Spain</w:t>
      </w:r>
    </w:p>
    <w:p w14:paraId="3EA861E5" w14:textId="77777777" w:rsidR="00DD5131" w:rsidRDefault="00DD5131" w:rsidP="00DD5131">
      <w:pPr>
        <w:spacing w:before="480" w:after="120"/>
        <w:outlineLvl w:val="0"/>
        <w:rPr>
          <w:rFonts w:ascii="Arial" w:hAnsi="Arial" w:cs="Arial"/>
          <w:b/>
          <w:i/>
        </w:rPr>
      </w:pPr>
      <w:r w:rsidRPr="00314965">
        <w:rPr>
          <w:rFonts w:ascii="Arial" w:hAnsi="Arial" w:cs="Arial"/>
          <w:b/>
          <w:i/>
        </w:rPr>
        <w:t>Summary</w:t>
      </w:r>
    </w:p>
    <w:p w14:paraId="5CC05406" w14:textId="77777777" w:rsidR="00DD5131" w:rsidRPr="00CC7DA4" w:rsidRDefault="00DD5131" w:rsidP="00DD5131">
      <w:pPr>
        <w:pStyle w:val="p1"/>
        <w:jc w:val="both"/>
        <w:rPr>
          <w:rFonts w:ascii="Times New Roman" w:hAnsi="Times New Roman"/>
          <w:sz w:val="24"/>
          <w:szCs w:val="24"/>
        </w:rPr>
      </w:pPr>
      <w:r w:rsidRPr="00CC7DA4">
        <w:rPr>
          <w:rFonts w:ascii="Times New Roman" w:hAnsi="Times New Roman"/>
          <w:sz w:val="24"/>
          <w:szCs w:val="24"/>
        </w:rPr>
        <w:t xml:space="preserve">This paper reports of emerging </w:t>
      </w:r>
      <w:r>
        <w:rPr>
          <w:rFonts w:ascii="Times New Roman" w:hAnsi="Times New Roman"/>
          <w:sz w:val="24"/>
          <w:szCs w:val="24"/>
        </w:rPr>
        <w:t>contaminants</w:t>
      </w:r>
      <w:r w:rsidRPr="00CC7DA4">
        <w:rPr>
          <w:rFonts w:ascii="Times New Roman" w:hAnsi="Times New Roman"/>
          <w:sz w:val="24"/>
          <w:szCs w:val="24"/>
        </w:rPr>
        <w:t xml:space="preserve"> in phytoplankton samples collected from Port Foster, Deception Island (South Shetland Islands, Antarctic Peninsula). A total of 70 persistent </w:t>
      </w:r>
      <w:r w:rsidRPr="00BC5046">
        <w:rPr>
          <w:rFonts w:ascii="Times New Roman" w:hAnsi="Times New Roman"/>
          <w:sz w:val="24"/>
          <w:szCs w:val="24"/>
        </w:rPr>
        <w:t>pollutants (including, Biocides, PAHs, POPs, PCPs, and Pharmaceuticals) from human origin were found, with pharmaceutical compounds the largest group of emerging contaminants identified. We encourage Parties to s</w:t>
      </w:r>
      <w:r>
        <w:rPr>
          <w:rFonts w:ascii="Times New Roman" w:hAnsi="Times New Roman"/>
          <w:sz w:val="24"/>
          <w:szCs w:val="24"/>
        </w:rPr>
        <w:t>et up</w:t>
      </w:r>
      <w:r w:rsidRPr="00BC5046">
        <w:rPr>
          <w:rFonts w:ascii="Times New Roman" w:hAnsi="Times New Roman"/>
          <w:sz w:val="24"/>
          <w:szCs w:val="24"/>
        </w:rPr>
        <w:t xml:space="preserve"> monitoring </w:t>
      </w:r>
      <w:r>
        <w:rPr>
          <w:rFonts w:ascii="Times New Roman" w:hAnsi="Times New Roman"/>
          <w:sz w:val="24"/>
          <w:szCs w:val="24"/>
        </w:rPr>
        <w:t>programs to mitigate and remediate chemical pollutants</w:t>
      </w:r>
      <w:r w:rsidRPr="00BC5046">
        <w:rPr>
          <w:rFonts w:ascii="Times New Roman" w:hAnsi="Times New Roman"/>
          <w:sz w:val="24"/>
          <w:szCs w:val="24"/>
        </w:rPr>
        <w:t xml:space="preserve"> from across the Antarctic Treaty area, to help inform future monitoring research and policy development, and consider the implementation of appropriate contamination control and remediation methods.</w:t>
      </w:r>
    </w:p>
    <w:p w14:paraId="59644F1B" w14:textId="77777777" w:rsidR="00DD5131" w:rsidRPr="00A30DDB" w:rsidRDefault="00DD5131" w:rsidP="00DD5131">
      <w:pPr>
        <w:pStyle w:val="p1"/>
        <w:rPr>
          <w:rFonts w:ascii="Times New Roman" w:hAnsi="Times New Roman"/>
          <w:sz w:val="22"/>
          <w:szCs w:val="22"/>
          <w:lang w:val="en-GB"/>
        </w:rPr>
      </w:pPr>
    </w:p>
    <w:p w14:paraId="783BB258" w14:textId="77777777" w:rsidR="00DD5131" w:rsidRDefault="00DD5131" w:rsidP="00DD5131">
      <w:pPr>
        <w:spacing w:before="480" w:after="120"/>
        <w:outlineLvl w:val="0"/>
        <w:rPr>
          <w:rFonts w:ascii="Arial" w:hAnsi="Arial" w:cs="Arial"/>
          <w:b/>
          <w:i/>
        </w:rPr>
      </w:pPr>
      <w:r w:rsidRPr="005C06ED">
        <w:rPr>
          <w:rFonts w:ascii="Arial" w:hAnsi="Arial" w:cs="Arial"/>
          <w:b/>
          <w:i/>
        </w:rPr>
        <w:t>I</w:t>
      </w:r>
      <w:r>
        <w:rPr>
          <w:rFonts w:ascii="Arial" w:hAnsi="Arial" w:cs="Arial"/>
          <w:b/>
          <w:i/>
        </w:rPr>
        <w:t>ntroduction</w:t>
      </w:r>
    </w:p>
    <w:p w14:paraId="2535DD9F" w14:textId="77777777" w:rsidR="00DD5131" w:rsidRPr="00CC46CE" w:rsidRDefault="00DD5131" w:rsidP="00DD5131">
      <w:pPr>
        <w:rPr>
          <w:sz w:val="24"/>
          <w:lang w:val="en-US"/>
        </w:rPr>
      </w:pPr>
      <w:r>
        <w:t xml:space="preserve">The Protocol on Environmental Protection to the Antarctic Treaty states that </w:t>
      </w:r>
      <w:r>
        <w:rPr>
          <w:szCs w:val="22"/>
          <w:lang w:val="en-US" w:eastAsia="es-ES"/>
        </w:rPr>
        <w:t xml:space="preserve">activities in the Antarctic Treaty area shall be planned and conducted to limit adverse impacts on the Antarctic environment. Considerable </w:t>
      </w:r>
      <w:r w:rsidRPr="00BB7B92">
        <w:rPr>
          <w:lang w:val="en-US" w:eastAsia="es-ES"/>
        </w:rPr>
        <w:t xml:space="preserve">initial work has been made </w:t>
      </w:r>
      <w:r w:rsidRPr="00BB7B92">
        <w:rPr>
          <w:lang w:eastAsia="es-ES"/>
        </w:rPr>
        <w:t>by many National Antarctic Programmes, via SCAR and COMNAP, on the Antarctic Environmental Monitoring Handbook (May 2000)</w:t>
      </w:r>
      <w:r>
        <w:rPr>
          <w:lang w:eastAsia="es-ES"/>
        </w:rPr>
        <w:t xml:space="preserve"> that National Antarctic Programs have implemented and improved as technology advanced. </w:t>
      </w:r>
    </w:p>
    <w:p w14:paraId="1E83D5C9" w14:textId="77777777" w:rsidR="00DD5131" w:rsidRDefault="00DD5131" w:rsidP="00DD5131">
      <w:pPr>
        <w:widowControl w:val="0"/>
        <w:autoSpaceDE w:val="0"/>
        <w:autoSpaceDN w:val="0"/>
        <w:adjustRightInd w:val="0"/>
        <w:rPr>
          <w:szCs w:val="22"/>
          <w:lang w:eastAsia="es-ES"/>
        </w:rPr>
      </w:pPr>
    </w:p>
    <w:p w14:paraId="42AD3C43" w14:textId="77777777" w:rsidR="00DD5131" w:rsidRPr="00922308" w:rsidRDefault="00DD5131" w:rsidP="00DD5131">
      <w:pPr>
        <w:widowControl w:val="0"/>
        <w:autoSpaceDE w:val="0"/>
        <w:autoSpaceDN w:val="0"/>
        <w:adjustRightInd w:val="0"/>
        <w:rPr>
          <w:rFonts w:ascii="Arial" w:hAnsi="Arial" w:cs="Arial"/>
          <w:b/>
          <w:i/>
          <w:lang w:val="en-US"/>
        </w:rPr>
      </w:pPr>
      <w:r>
        <w:rPr>
          <w:szCs w:val="22"/>
          <w:lang w:eastAsia="es-ES"/>
        </w:rPr>
        <w:t xml:space="preserve">Within the Antarctic Peninsula region, </w:t>
      </w:r>
      <w:r>
        <w:t xml:space="preserve">the South Shetland Islands have been subject to long-term human activity, which increased with the establishment of research stations as scientific activity in the region expanded. </w:t>
      </w:r>
      <w:r>
        <w:rPr>
          <w:szCs w:val="22"/>
          <w:lang w:eastAsia="es-ES"/>
        </w:rPr>
        <w:t>In accordance with the provisions of Annex I to the Protocol, the region has been the subject of</w:t>
      </w:r>
      <w:r>
        <w:t xml:space="preserve"> scientific investigations for monitoring of environmental impact (ATCM XXII/IP44; ATCM XXXI/IP30) with more recent </w:t>
      </w:r>
      <w:r>
        <w:rPr>
          <w:szCs w:val="22"/>
          <w:lang w:eastAsia="es-ES"/>
        </w:rPr>
        <w:t>research suggesting that some areas have been subjected to negative environmental impact caused by historic and potentially on-going local human activity around the scientific stations</w:t>
      </w:r>
      <w:r>
        <w:t xml:space="preserve"> (ATCM XXXIX/IP8, ATCM XL/IP22) and the increasing pressure of tourism (ATCM XLIII/IP110)</w:t>
      </w:r>
      <w:r>
        <w:rPr>
          <w:szCs w:val="22"/>
          <w:lang w:eastAsia="es-ES"/>
        </w:rPr>
        <w:t xml:space="preserve">.  As there is </w:t>
      </w:r>
      <w:r w:rsidRPr="0051330E">
        <w:rPr>
          <w:szCs w:val="22"/>
          <w:lang w:val="en-US"/>
        </w:rPr>
        <w:t>scarce information on the presence of these emerging contaminants</w:t>
      </w:r>
      <w:r>
        <w:rPr>
          <w:szCs w:val="22"/>
          <w:lang w:eastAsia="es-ES"/>
        </w:rPr>
        <w:t xml:space="preserve">, </w:t>
      </w:r>
      <w:r w:rsidRPr="0051330E">
        <w:rPr>
          <w:szCs w:val="22"/>
          <w:lang w:val="en-US"/>
        </w:rPr>
        <w:t>such as Biocides, Persistent Organic Pollutants (POPs) as well as Pharmaceutical and</w:t>
      </w:r>
      <w:r>
        <w:rPr>
          <w:szCs w:val="22"/>
          <w:lang w:eastAsia="es-ES"/>
        </w:rPr>
        <w:t xml:space="preserve"> </w:t>
      </w:r>
      <w:r>
        <w:rPr>
          <w:szCs w:val="22"/>
          <w:lang w:val="en-US"/>
        </w:rPr>
        <w:t>Personal Care Products (PPCPs) in the Antarctic Treaty Areas, this paper reports on the most recent scientific evidence of these emerging contaminants in Deception Island, South Shetlands Island (Antarctic Peninsula region).</w:t>
      </w:r>
      <w:r w:rsidRPr="0051330E">
        <w:rPr>
          <w:szCs w:val="22"/>
          <w:lang w:val="en-US"/>
        </w:rPr>
        <w:t xml:space="preserve"> </w:t>
      </w:r>
    </w:p>
    <w:p w14:paraId="0AEDB1AE" w14:textId="77777777" w:rsidR="00DD5131" w:rsidRDefault="00DD5131" w:rsidP="00DD5131">
      <w:pPr>
        <w:spacing w:before="480" w:after="120"/>
        <w:outlineLvl w:val="0"/>
        <w:rPr>
          <w:rFonts w:ascii="Arial" w:hAnsi="Arial" w:cs="Arial"/>
          <w:b/>
          <w:i/>
        </w:rPr>
      </w:pPr>
      <w:r>
        <w:rPr>
          <w:rFonts w:ascii="Arial" w:hAnsi="Arial" w:cs="Arial"/>
          <w:b/>
          <w:i/>
        </w:rPr>
        <w:t xml:space="preserve">Information of emerging contaminants </w:t>
      </w:r>
    </w:p>
    <w:p w14:paraId="5BC623CB" w14:textId="77777777" w:rsidR="00DD5131" w:rsidRDefault="00DD5131" w:rsidP="00DD5131">
      <w:pPr>
        <w:rPr>
          <w:szCs w:val="22"/>
          <w:lang w:val="en-US"/>
        </w:rPr>
      </w:pPr>
    </w:p>
    <w:p w14:paraId="5B581CCE" w14:textId="77777777" w:rsidR="00DD5131" w:rsidRPr="0051330E" w:rsidRDefault="00DD5131" w:rsidP="00DD5131">
      <w:pPr>
        <w:rPr>
          <w:szCs w:val="22"/>
          <w:lang w:val="en-US"/>
        </w:rPr>
      </w:pPr>
      <w:r>
        <w:rPr>
          <w:szCs w:val="22"/>
          <w:lang w:val="en-US"/>
        </w:rPr>
        <w:t>A</w:t>
      </w:r>
      <w:r w:rsidRPr="0051330E">
        <w:rPr>
          <w:szCs w:val="22"/>
          <w:lang w:val="en-US"/>
        </w:rPr>
        <w:t>n untargeted screening of the metabolome of the phytoplankton community</w:t>
      </w:r>
      <w:r>
        <w:rPr>
          <w:szCs w:val="22"/>
          <w:lang w:val="en-US"/>
        </w:rPr>
        <w:t>,</w:t>
      </w:r>
      <w:r w:rsidRPr="0051330E">
        <w:rPr>
          <w:szCs w:val="22"/>
          <w:lang w:val="en-US"/>
        </w:rPr>
        <w:t xml:space="preserve"> collected at two sites in Port Foster Bay at Deception Island</w:t>
      </w:r>
      <w:r>
        <w:rPr>
          <w:szCs w:val="22"/>
          <w:lang w:val="en-US"/>
        </w:rPr>
        <w:t>,</w:t>
      </w:r>
      <w:r w:rsidRPr="0051330E">
        <w:rPr>
          <w:szCs w:val="22"/>
          <w:lang w:val="en-US"/>
        </w:rPr>
        <w:t xml:space="preserve"> was performed. Seventy different contaminant compounds were found to be present. These emerging contaminants included 1 polycyclic aromatic hydrocarbon (PAH), 10 biocides (acaricides, fungicides, herbicides, insecticides and nematicides), 11 POPs (flame retardants, paints and dyes, polychlorinated biphenyl (PCB), phthalates and plastic components), 5 PCPs (cosmetic, detergents and dietary compounds), 40 pharmaceutical compounds and 3 illicit drugs. Pharmaceutical compounds were, by far, the </w:t>
      </w:r>
      <w:r w:rsidRPr="0051330E">
        <w:rPr>
          <w:szCs w:val="22"/>
          <w:lang w:val="en-US"/>
        </w:rPr>
        <w:lastRenderedPageBreak/>
        <w:t>largest group of emerging contaminants found in phytoplankton cells (anticonvulsants, antihypertensives and beta-blockers, antibiotics, analgesic and anti-inflammatory</w:t>
      </w:r>
    </w:p>
    <w:p w14:paraId="5E55E08D" w14:textId="77777777" w:rsidR="00DD5131" w:rsidRPr="00DD5131" w:rsidRDefault="00DD5131" w:rsidP="00DD5131">
      <w:pPr>
        <w:rPr>
          <w:szCs w:val="22"/>
          <w:lang w:val="fr-FR"/>
        </w:rPr>
      </w:pPr>
      <w:proofErr w:type="spellStart"/>
      <w:r w:rsidRPr="00DD5131">
        <w:rPr>
          <w:szCs w:val="22"/>
          <w:lang w:val="fr-FR"/>
        </w:rPr>
        <w:t>drugs</w:t>
      </w:r>
      <w:proofErr w:type="spellEnd"/>
      <w:r w:rsidRPr="00DD5131">
        <w:rPr>
          <w:szCs w:val="22"/>
          <w:lang w:val="fr-FR"/>
        </w:rPr>
        <w:t>)</w:t>
      </w:r>
      <w:r>
        <w:rPr>
          <w:szCs w:val="22"/>
          <w:lang w:val="en-US"/>
        </w:rPr>
        <w:fldChar w:fldCharType="begin"/>
      </w:r>
      <w:r w:rsidRPr="00DD5131">
        <w:rPr>
          <w:szCs w:val="22"/>
          <w:lang w:val="fr-FR"/>
        </w:rPr>
        <w:instrText xml:space="preserve"> ADDIN EN.CITE &lt;EndNote&gt;&lt;Cite&gt;&lt;Author&gt;Duarte&lt;/Author&gt;&lt;Year&gt;2021&lt;/Year&gt;&lt;RecNum&gt;6787&lt;/RecNum&gt;&lt;DisplayText&gt;(Duarte et al. 2021)&lt;/DisplayText&gt;&lt;record&gt;&lt;rec-number&gt;6787&lt;/rec-number&gt;&lt;foreign-keys&gt;&lt;key app="EN" db-id="9z5prrvrzzz29keptv55vexowpd22vd9s5xr" timestamp="1644423911"&gt;6787&lt;/key&gt;&lt;/foreign-keys&gt;&lt;ref-type name="Journal Article"&gt;17&lt;/ref-type&gt;&lt;contributors&gt;&lt;authors&gt;&lt;author&gt;Duarte, Bernardo&lt;/author&gt;&lt;author&gt;Gameiro, Carla&lt;/author&gt;&lt;author&gt;Matos, Ana Rita&lt;/author&gt;&lt;author&gt;Figueiredo, Andreia&lt;/author&gt;&lt;author&gt;Silva, Marta Sousa&lt;/author&gt;&lt;author&gt;Cordeiro, Carlos&lt;/author&gt;&lt;author&gt;Caçador, Isabel&lt;/author&gt;&lt;author&gt;Reis-Santos, Patrick&lt;/author&gt;&lt;author&gt;Fonseca, Vanessa&lt;/author&gt;&lt;author&gt;Cabrita, Maria Teresa&lt;/author&gt;&lt;/authors&gt;&lt;/contributors&gt;&lt;titles&gt;&lt;title&gt;First screening of biocides, persistent organic pollutants, pharmaceutical and personal care products in Antarctic phytoplankton from Deception Island by FT-ICR-MS&lt;/title&gt;&lt;secondary-title&gt;Chemosphere&lt;/secondary-title&gt;&lt;/titles&gt;&lt;periodical&gt;&lt;full-title&gt;Chemosphere&lt;/full-title&gt;&lt;/periodical&gt;&lt;pages&gt;129860&lt;/pages&gt;&lt;volume&gt;274&lt;/volume&gt;&lt;dates&gt;&lt;year&gt;2021&lt;/year&gt;&lt;/dates&gt;&lt;isbn&gt;0045-6535&lt;/isbn&gt;&lt;urls&gt;&lt;/urls&gt;&lt;/record&gt;&lt;/Cite&gt;&lt;/EndNote&gt;</w:instrText>
      </w:r>
      <w:r>
        <w:rPr>
          <w:szCs w:val="22"/>
          <w:lang w:val="en-US"/>
        </w:rPr>
        <w:fldChar w:fldCharType="separate"/>
      </w:r>
      <w:r w:rsidRPr="00DD5131">
        <w:rPr>
          <w:noProof/>
          <w:szCs w:val="22"/>
          <w:lang w:val="fr-FR"/>
        </w:rPr>
        <w:t>(Duarte et al. 2021)</w:t>
      </w:r>
      <w:r>
        <w:rPr>
          <w:szCs w:val="22"/>
          <w:lang w:val="en-US"/>
        </w:rPr>
        <w:fldChar w:fldCharType="end"/>
      </w:r>
      <w:r w:rsidRPr="00DD5131">
        <w:rPr>
          <w:szCs w:val="22"/>
          <w:lang w:val="fr-FR"/>
        </w:rPr>
        <w:t xml:space="preserve"> (Figure 1).</w:t>
      </w:r>
    </w:p>
    <w:p w14:paraId="1F9479A2" w14:textId="77777777" w:rsidR="00DD5131" w:rsidRPr="00DD5131" w:rsidRDefault="00DD5131" w:rsidP="00DD5131">
      <w:pPr>
        <w:rPr>
          <w:szCs w:val="22"/>
          <w:lang w:val="fr-FR"/>
        </w:rPr>
      </w:pPr>
    </w:p>
    <w:p w14:paraId="1E0B11B9" w14:textId="77777777" w:rsidR="00DD5131" w:rsidRPr="00DD5131" w:rsidRDefault="00DD5131" w:rsidP="00DD5131">
      <w:pPr>
        <w:rPr>
          <w:szCs w:val="22"/>
          <w:lang w:val="fr-FR"/>
        </w:rPr>
      </w:pPr>
    </w:p>
    <w:p w14:paraId="29B39FD4" w14:textId="77777777" w:rsidR="00DD5131" w:rsidRDefault="00DD5131" w:rsidP="00DD5131">
      <w:pPr>
        <w:rPr>
          <w:szCs w:val="22"/>
          <w:lang w:val="en-US"/>
        </w:rPr>
      </w:pPr>
      <w:r>
        <w:rPr>
          <w:noProof/>
          <w:szCs w:val="22"/>
          <w:lang w:val="en-US"/>
        </w:rPr>
        <w:drawing>
          <wp:inline distT="0" distB="0" distL="0" distR="0" wp14:anchorId="223F04D4" wp14:editId="66A8F1CF">
            <wp:extent cx="6120765" cy="6433185"/>
            <wp:effectExtent l="0" t="0" r="635" b="0"/>
            <wp:docPr id="2" name="Picture 2" descr="Map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a&#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6433185"/>
                    </a:xfrm>
                    <a:prstGeom prst="rect">
                      <a:avLst/>
                    </a:prstGeom>
                  </pic:spPr>
                </pic:pic>
              </a:graphicData>
            </a:graphic>
          </wp:inline>
        </w:drawing>
      </w:r>
    </w:p>
    <w:p w14:paraId="6B0755A4" w14:textId="77777777" w:rsidR="00DD5131" w:rsidRDefault="00DD5131" w:rsidP="00DD5131">
      <w:pPr>
        <w:jc w:val="both"/>
        <w:rPr>
          <w:szCs w:val="22"/>
          <w:lang w:val="en-US"/>
        </w:rPr>
      </w:pPr>
      <w:r>
        <w:rPr>
          <w:szCs w:val="22"/>
          <w:lang w:val="en-US"/>
        </w:rPr>
        <w:t xml:space="preserve">Figure 1. </w:t>
      </w:r>
      <w:r w:rsidRPr="00EA7F39">
        <w:rPr>
          <w:sz w:val="20"/>
          <w:szCs w:val="22"/>
          <w:lang w:val="en-US"/>
        </w:rPr>
        <w:t>Location of sampling sites, in the vicinity of the Spanish Gabriel de Castilla station (</w:t>
      </w:r>
      <w:proofErr w:type="spellStart"/>
      <w:r w:rsidRPr="00EA7F39">
        <w:rPr>
          <w:sz w:val="20"/>
          <w:szCs w:val="22"/>
          <w:lang w:val="en-US"/>
        </w:rPr>
        <w:t>GdC</w:t>
      </w:r>
      <w:proofErr w:type="spellEnd"/>
      <w:r w:rsidRPr="00EA7F39">
        <w:rPr>
          <w:sz w:val="20"/>
          <w:szCs w:val="22"/>
          <w:lang w:val="en-US"/>
        </w:rPr>
        <w:t xml:space="preserve"> station) and at Fumarole Bay, situated in Foster Bay, Deception Island (South Shetland Islands archipelago, Antarctica), and relative abundance of the total contaminants classes per site and Venn diagram made for the detected contaminants for both sites</w:t>
      </w:r>
      <w:r w:rsidRPr="00EA7F39">
        <w:rPr>
          <w:sz w:val="21"/>
          <w:szCs w:val="22"/>
          <w:lang w:val="en-US"/>
        </w:rPr>
        <w:t>.</w:t>
      </w:r>
    </w:p>
    <w:p w14:paraId="136D5550" w14:textId="77777777" w:rsidR="00DD5131" w:rsidRDefault="00DD5131" w:rsidP="00DD5131">
      <w:pPr>
        <w:rPr>
          <w:szCs w:val="22"/>
          <w:lang w:val="en-US"/>
        </w:rPr>
      </w:pPr>
    </w:p>
    <w:p w14:paraId="646EA4B8" w14:textId="77777777" w:rsidR="00DD5131" w:rsidRDefault="00DD5131" w:rsidP="00DD5131">
      <w:pPr>
        <w:rPr>
          <w:szCs w:val="22"/>
        </w:rPr>
      </w:pPr>
      <w:r>
        <w:rPr>
          <w:szCs w:val="22"/>
        </w:rPr>
        <w:t>A</w:t>
      </w:r>
      <w:r w:rsidRPr="00537039">
        <w:rPr>
          <w:szCs w:val="22"/>
        </w:rPr>
        <w:t>s</w:t>
      </w:r>
      <w:r>
        <w:rPr>
          <w:szCs w:val="22"/>
        </w:rPr>
        <w:t xml:space="preserve"> Port Foster</w:t>
      </w:r>
      <w:r w:rsidRPr="00537039">
        <w:rPr>
          <w:szCs w:val="22"/>
        </w:rPr>
        <w:t xml:space="preserve"> is a semi-closed natural port with a long residence time, the bioaccumulation rates of these potential compounds is unknown</w:t>
      </w:r>
      <w:r>
        <w:rPr>
          <w:szCs w:val="22"/>
        </w:rPr>
        <w:t xml:space="preserve"> at the site and there is a large number of vessels visiting Port Foster, it is extremely difficult to identify the sources of these contaminants, evidencing that a more extensive sampling program in time and space may be needed to </w:t>
      </w:r>
      <w:r w:rsidRPr="0051330E">
        <w:rPr>
          <w:szCs w:val="22"/>
        </w:rPr>
        <w:t>find suitable</w:t>
      </w:r>
      <w:r>
        <w:rPr>
          <w:szCs w:val="22"/>
        </w:rPr>
        <w:t xml:space="preserve"> </w:t>
      </w:r>
      <w:r w:rsidRPr="0051330E">
        <w:rPr>
          <w:szCs w:val="22"/>
        </w:rPr>
        <w:t xml:space="preserve">and effective mitigation and protection guidelines. </w:t>
      </w:r>
      <w:r w:rsidRPr="004B4377">
        <w:rPr>
          <w:szCs w:val="22"/>
          <w:lang w:val="en-US"/>
        </w:rPr>
        <w:t xml:space="preserve">The present findings provide evidence that a diverse range of persistent pollutants of human origin are found in the Antarctic </w:t>
      </w:r>
      <w:r w:rsidRPr="004B4377">
        <w:rPr>
          <w:szCs w:val="22"/>
          <w:lang w:val="en-US"/>
        </w:rPr>
        <w:lastRenderedPageBreak/>
        <w:t>food chain.  Further consideration should be given by the CEP to the development of policy aimed at reducing the release of persistent pollutants into the Antarctica environment</w:t>
      </w:r>
      <w:r>
        <w:rPr>
          <w:szCs w:val="22"/>
          <w:lang w:val="en-US"/>
        </w:rPr>
        <w:t>.</w:t>
      </w:r>
    </w:p>
    <w:p w14:paraId="03B20BB4" w14:textId="77777777" w:rsidR="00DD5131" w:rsidRPr="00EA7F39" w:rsidRDefault="00DD5131" w:rsidP="00DD5131">
      <w:pPr>
        <w:pStyle w:val="p1"/>
        <w:rPr>
          <w:rFonts w:ascii="Arial" w:hAnsi="Arial" w:cs="Arial"/>
          <w:b/>
          <w:i/>
          <w:sz w:val="20"/>
          <w:lang w:eastAsia="es-ES"/>
        </w:rPr>
      </w:pPr>
    </w:p>
    <w:p w14:paraId="6077983C" w14:textId="77777777" w:rsidR="00DD5131" w:rsidRPr="00E57E87" w:rsidRDefault="00DD5131" w:rsidP="00DD5131">
      <w:pPr>
        <w:pStyle w:val="p1"/>
        <w:rPr>
          <w:rFonts w:ascii="Times New Roman" w:hAnsi="Times New Roman"/>
          <w:sz w:val="36"/>
          <w:szCs w:val="22"/>
          <w:lang w:val="es-ES"/>
        </w:rPr>
      </w:pPr>
      <w:r w:rsidRPr="00E57E87">
        <w:rPr>
          <w:rFonts w:ascii="Arial" w:hAnsi="Arial" w:cs="Arial"/>
          <w:b/>
          <w:i/>
          <w:sz w:val="20"/>
          <w:lang w:val="es-ES" w:eastAsia="es-ES"/>
        </w:rPr>
        <w:t>Reference</w:t>
      </w:r>
    </w:p>
    <w:p w14:paraId="67181734" w14:textId="77777777" w:rsidR="00DD5131" w:rsidRDefault="00DD5131" w:rsidP="00DD5131">
      <w:pPr>
        <w:pStyle w:val="p1"/>
      </w:pPr>
      <w:r w:rsidRPr="00F4193C">
        <w:rPr>
          <w:rFonts w:ascii="Times New Roman" w:hAnsi="Times New Roman"/>
          <w:noProof/>
          <w:sz w:val="21"/>
          <w:lang w:val="pt-PT"/>
        </w:rPr>
        <w:t xml:space="preserve">Duarte, B., C. Gameiro, A. R. Matos, A. Figueiredo, M. S. Silva, C. Cordeiro, I. Caçador, P. Reis-Santos, V. Fonseca, and M. T. Cabrita. </w:t>
      </w:r>
      <w:r w:rsidRPr="00F4193C">
        <w:rPr>
          <w:rFonts w:ascii="Times New Roman" w:hAnsi="Times New Roman"/>
          <w:noProof/>
          <w:sz w:val="21"/>
        </w:rPr>
        <w:t xml:space="preserve">2021. First screening of biocides, persistent organic pollutants, pharmaceutical and personal care products in Antarctic phytoplankton from Deception Island by FT-ICR-MS. Chemosphere </w:t>
      </w:r>
      <w:r w:rsidRPr="00F4193C">
        <w:rPr>
          <w:rFonts w:ascii="Times New Roman" w:hAnsi="Times New Roman"/>
          <w:b/>
          <w:noProof/>
          <w:sz w:val="21"/>
        </w:rPr>
        <w:t>274</w:t>
      </w:r>
      <w:r w:rsidRPr="00F4193C">
        <w:rPr>
          <w:rFonts w:ascii="Times New Roman" w:hAnsi="Times New Roman"/>
          <w:noProof/>
          <w:sz w:val="21"/>
        </w:rPr>
        <w:t>:129860</w:t>
      </w:r>
    </w:p>
    <w:p w14:paraId="438492A8" w14:textId="77777777" w:rsidR="00DD5131" w:rsidRDefault="00DD5131" w:rsidP="00952E9F"/>
    <w:sectPr w:rsidR="00DD5131"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B861" w14:textId="77777777" w:rsidR="00000000" w:rsidRDefault="00DD5131">
      <w:r>
        <w:separator/>
      </w:r>
    </w:p>
  </w:endnote>
  <w:endnote w:type="continuationSeparator" w:id="0">
    <w:p w14:paraId="1E591EB8" w14:textId="77777777" w:rsidR="00000000" w:rsidRDefault="00DD5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460F" w14:textId="77777777" w:rsidR="00FA0B9F" w:rsidRDefault="00DD5131" w:rsidP="00CF5C82">
    <w:pPr>
      <w:framePr w:wrap="around" w:vAnchor="text" w:hAnchor="margin" w:xAlign="right" w:y="1"/>
    </w:pPr>
    <w:r>
      <w:fldChar w:fldCharType="begin"/>
    </w:r>
    <w:r>
      <w:instrText xml:space="preserve">PAGE  </w:instrText>
    </w:r>
    <w:r>
      <w:fldChar w:fldCharType="separate"/>
    </w:r>
    <w:r>
      <w:fldChar w:fldCharType="end"/>
    </w:r>
  </w:p>
  <w:p w14:paraId="7B65B152" w14:textId="77777777" w:rsidR="00FA0B9F" w:rsidRDefault="00DD513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174B7" w14:textId="77777777" w:rsidR="00FA0B9F" w:rsidRDefault="00DD513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51751AB" w14:textId="3005BC42" w:rsidR="00FA0B9F" w:rsidRDefault="00DD5131"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F86F" w14:textId="77777777" w:rsidR="00E311C9" w:rsidRDefault="00DD513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8987E82" w14:textId="77777777" w:rsidR="00E311C9" w:rsidRDefault="00DD513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7066" w14:textId="77777777" w:rsidR="00000000" w:rsidRDefault="00DD5131">
      <w:r>
        <w:separator/>
      </w:r>
    </w:p>
  </w:footnote>
  <w:footnote w:type="continuationSeparator" w:id="0">
    <w:p w14:paraId="60369EA3" w14:textId="77777777" w:rsidR="00000000" w:rsidRDefault="00DD5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0752C" w14:paraId="6CBB484E" w14:textId="77777777" w:rsidTr="00490760">
      <w:trPr>
        <w:trHeight w:val="344"/>
        <w:jc w:val="center"/>
      </w:trPr>
      <w:tc>
        <w:tcPr>
          <w:tcW w:w="5495" w:type="dxa"/>
        </w:tcPr>
        <w:p w14:paraId="776D72BB" w14:textId="77777777" w:rsidR="00DB7C09" w:rsidRDefault="00DD5131" w:rsidP="00F968D4"/>
      </w:tc>
      <w:tc>
        <w:tcPr>
          <w:tcW w:w="4253" w:type="dxa"/>
          <w:gridSpan w:val="2"/>
        </w:tcPr>
        <w:p w14:paraId="3CD75C35" w14:textId="77777777" w:rsidR="00DB7C09" w:rsidRPr="00BD47E4" w:rsidRDefault="00DD5131" w:rsidP="002A07BC">
          <w:pPr>
            <w:jc w:val="right"/>
            <w:rPr>
              <w:b/>
              <w:sz w:val="32"/>
              <w:szCs w:val="32"/>
            </w:rPr>
          </w:pPr>
          <w:bookmarkStart w:id="2" w:name="type"/>
          <w:r w:rsidRPr="00BD47E4">
            <w:rPr>
              <w:b/>
              <w:sz w:val="32"/>
              <w:szCs w:val="32"/>
            </w:rPr>
            <w:t>IP</w:t>
          </w:r>
          <w:bookmarkEnd w:id="2"/>
        </w:p>
      </w:tc>
      <w:tc>
        <w:tcPr>
          <w:tcW w:w="1524" w:type="dxa"/>
          <w:gridSpan w:val="2"/>
        </w:tcPr>
        <w:p w14:paraId="2CF922DD" w14:textId="77777777" w:rsidR="00DB7C09" w:rsidRPr="00BD47E4" w:rsidRDefault="00DD5131" w:rsidP="00DB7C09">
          <w:pPr>
            <w:rPr>
              <w:b/>
              <w:sz w:val="32"/>
              <w:szCs w:val="32"/>
            </w:rPr>
          </w:pPr>
          <w:bookmarkStart w:id="3" w:name="number"/>
          <w:r w:rsidRPr="00BD47E4">
            <w:rPr>
              <w:b/>
              <w:sz w:val="32"/>
              <w:szCs w:val="32"/>
            </w:rPr>
            <w:t>4</w:t>
          </w:r>
          <w:bookmarkEnd w:id="3"/>
        </w:p>
      </w:tc>
    </w:tr>
    <w:tr w:rsidR="00E0752C" w14:paraId="4E54AB88" w14:textId="77777777" w:rsidTr="00490760">
      <w:trPr>
        <w:trHeight w:val="2165"/>
        <w:jc w:val="center"/>
      </w:trPr>
      <w:tc>
        <w:tcPr>
          <w:tcW w:w="5495" w:type="dxa"/>
        </w:tcPr>
        <w:p w14:paraId="67D1D83D" w14:textId="77777777" w:rsidR="00490760" w:rsidRPr="00EE4D48" w:rsidRDefault="00DD5131" w:rsidP="002A07BC">
          <w:pPr>
            <w:rPr>
              <w:b/>
              <w:sz w:val="28"/>
              <w:szCs w:val="28"/>
            </w:rPr>
          </w:pPr>
          <w:r>
            <w:rPr>
              <w:noProof/>
            </w:rPr>
            <w:drawing>
              <wp:inline distT="0" distB="0" distL="0" distR="0" wp14:anchorId="026065D3" wp14:editId="472F0959">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9399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8617865" w14:textId="77777777" w:rsidR="00490760" w:rsidRPr="00FE5146" w:rsidRDefault="00DD5131" w:rsidP="00490760">
          <w:pPr>
            <w:jc w:val="right"/>
            <w:rPr>
              <w:sz w:val="144"/>
              <w:szCs w:val="144"/>
            </w:rPr>
          </w:pPr>
          <w:r w:rsidRPr="00FE5146">
            <w:rPr>
              <w:sz w:val="144"/>
              <w:szCs w:val="144"/>
            </w:rPr>
            <w:t>ENG</w:t>
          </w:r>
        </w:p>
      </w:tc>
    </w:tr>
    <w:tr w:rsidR="00E0752C" w14:paraId="299F307E" w14:textId="77777777" w:rsidTr="00BD47E4">
      <w:trPr>
        <w:trHeight w:val="409"/>
        <w:jc w:val="center"/>
      </w:trPr>
      <w:tc>
        <w:tcPr>
          <w:tcW w:w="9039" w:type="dxa"/>
          <w:gridSpan w:val="2"/>
        </w:tcPr>
        <w:p w14:paraId="21456F87" w14:textId="77777777" w:rsidR="00BD47E4" w:rsidRDefault="00DD5131" w:rsidP="002C30DA">
          <w:pPr>
            <w:jc w:val="right"/>
          </w:pPr>
          <w:r>
            <w:t>Agenda Item:</w:t>
          </w:r>
        </w:p>
      </w:tc>
      <w:tc>
        <w:tcPr>
          <w:tcW w:w="1843" w:type="dxa"/>
          <w:gridSpan w:val="2"/>
        </w:tcPr>
        <w:p w14:paraId="7FD44FD4" w14:textId="77777777" w:rsidR="00BD47E4" w:rsidRDefault="00DD5131" w:rsidP="002C30DA">
          <w:pPr>
            <w:jc w:val="right"/>
          </w:pPr>
          <w:bookmarkStart w:id="4" w:name="agenda"/>
          <w:r>
            <w:t>CEP 11</w:t>
          </w:r>
          <w:bookmarkEnd w:id="4"/>
        </w:p>
      </w:tc>
      <w:tc>
        <w:tcPr>
          <w:tcW w:w="390" w:type="dxa"/>
        </w:tcPr>
        <w:p w14:paraId="0F07644A" w14:textId="77777777" w:rsidR="00BD47E4" w:rsidRDefault="00DD5131" w:rsidP="00387A65">
          <w:pPr>
            <w:jc w:val="right"/>
          </w:pPr>
        </w:p>
      </w:tc>
    </w:tr>
    <w:tr w:rsidR="00E0752C" w14:paraId="7DFEB31A" w14:textId="77777777" w:rsidTr="00BD47E4">
      <w:trPr>
        <w:trHeight w:val="397"/>
        <w:jc w:val="center"/>
      </w:trPr>
      <w:tc>
        <w:tcPr>
          <w:tcW w:w="9039" w:type="dxa"/>
          <w:gridSpan w:val="2"/>
        </w:tcPr>
        <w:p w14:paraId="5B1421CC" w14:textId="77777777" w:rsidR="00BD47E4" w:rsidRDefault="00DD5131" w:rsidP="002C30DA">
          <w:pPr>
            <w:jc w:val="right"/>
          </w:pPr>
          <w:r>
            <w:t>Presented by:</w:t>
          </w:r>
        </w:p>
      </w:tc>
      <w:tc>
        <w:tcPr>
          <w:tcW w:w="1843" w:type="dxa"/>
          <w:gridSpan w:val="2"/>
        </w:tcPr>
        <w:p w14:paraId="2E6168A6" w14:textId="77777777" w:rsidR="00BD47E4" w:rsidRDefault="00DD5131" w:rsidP="002C30DA">
          <w:pPr>
            <w:jc w:val="right"/>
          </w:pPr>
          <w:bookmarkStart w:id="5" w:name="party"/>
          <w:r>
            <w:t>Portugal, Spain</w:t>
          </w:r>
          <w:bookmarkEnd w:id="5"/>
        </w:p>
      </w:tc>
      <w:tc>
        <w:tcPr>
          <w:tcW w:w="390" w:type="dxa"/>
        </w:tcPr>
        <w:p w14:paraId="69F88477" w14:textId="77777777" w:rsidR="00BD47E4" w:rsidRDefault="00DD5131" w:rsidP="00387A65">
          <w:pPr>
            <w:jc w:val="right"/>
          </w:pPr>
        </w:p>
      </w:tc>
    </w:tr>
    <w:tr w:rsidR="00E0752C" w14:paraId="1687B783" w14:textId="77777777" w:rsidTr="00BD47E4">
      <w:trPr>
        <w:trHeight w:val="409"/>
        <w:jc w:val="center"/>
      </w:trPr>
      <w:tc>
        <w:tcPr>
          <w:tcW w:w="9039" w:type="dxa"/>
          <w:gridSpan w:val="2"/>
        </w:tcPr>
        <w:p w14:paraId="2F29DF89" w14:textId="77777777" w:rsidR="00BD47E4" w:rsidRDefault="00DD5131" w:rsidP="002C30DA">
          <w:pPr>
            <w:jc w:val="right"/>
          </w:pPr>
          <w:r>
            <w:t>Original:</w:t>
          </w:r>
        </w:p>
      </w:tc>
      <w:tc>
        <w:tcPr>
          <w:tcW w:w="1843" w:type="dxa"/>
          <w:gridSpan w:val="2"/>
        </w:tcPr>
        <w:p w14:paraId="7471649B" w14:textId="77777777" w:rsidR="00BD47E4" w:rsidRDefault="00DD5131" w:rsidP="002C30DA">
          <w:pPr>
            <w:jc w:val="right"/>
          </w:pPr>
          <w:bookmarkStart w:id="6" w:name="language"/>
          <w:r>
            <w:t>English</w:t>
          </w:r>
          <w:bookmarkEnd w:id="6"/>
        </w:p>
      </w:tc>
      <w:tc>
        <w:tcPr>
          <w:tcW w:w="390" w:type="dxa"/>
        </w:tcPr>
        <w:p w14:paraId="3D2D8658" w14:textId="77777777" w:rsidR="00BD47E4" w:rsidRDefault="00DD5131" w:rsidP="00387A65">
          <w:pPr>
            <w:jc w:val="right"/>
          </w:pPr>
        </w:p>
      </w:tc>
    </w:tr>
    <w:tr w:rsidR="00E0752C" w14:paraId="4EF52A17" w14:textId="77777777" w:rsidTr="00BD47E4">
      <w:trPr>
        <w:trHeight w:val="409"/>
        <w:jc w:val="center"/>
      </w:trPr>
      <w:tc>
        <w:tcPr>
          <w:tcW w:w="9039" w:type="dxa"/>
          <w:gridSpan w:val="2"/>
        </w:tcPr>
        <w:p w14:paraId="6F97D263" w14:textId="77777777" w:rsidR="0097629D" w:rsidRDefault="00DD5131" w:rsidP="002C30DA">
          <w:pPr>
            <w:jc w:val="right"/>
          </w:pPr>
          <w:r>
            <w:t>Submitted:</w:t>
          </w:r>
        </w:p>
      </w:tc>
      <w:tc>
        <w:tcPr>
          <w:tcW w:w="1843" w:type="dxa"/>
          <w:gridSpan w:val="2"/>
        </w:tcPr>
        <w:p w14:paraId="2E6F09D7" w14:textId="77777777" w:rsidR="0097629D" w:rsidRDefault="00DD5131" w:rsidP="0097629D">
          <w:pPr>
            <w:jc w:val="right"/>
          </w:pPr>
          <w:bookmarkStart w:id="7" w:name="date_submission"/>
          <w:r>
            <w:t>1/4/2022</w:t>
          </w:r>
          <w:bookmarkEnd w:id="7"/>
        </w:p>
      </w:tc>
      <w:tc>
        <w:tcPr>
          <w:tcW w:w="390" w:type="dxa"/>
        </w:tcPr>
        <w:p w14:paraId="74D949E7" w14:textId="77777777" w:rsidR="0097629D" w:rsidRDefault="00DD5131" w:rsidP="00387A65">
          <w:pPr>
            <w:jc w:val="right"/>
          </w:pPr>
        </w:p>
      </w:tc>
    </w:tr>
  </w:tbl>
  <w:p w14:paraId="2E5C81E8" w14:textId="77777777" w:rsidR="00AE5DD0" w:rsidRDefault="00DD51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356"/>
      <w:gridCol w:w="1670"/>
    </w:tblGrid>
    <w:tr w:rsidR="00E0752C" w14:paraId="12C4513F" w14:textId="77777777" w:rsidTr="00DD5131">
      <w:trPr>
        <w:trHeight w:val="354"/>
        <w:jc w:val="center"/>
      </w:trPr>
      <w:tc>
        <w:tcPr>
          <w:tcW w:w="9356" w:type="dxa"/>
        </w:tcPr>
        <w:p w14:paraId="13657B3B" w14:textId="4F1A83F3" w:rsidR="00AE5DD0" w:rsidRPr="00BD47E4" w:rsidRDefault="00DD5131" w:rsidP="00C26F2D">
          <w:pPr>
            <w:jc w:val="right"/>
            <w:rPr>
              <w:b/>
              <w:sz w:val="32"/>
              <w:szCs w:val="32"/>
            </w:rPr>
          </w:pPr>
          <w:r>
            <w:rPr>
              <w:b/>
              <w:sz w:val="32"/>
              <w:szCs w:val="32"/>
            </w:rPr>
            <w:t>IP</w:t>
          </w:r>
        </w:p>
      </w:tc>
      <w:tc>
        <w:tcPr>
          <w:tcW w:w="1670" w:type="dxa"/>
        </w:tcPr>
        <w:p w14:paraId="37354C7E" w14:textId="37EA3BD2" w:rsidR="00AE5DD0" w:rsidRPr="00BD47E4" w:rsidRDefault="00DD5131" w:rsidP="00080F4C">
          <w:pPr>
            <w:rPr>
              <w:b/>
              <w:sz w:val="32"/>
              <w:szCs w:val="32"/>
            </w:rPr>
          </w:pPr>
          <w:r>
            <w:rPr>
              <w:b/>
              <w:sz w:val="32"/>
              <w:szCs w:val="32"/>
            </w:rPr>
            <w:t>4</w:t>
          </w:r>
        </w:p>
      </w:tc>
    </w:tr>
  </w:tbl>
  <w:p w14:paraId="106D9EB4" w14:textId="77777777" w:rsidR="00AE5DD0" w:rsidRDefault="00DD51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448C8C2">
      <w:start w:val="1"/>
      <w:numFmt w:val="bullet"/>
      <w:pStyle w:val="ATSBullet1"/>
      <w:lvlText w:val=""/>
      <w:lvlJc w:val="left"/>
      <w:pPr>
        <w:tabs>
          <w:tab w:val="num" w:pos="360"/>
        </w:tabs>
        <w:ind w:left="360" w:hanging="360"/>
      </w:pPr>
      <w:rPr>
        <w:rFonts w:ascii="Symbol" w:hAnsi="Symbol" w:hint="default"/>
        <w:color w:val="auto"/>
      </w:rPr>
    </w:lvl>
    <w:lvl w:ilvl="1" w:tplc="4A04DD94" w:tentative="1">
      <w:start w:val="1"/>
      <w:numFmt w:val="bullet"/>
      <w:lvlText w:val="o"/>
      <w:lvlJc w:val="left"/>
      <w:pPr>
        <w:tabs>
          <w:tab w:val="num" w:pos="1440"/>
        </w:tabs>
        <w:ind w:left="1440" w:hanging="360"/>
      </w:pPr>
      <w:rPr>
        <w:rFonts w:ascii="Courier New" w:hAnsi="Courier New" w:cs="Courier New" w:hint="default"/>
      </w:rPr>
    </w:lvl>
    <w:lvl w:ilvl="2" w:tplc="2404F2D0" w:tentative="1">
      <w:start w:val="1"/>
      <w:numFmt w:val="bullet"/>
      <w:lvlText w:val=""/>
      <w:lvlJc w:val="left"/>
      <w:pPr>
        <w:tabs>
          <w:tab w:val="num" w:pos="2160"/>
        </w:tabs>
        <w:ind w:left="2160" w:hanging="360"/>
      </w:pPr>
      <w:rPr>
        <w:rFonts w:ascii="Wingdings" w:hAnsi="Wingdings" w:hint="default"/>
      </w:rPr>
    </w:lvl>
    <w:lvl w:ilvl="3" w:tplc="979CC136" w:tentative="1">
      <w:start w:val="1"/>
      <w:numFmt w:val="bullet"/>
      <w:lvlText w:val=""/>
      <w:lvlJc w:val="left"/>
      <w:pPr>
        <w:tabs>
          <w:tab w:val="num" w:pos="2880"/>
        </w:tabs>
        <w:ind w:left="2880" w:hanging="360"/>
      </w:pPr>
      <w:rPr>
        <w:rFonts w:ascii="Symbol" w:hAnsi="Symbol" w:hint="default"/>
      </w:rPr>
    </w:lvl>
    <w:lvl w:ilvl="4" w:tplc="BB567220" w:tentative="1">
      <w:start w:val="1"/>
      <w:numFmt w:val="bullet"/>
      <w:lvlText w:val="o"/>
      <w:lvlJc w:val="left"/>
      <w:pPr>
        <w:tabs>
          <w:tab w:val="num" w:pos="3600"/>
        </w:tabs>
        <w:ind w:left="3600" w:hanging="360"/>
      </w:pPr>
      <w:rPr>
        <w:rFonts w:ascii="Courier New" w:hAnsi="Courier New" w:cs="Courier New" w:hint="default"/>
      </w:rPr>
    </w:lvl>
    <w:lvl w:ilvl="5" w:tplc="AA0E830A" w:tentative="1">
      <w:start w:val="1"/>
      <w:numFmt w:val="bullet"/>
      <w:lvlText w:val=""/>
      <w:lvlJc w:val="left"/>
      <w:pPr>
        <w:tabs>
          <w:tab w:val="num" w:pos="4320"/>
        </w:tabs>
        <w:ind w:left="4320" w:hanging="360"/>
      </w:pPr>
      <w:rPr>
        <w:rFonts w:ascii="Wingdings" w:hAnsi="Wingdings" w:hint="default"/>
      </w:rPr>
    </w:lvl>
    <w:lvl w:ilvl="6" w:tplc="948AFA24" w:tentative="1">
      <w:start w:val="1"/>
      <w:numFmt w:val="bullet"/>
      <w:lvlText w:val=""/>
      <w:lvlJc w:val="left"/>
      <w:pPr>
        <w:tabs>
          <w:tab w:val="num" w:pos="5040"/>
        </w:tabs>
        <w:ind w:left="5040" w:hanging="360"/>
      </w:pPr>
      <w:rPr>
        <w:rFonts w:ascii="Symbol" w:hAnsi="Symbol" w:hint="default"/>
      </w:rPr>
    </w:lvl>
    <w:lvl w:ilvl="7" w:tplc="F524E68A" w:tentative="1">
      <w:start w:val="1"/>
      <w:numFmt w:val="bullet"/>
      <w:lvlText w:val="o"/>
      <w:lvlJc w:val="left"/>
      <w:pPr>
        <w:tabs>
          <w:tab w:val="num" w:pos="5760"/>
        </w:tabs>
        <w:ind w:left="5760" w:hanging="360"/>
      </w:pPr>
      <w:rPr>
        <w:rFonts w:ascii="Courier New" w:hAnsi="Courier New" w:cs="Courier New" w:hint="default"/>
      </w:rPr>
    </w:lvl>
    <w:lvl w:ilvl="8" w:tplc="FDBCE1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3387450">
      <w:start w:val="1"/>
      <w:numFmt w:val="decimal"/>
      <w:lvlText w:val="%1)"/>
      <w:lvlJc w:val="left"/>
      <w:pPr>
        <w:tabs>
          <w:tab w:val="num" w:pos="340"/>
        </w:tabs>
        <w:ind w:left="340" w:hanging="340"/>
      </w:pPr>
      <w:rPr>
        <w:rFonts w:hint="default"/>
      </w:rPr>
    </w:lvl>
    <w:lvl w:ilvl="1" w:tplc="93F2100E" w:tentative="1">
      <w:start w:val="1"/>
      <w:numFmt w:val="lowerLetter"/>
      <w:lvlText w:val="%2."/>
      <w:lvlJc w:val="left"/>
      <w:pPr>
        <w:tabs>
          <w:tab w:val="num" w:pos="1440"/>
        </w:tabs>
        <w:ind w:left="1440" w:hanging="360"/>
      </w:pPr>
    </w:lvl>
    <w:lvl w:ilvl="2" w:tplc="6700C9B8" w:tentative="1">
      <w:start w:val="1"/>
      <w:numFmt w:val="lowerRoman"/>
      <w:lvlText w:val="%3."/>
      <w:lvlJc w:val="right"/>
      <w:pPr>
        <w:tabs>
          <w:tab w:val="num" w:pos="2160"/>
        </w:tabs>
        <w:ind w:left="2160" w:hanging="180"/>
      </w:pPr>
    </w:lvl>
    <w:lvl w:ilvl="3" w:tplc="524A4B9C" w:tentative="1">
      <w:start w:val="1"/>
      <w:numFmt w:val="decimal"/>
      <w:lvlText w:val="%4."/>
      <w:lvlJc w:val="left"/>
      <w:pPr>
        <w:tabs>
          <w:tab w:val="num" w:pos="2880"/>
        </w:tabs>
        <w:ind w:left="2880" w:hanging="360"/>
      </w:pPr>
    </w:lvl>
    <w:lvl w:ilvl="4" w:tplc="3152732A" w:tentative="1">
      <w:start w:val="1"/>
      <w:numFmt w:val="lowerLetter"/>
      <w:lvlText w:val="%5."/>
      <w:lvlJc w:val="left"/>
      <w:pPr>
        <w:tabs>
          <w:tab w:val="num" w:pos="3600"/>
        </w:tabs>
        <w:ind w:left="3600" w:hanging="360"/>
      </w:pPr>
    </w:lvl>
    <w:lvl w:ilvl="5" w:tplc="B4CEEDB6" w:tentative="1">
      <w:start w:val="1"/>
      <w:numFmt w:val="lowerRoman"/>
      <w:lvlText w:val="%6."/>
      <w:lvlJc w:val="right"/>
      <w:pPr>
        <w:tabs>
          <w:tab w:val="num" w:pos="4320"/>
        </w:tabs>
        <w:ind w:left="4320" w:hanging="180"/>
      </w:pPr>
    </w:lvl>
    <w:lvl w:ilvl="6" w:tplc="E74CD65E" w:tentative="1">
      <w:start w:val="1"/>
      <w:numFmt w:val="decimal"/>
      <w:lvlText w:val="%7."/>
      <w:lvlJc w:val="left"/>
      <w:pPr>
        <w:tabs>
          <w:tab w:val="num" w:pos="5040"/>
        </w:tabs>
        <w:ind w:left="5040" w:hanging="360"/>
      </w:pPr>
    </w:lvl>
    <w:lvl w:ilvl="7" w:tplc="4B02EC44" w:tentative="1">
      <w:start w:val="1"/>
      <w:numFmt w:val="lowerLetter"/>
      <w:lvlText w:val="%8."/>
      <w:lvlJc w:val="left"/>
      <w:pPr>
        <w:tabs>
          <w:tab w:val="num" w:pos="5760"/>
        </w:tabs>
        <w:ind w:left="5760" w:hanging="360"/>
      </w:pPr>
    </w:lvl>
    <w:lvl w:ilvl="8" w:tplc="B3461AE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F148F52">
      <w:start w:val="1"/>
      <w:numFmt w:val="decimal"/>
      <w:lvlText w:val="%1."/>
      <w:lvlJc w:val="left"/>
      <w:pPr>
        <w:tabs>
          <w:tab w:val="num" w:pos="1057"/>
        </w:tabs>
        <w:ind w:left="1057" w:hanging="360"/>
      </w:pPr>
      <w:rPr>
        <w:rFonts w:hint="default"/>
      </w:rPr>
    </w:lvl>
    <w:lvl w:ilvl="1" w:tplc="E354B056" w:tentative="1">
      <w:start w:val="1"/>
      <w:numFmt w:val="lowerLetter"/>
      <w:lvlText w:val="%2."/>
      <w:lvlJc w:val="left"/>
      <w:pPr>
        <w:tabs>
          <w:tab w:val="num" w:pos="2137"/>
        </w:tabs>
        <w:ind w:left="2137" w:hanging="360"/>
      </w:pPr>
    </w:lvl>
    <w:lvl w:ilvl="2" w:tplc="443AC840" w:tentative="1">
      <w:start w:val="1"/>
      <w:numFmt w:val="lowerRoman"/>
      <w:lvlText w:val="%3."/>
      <w:lvlJc w:val="right"/>
      <w:pPr>
        <w:tabs>
          <w:tab w:val="num" w:pos="2857"/>
        </w:tabs>
        <w:ind w:left="2857" w:hanging="180"/>
      </w:pPr>
    </w:lvl>
    <w:lvl w:ilvl="3" w:tplc="EA1CD33C" w:tentative="1">
      <w:start w:val="1"/>
      <w:numFmt w:val="decimal"/>
      <w:lvlText w:val="%4."/>
      <w:lvlJc w:val="left"/>
      <w:pPr>
        <w:tabs>
          <w:tab w:val="num" w:pos="3577"/>
        </w:tabs>
        <w:ind w:left="3577" w:hanging="360"/>
      </w:pPr>
    </w:lvl>
    <w:lvl w:ilvl="4" w:tplc="61463AD4" w:tentative="1">
      <w:start w:val="1"/>
      <w:numFmt w:val="lowerLetter"/>
      <w:lvlText w:val="%5."/>
      <w:lvlJc w:val="left"/>
      <w:pPr>
        <w:tabs>
          <w:tab w:val="num" w:pos="4297"/>
        </w:tabs>
        <w:ind w:left="4297" w:hanging="360"/>
      </w:pPr>
    </w:lvl>
    <w:lvl w:ilvl="5" w:tplc="4C2EE520" w:tentative="1">
      <w:start w:val="1"/>
      <w:numFmt w:val="lowerRoman"/>
      <w:lvlText w:val="%6."/>
      <w:lvlJc w:val="right"/>
      <w:pPr>
        <w:tabs>
          <w:tab w:val="num" w:pos="5017"/>
        </w:tabs>
        <w:ind w:left="5017" w:hanging="180"/>
      </w:pPr>
    </w:lvl>
    <w:lvl w:ilvl="6" w:tplc="8618E926" w:tentative="1">
      <w:start w:val="1"/>
      <w:numFmt w:val="decimal"/>
      <w:lvlText w:val="%7."/>
      <w:lvlJc w:val="left"/>
      <w:pPr>
        <w:tabs>
          <w:tab w:val="num" w:pos="5737"/>
        </w:tabs>
        <w:ind w:left="5737" w:hanging="360"/>
      </w:pPr>
    </w:lvl>
    <w:lvl w:ilvl="7" w:tplc="06228E76" w:tentative="1">
      <w:start w:val="1"/>
      <w:numFmt w:val="lowerLetter"/>
      <w:lvlText w:val="%8."/>
      <w:lvlJc w:val="left"/>
      <w:pPr>
        <w:tabs>
          <w:tab w:val="num" w:pos="6457"/>
        </w:tabs>
        <w:ind w:left="6457" w:hanging="360"/>
      </w:pPr>
    </w:lvl>
    <w:lvl w:ilvl="8" w:tplc="A63CB92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4329BE4">
      <w:start w:val="1"/>
      <w:numFmt w:val="decimal"/>
      <w:pStyle w:val="ATSNumber1"/>
      <w:lvlText w:val="%1)"/>
      <w:lvlJc w:val="left"/>
      <w:pPr>
        <w:tabs>
          <w:tab w:val="num" w:pos="720"/>
        </w:tabs>
        <w:ind w:left="720" w:hanging="360"/>
      </w:pPr>
    </w:lvl>
    <w:lvl w:ilvl="1" w:tplc="1DEC3950" w:tentative="1">
      <w:start w:val="1"/>
      <w:numFmt w:val="lowerLetter"/>
      <w:lvlText w:val="%2."/>
      <w:lvlJc w:val="left"/>
      <w:pPr>
        <w:tabs>
          <w:tab w:val="num" w:pos="1440"/>
        </w:tabs>
        <w:ind w:left="1440" w:hanging="360"/>
      </w:pPr>
    </w:lvl>
    <w:lvl w:ilvl="2" w:tplc="2FD43DE4" w:tentative="1">
      <w:start w:val="1"/>
      <w:numFmt w:val="lowerRoman"/>
      <w:lvlText w:val="%3."/>
      <w:lvlJc w:val="right"/>
      <w:pPr>
        <w:tabs>
          <w:tab w:val="num" w:pos="2160"/>
        </w:tabs>
        <w:ind w:left="2160" w:hanging="180"/>
      </w:pPr>
    </w:lvl>
    <w:lvl w:ilvl="3" w:tplc="D55819EC" w:tentative="1">
      <w:start w:val="1"/>
      <w:numFmt w:val="decimal"/>
      <w:lvlText w:val="%4."/>
      <w:lvlJc w:val="left"/>
      <w:pPr>
        <w:tabs>
          <w:tab w:val="num" w:pos="2880"/>
        </w:tabs>
        <w:ind w:left="2880" w:hanging="360"/>
      </w:pPr>
    </w:lvl>
    <w:lvl w:ilvl="4" w:tplc="CC9AB2FC" w:tentative="1">
      <w:start w:val="1"/>
      <w:numFmt w:val="lowerLetter"/>
      <w:lvlText w:val="%5."/>
      <w:lvlJc w:val="left"/>
      <w:pPr>
        <w:tabs>
          <w:tab w:val="num" w:pos="3600"/>
        </w:tabs>
        <w:ind w:left="3600" w:hanging="360"/>
      </w:pPr>
    </w:lvl>
    <w:lvl w:ilvl="5" w:tplc="DF22DB5E" w:tentative="1">
      <w:start w:val="1"/>
      <w:numFmt w:val="lowerRoman"/>
      <w:lvlText w:val="%6."/>
      <w:lvlJc w:val="right"/>
      <w:pPr>
        <w:tabs>
          <w:tab w:val="num" w:pos="4320"/>
        </w:tabs>
        <w:ind w:left="4320" w:hanging="180"/>
      </w:pPr>
    </w:lvl>
    <w:lvl w:ilvl="6" w:tplc="2A6CDDEA" w:tentative="1">
      <w:start w:val="1"/>
      <w:numFmt w:val="decimal"/>
      <w:lvlText w:val="%7."/>
      <w:lvlJc w:val="left"/>
      <w:pPr>
        <w:tabs>
          <w:tab w:val="num" w:pos="5040"/>
        </w:tabs>
        <w:ind w:left="5040" w:hanging="360"/>
      </w:pPr>
    </w:lvl>
    <w:lvl w:ilvl="7" w:tplc="E83CE1B4" w:tentative="1">
      <w:start w:val="1"/>
      <w:numFmt w:val="lowerLetter"/>
      <w:lvlText w:val="%8."/>
      <w:lvlJc w:val="left"/>
      <w:pPr>
        <w:tabs>
          <w:tab w:val="num" w:pos="5760"/>
        </w:tabs>
        <w:ind w:left="5760" w:hanging="360"/>
      </w:pPr>
    </w:lvl>
    <w:lvl w:ilvl="8" w:tplc="4A2AB4B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C1684E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6608356" w:tentative="1">
      <w:start w:val="1"/>
      <w:numFmt w:val="bullet"/>
      <w:lvlText w:val="o"/>
      <w:lvlJc w:val="left"/>
      <w:pPr>
        <w:tabs>
          <w:tab w:val="num" w:pos="2517"/>
        </w:tabs>
        <w:ind w:left="2517" w:hanging="360"/>
      </w:pPr>
      <w:rPr>
        <w:rFonts w:ascii="Courier New" w:hAnsi="Courier New" w:cs="Courier New" w:hint="default"/>
      </w:rPr>
    </w:lvl>
    <w:lvl w:ilvl="2" w:tplc="DE364C04" w:tentative="1">
      <w:start w:val="1"/>
      <w:numFmt w:val="bullet"/>
      <w:lvlText w:val=""/>
      <w:lvlJc w:val="left"/>
      <w:pPr>
        <w:tabs>
          <w:tab w:val="num" w:pos="3237"/>
        </w:tabs>
        <w:ind w:left="3237" w:hanging="360"/>
      </w:pPr>
      <w:rPr>
        <w:rFonts w:ascii="Wingdings" w:hAnsi="Wingdings" w:hint="default"/>
      </w:rPr>
    </w:lvl>
    <w:lvl w:ilvl="3" w:tplc="965CE33A" w:tentative="1">
      <w:start w:val="1"/>
      <w:numFmt w:val="bullet"/>
      <w:lvlText w:val=""/>
      <w:lvlJc w:val="left"/>
      <w:pPr>
        <w:tabs>
          <w:tab w:val="num" w:pos="3957"/>
        </w:tabs>
        <w:ind w:left="3957" w:hanging="360"/>
      </w:pPr>
      <w:rPr>
        <w:rFonts w:ascii="Symbol" w:hAnsi="Symbol" w:hint="default"/>
      </w:rPr>
    </w:lvl>
    <w:lvl w:ilvl="4" w:tplc="D8A6FF9A" w:tentative="1">
      <w:start w:val="1"/>
      <w:numFmt w:val="bullet"/>
      <w:lvlText w:val="o"/>
      <w:lvlJc w:val="left"/>
      <w:pPr>
        <w:tabs>
          <w:tab w:val="num" w:pos="4677"/>
        </w:tabs>
        <w:ind w:left="4677" w:hanging="360"/>
      </w:pPr>
      <w:rPr>
        <w:rFonts w:ascii="Courier New" w:hAnsi="Courier New" w:cs="Courier New" w:hint="default"/>
      </w:rPr>
    </w:lvl>
    <w:lvl w:ilvl="5" w:tplc="578AA73A" w:tentative="1">
      <w:start w:val="1"/>
      <w:numFmt w:val="bullet"/>
      <w:lvlText w:val=""/>
      <w:lvlJc w:val="left"/>
      <w:pPr>
        <w:tabs>
          <w:tab w:val="num" w:pos="5397"/>
        </w:tabs>
        <w:ind w:left="5397" w:hanging="360"/>
      </w:pPr>
      <w:rPr>
        <w:rFonts w:ascii="Wingdings" w:hAnsi="Wingdings" w:hint="default"/>
      </w:rPr>
    </w:lvl>
    <w:lvl w:ilvl="6" w:tplc="FF34F3C6" w:tentative="1">
      <w:start w:val="1"/>
      <w:numFmt w:val="bullet"/>
      <w:lvlText w:val=""/>
      <w:lvlJc w:val="left"/>
      <w:pPr>
        <w:tabs>
          <w:tab w:val="num" w:pos="6117"/>
        </w:tabs>
        <w:ind w:left="6117" w:hanging="360"/>
      </w:pPr>
      <w:rPr>
        <w:rFonts w:ascii="Symbol" w:hAnsi="Symbol" w:hint="default"/>
      </w:rPr>
    </w:lvl>
    <w:lvl w:ilvl="7" w:tplc="ABA2DA2A" w:tentative="1">
      <w:start w:val="1"/>
      <w:numFmt w:val="bullet"/>
      <w:lvlText w:val="o"/>
      <w:lvlJc w:val="left"/>
      <w:pPr>
        <w:tabs>
          <w:tab w:val="num" w:pos="6837"/>
        </w:tabs>
        <w:ind w:left="6837" w:hanging="360"/>
      </w:pPr>
      <w:rPr>
        <w:rFonts w:ascii="Courier New" w:hAnsi="Courier New" w:cs="Courier New" w:hint="default"/>
      </w:rPr>
    </w:lvl>
    <w:lvl w:ilvl="8" w:tplc="1340CF9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146FD3A">
      <w:start w:val="1"/>
      <w:numFmt w:val="decimal"/>
      <w:pStyle w:val="ATSNumber2"/>
      <w:lvlText w:val="%1."/>
      <w:lvlJc w:val="left"/>
      <w:pPr>
        <w:tabs>
          <w:tab w:val="num" w:pos="720"/>
        </w:tabs>
        <w:ind w:left="720" w:hanging="360"/>
      </w:pPr>
      <w:rPr>
        <w:rFonts w:hint="default"/>
      </w:rPr>
    </w:lvl>
    <w:lvl w:ilvl="1" w:tplc="62224CAE" w:tentative="1">
      <w:start w:val="1"/>
      <w:numFmt w:val="lowerLetter"/>
      <w:lvlText w:val="%2."/>
      <w:lvlJc w:val="left"/>
      <w:pPr>
        <w:tabs>
          <w:tab w:val="num" w:pos="1440"/>
        </w:tabs>
        <w:ind w:left="1440" w:hanging="360"/>
      </w:pPr>
    </w:lvl>
    <w:lvl w:ilvl="2" w:tplc="2F2AC6CC" w:tentative="1">
      <w:start w:val="1"/>
      <w:numFmt w:val="lowerRoman"/>
      <w:lvlText w:val="%3."/>
      <w:lvlJc w:val="right"/>
      <w:pPr>
        <w:tabs>
          <w:tab w:val="num" w:pos="2160"/>
        </w:tabs>
        <w:ind w:left="2160" w:hanging="180"/>
      </w:pPr>
    </w:lvl>
    <w:lvl w:ilvl="3" w:tplc="3DF42BD8" w:tentative="1">
      <w:start w:val="1"/>
      <w:numFmt w:val="decimal"/>
      <w:lvlText w:val="%4."/>
      <w:lvlJc w:val="left"/>
      <w:pPr>
        <w:tabs>
          <w:tab w:val="num" w:pos="2880"/>
        </w:tabs>
        <w:ind w:left="2880" w:hanging="360"/>
      </w:pPr>
    </w:lvl>
    <w:lvl w:ilvl="4" w:tplc="7DC4406A" w:tentative="1">
      <w:start w:val="1"/>
      <w:numFmt w:val="lowerLetter"/>
      <w:lvlText w:val="%5."/>
      <w:lvlJc w:val="left"/>
      <w:pPr>
        <w:tabs>
          <w:tab w:val="num" w:pos="3600"/>
        </w:tabs>
        <w:ind w:left="3600" w:hanging="360"/>
      </w:pPr>
    </w:lvl>
    <w:lvl w:ilvl="5" w:tplc="A342B5AA" w:tentative="1">
      <w:start w:val="1"/>
      <w:numFmt w:val="lowerRoman"/>
      <w:lvlText w:val="%6."/>
      <w:lvlJc w:val="right"/>
      <w:pPr>
        <w:tabs>
          <w:tab w:val="num" w:pos="4320"/>
        </w:tabs>
        <w:ind w:left="4320" w:hanging="180"/>
      </w:pPr>
    </w:lvl>
    <w:lvl w:ilvl="6" w:tplc="B148BE52" w:tentative="1">
      <w:start w:val="1"/>
      <w:numFmt w:val="decimal"/>
      <w:lvlText w:val="%7."/>
      <w:lvlJc w:val="left"/>
      <w:pPr>
        <w:tabs>
          <w:tab w:val="num" w:pos="5040"/>
        </w:tabs>
        <w:ind w:left="5040" w:hanging="360"/>
      </w:pPr>
    </w:lvl>
    <w:lvl w:ilvl="7" w:tplc="037AB6AC" w:tentative="1">
      <w:start w:val="1"/>
      <w:numFmt w:val="lowerLetter"/>
      <w:lvlText w:val="%8."/>
      <w:lvlJc w:val="left"/>
      <w:pPr>
        <w:tabs>
          <w:tab w:val="num" w:pos="5760"/>
        </w:tabs>
        <w:ind w:left="5760" w:hanging="360"/>
      </w:pPr>
    </w:lvl>
    <w:lvl w:ilvl="8" w:tplc="834EEA72" w:tentative="1">
      <w:start w:val="1"/>
      <w:numFmt w:val="lowerRoman"/>
      <w:lvlText w:val="%9."/>
      <w:lvlJc w:val="right"/>
      <w:pPr>
        <w:tabs>
          <w:tab w:val="num" w:pos="6480"/>
        </w:tabs>
        <w:ind w:left="6480" w:hanging="180"/>
      </w:pPr>
    </w:lvl>
  </w:abstractNum>
  <w:num w:numId="1" w16cid:durableId="1658874971">
    <w:abstractNumId w:val="9"/>
  </w:num>
  <w:num w:numId="2" w16cid:durableId="713431070">
    <w:abstractNumId w:val="7"/>
  </w:num>
  <w:num w:numId="3" w16cid:durableId="698359525">
    <w:abstractNumId w:val="6"/>
  </w:num>
  <w:num w:numId="4" w16cid:durableId="474102056">
    <w:abstractNumId w:val="5"/>
  </w:num>
  <w:num w:numId="5" w16cid:durableId="1026058406">
    <w:abstractNumId w:val="4"/>
  </w:num>
  <w:num w:numId="6" w16cid:durableId="1063678144">
    <w:abstractNumId w:val="8"/>
  </w:num>
  <w:num w:numId="7" w16cid:durableId="1411536577">
    <w:abstractNumId w:val="3"/>
  </w:num>
  <w:num w:numId="8" w16cid:durableId="1373307988">
    <w:abstractNumId w:val="2"/>
  </w:num>
  <w:num w:numId="9" w16cid:durableId="1731342202">
    <w:abstractNumId w:val="1"/>
  </w:num>
  <w:num w:numId="10" w16cid:durableId="1891913217">
    <w:abstractNumId w:val="0"/>
  </w:num>
  <w:num w:numId="11" w16cid:durableId="1656714663">
    <w:abstractNumId w:val="11"/>
  </w:num>
  <w:num w:numId="12" w16cid:durableId="1801606122">
    <w:abstractNumId w:val="15"/>
  </w:num>
  <w:num w:numId="13" w16cid:durableId="1111439409">
    <w:abstractNumId w:val="14"/>
  </w:num>
  <w:num w:numId="14" w16cid:durableId="438599360">
    <w:abstractNumId w:val="12"/>
  </w:num>
  <w:num w:numId="15" w16cid:durableId="1954364480">
    <w:abstractNumId w:val="13"/>
  </w:num>
  <w:num w:numId="16" w16cid:durableId="1022511364">
    <w:abstractNumId w:val="10"/>
  </w:num>
  <w:num w:numId="17" w16cid:durableId="559092886">
    <w:abstractNumId w:val="11"/>
  </w:num>
  <w:num w:numId="18" w16cid:durableId="1861508592">
    <w:abstractNumId w:val="15"/>
  </w:num>
  <w:num w:numId="19" w16cid:durableId="347950530">
    <w:abstractNumId w:val="14"/>
  </w:num>
  <w:num w:numId="20" w16cid:durableId="895447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2C"/>
    <w:rsid w:val="00DD5131"/>
    <w:rsid w:val="00E075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0CAB7"/>
  <w15:chartTrackingRefBased/>
  <w15:docId w15:val="{1C996CFC-C028-46B3-8493-049A0CD1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p1">
    <w:name w:val="p1"/>
    <w:basedOn w:val="Normal"/>
    <w:rsid w:val="00DD5131"/>
    <w:rPr>
      <w:rFonts w:ascii="Helvetica" w:hAnsi="Helvetica"/>
      <w:sz w:val="14"/>
      <w:szCs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664</Words>
  <Characters>5277</Characters>
  <Application>Microsoft Office Word</Application>
  <DocSecurity>0</DocSecurity>
  <Lines>43</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2022-04-05T11:28:00Z</dcterms:modified>
</cp:coreProperties>
</file>