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7035" w14:textId="77777777" w:rsidR="00C26F2D" w:rsidRPr="00BF077B" w:rsidRDefault="00A64922" w:rsidP="00BF077B">
      <w:pPr>
        <w:pStyle w:val="ATSNormal"/>
        <w:rPr>
          <w:rStyle w:val="Ttulodellibro"/>
        </w:rPr>
      </w:pPr>
    </w:p>
    <w:p w14:paraId="4C179C49" w14:textId="77777777" w:rsidR="002F0A13" w:rsidRDefault="00A64922" w:rsidP="004B4A60">
      <w:pPr>
        <w:rPr>
          <w:b/>
          <w:u w:val="single"/>
          <w:lang w:val="es-ES_tradnl"/>
        </w:rPr>
      </w:pPr>
    </w:p>
    <w:p w14:paraId="40D38019" w14:textId="77777777" w:rsidR="002F0A13" w:rsidRDefault="00A64922" w:rsidP="004B4A60">
      <w:pPr>
        <w:rPr>
          <w:b/>
          <w:u w:val="single"/>
          <w:lang w:val="es-ES_tradnl"/>
        </w:rPr>
      </w:pPr>
    </w:p>
    <w:p w14:paraId="0CE62849" w14:textId="77777777" w:rsidR="002F0A13" w:rsidRDefault="00A64922" w:rsidP="004B4A60">
      <w:pPr>
        <w:rPr>
          <w:b/>
          <w:u w:val="single"/>
          <w:lang w:val="es-ES_tradnl"/>
        </w:rPr>
      </w:pPr>
    </w:p>
    <w:p w14:paraId="74A42CE4" w14:textId="77777777" w:rsidR="002F0A13" w:rsidRDefault="00A64922" w:rsidP="004B4A60">
      <w:pPr>
        <w:rPr>
          <w:b/>
          <w:u w:val="single"/>
          <w:lang w:val="es-ES_tradnl"/>
        </w:rPr>
      </w:pPr>
    </w:p>
    <w:p w14:paraId="595B25C1" w14:textId="77777777" w:rsidR="00C26F2D" w:rsidRDefault="00A64922" w:rsidP="004B4A60">
      <w:pPr>
        <w:rPr>
          <w:b/>
          <w:u w:val="single"/>
          <w:lang w:val="es-ES_tradnl"/>
        </w:rPr>
      </w:pPr>
    </w:p>
    <w:p w14:paraId="18C451EE" w14:textId="77777777" w:rsidR="004B4A60" w:rsidRPr="0057246E" w:rsidRDefault="001B0103" w:rsidP="001B789F">
      <w:pPr>
        <w:pStyle w:val="ATSTitle"/>
      </w:pPr>
      <w:bookmarkStart w:id="0" w:name="name"/>
      <w:r>
        <w:t>Response to comments on the draft Comprehensive Environmental Evaluation (CEE) for the Scott Base Redevelopment</w:t>
      </w:r>
      <w:bookmarkEnd w:id="0"/>
    </w:p>
    <w:p w14:paraId="3E87D1C1" w14:textId="77777777" w:rsidR="004B4A60" w:rsidRPr="0057246E" w:rsidRDefault="00A64922" w:rsidP="00F75424">
      <w:pPr>
        <w:jc w:val="center"/>
      </w:pPr>
    </w:p>
    <w:p w14:paraId="7B86BF16" w14:textId="77777777" w:rsidR="004B4A60" w:rsidRPr="002F0A13" w:rsidRDefault="00A64922" w:rsidP="002F0A13"/>
    <w:p w14:paraId="7B5DB75C" w14:textId="77777777" w:rsidR="004B4A60" w:rsidRDefault="00A64922" w:rsidP="00F75424">
      <w:pPr>
        <w:jc w:val="center"/>
      </w:pPr>
      <w:bookmarkStart w:id="1" w:name="memo"/>
      <w:bookmarkEnd w:id="1"/>
    </w:p>
    <w:p w14:paraId="555034BD" w14:textId="77777777" w:rsidR="0097629D" w:rsidRDefault="00A64922" w:rsidP="00F75424">
      <w:pPr>
        <w:jc w:val="center"/>
      </w:pPr>
    </w:p>
    <w:p w14:paraId="01041B4B" w14:textId="77777777" w:rsidR="0097629D" w:rsidRDefault="00A64922" w:rsidP="00F75424">
      <w:pPr>
        <w:jc w:val="center"/>
      </w:pPr>
    </w:p>
    <w:p w14:paraId="1597BD8D" w14:textId="77777777" w:rsidR="0097629D" w:rsidRDefault="00A64922" w:rsidP="00F75424">
      <w:pPr>
        <w:jc w:val="center"/>
      </w:pPr>
    </w:p>
    <w:p w14:paraId="794F91A1" w14:textId="77777777" w:rsidR="0097629D" w:rsidRPr="00C26F2D" w:rsidRDefault="00A64922" w:rsidP="00F75424">
      <w:pPr>
        <w:jc w:val="center"/>
      </w:pPr>
    </w:p>
    <w:p w14:paraId="7C92B6CC" w14:textId="77777777" w:rsidR="004B4A60" w:rsidRPr="0057246E" w:rsidRDefault="00A64922" w:rsidP="004B4A60"/>
    <w:p w14:paraId="237BA885" w14:textId="77777777" w:rsidR="00C26F2D" w:rsidRDefault="00A64922"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9FCCC42" w14:textId="39AF070B" w:rsidR="004B4A60" w:rsidRDefault="00A64922" w:rsidP="00952E9F"/>
    <w:p w14:paraId="51FF441F" w14:textId="77777777" w:rsidR="001B0103" w:rsidRPr="008E050C" w:rsidRDefault="001B0103" w:rsidP="001B0103">
      <w:pPr>
        <w:pStyle w:val="ATSTitle"/>
        <w:rPr>
          <w:sz w:val="32"/>
        </w:rPr>
      </w:pPr>
      <w:r w:rsidRPr="008E050C">
        <w:rPr>
          <w:sz w:val="32"/>
        </w:rPr>
        <w:t xml:space="preserve">Responses to </w:t>
      </w:r>
      <w:r>
        <w:rPr>
          <w:sz w:val="32"/>
        </w:rPr>
        <w:t>c</w:t>
      </w:r>
      <w:r w:rsidRPr="008E050C">
        <w:rPr>
          <w:sz w:val="32"/>
        </w:rPr>
        <w:t xml:space="preserve">omments on the </w:t>
      </w:r>
      <w:r>
        <w:rPr>
          <w:sz w:val="32"/>
        </w:rPr>
        <w:t>d</w:t>
      </w:r>
      <w:r w:rsidRPr="008E050C">
        <w:rPr>
          <w:sz w:val="32"/>
        </w:rPr>
        <w:t>raft Comprehensive Environmental Evaluation (CEE) for the Scott Base Redevelopment</w:t>
      </w:r>
    </w:p>
    <w:p w14:paraId="48E52FCE" w14:textId="77777777" w:rsidR="001B0103" w:rsidRDefault="001B0103" w:rsidP="001B0103">
      <w:pPr>
        <w:spacing w:before="240" w:after="60"/>
        <w:jc w:val="center"/>
        <w:rPr>
          <w:b/>
        </w:rPr>
      </w:pPr>
      <w:r>
        <w:rPr>
          <w:b/>
        </w:rPr>
        <w:t>An information paper submitted by New Zealand</w:t>
      </w:r>
    </w:p>
    <w:p w14:paraId="1B67C3CF" w14:textId="77777777" w:rsidR="001B0103" w:rsidRDefault="001B0103" w:rsidP="001B0103">
      <w:pPr>
        <w:spacing w:before="240" w:after="60"/>
        <w:rPr>
          <w:b/>
          <w:szCs w:val="22"/>
        </w:rPr>
      </w:pPr>
    </w:p>
    <w:p w14:paraId="76CFAB18" w14:textId="77777777" w:rsidR="001B0103" w:rsidRDefault="001B0103" w:rsidP="001B0103">
      <w:pPr>
        <w:rPr>
          <w:rFonts w:ascii="Arial" w:hAnsi="Arial" w:cs="Arial"/>
          <w:b/>
          <w:i/>
          <w:sz w:val="24"/>
        </w:rPr>
      </w:pPr>
      <w:r>
        <w:rPr>
          <w:rFonts w:ascii="Arial" w:hAnsi="Arial" w:cs="Arial"/>
          <w:b/>
          <w:i/>
          <w:sz w:val="24"/>
        </w:rPr>
        <w:t>Summary</w:t>
      </w:r>
    </w:p>
    <w:p w14:paraId="17E3C230" w14:textId="77777777" w:rsidR="001B0103" w:rsidRDefault="001B0103" w:rsidP="001B0103">
      <w:pPr>
        <w:rPr>
          <w:lang w:val="en-AU"/>
        </w:rPr>
      </w:pPr>
    </w:p>
    <w:p w14:paraId="179D78B1" w14:textId="77777777" w:rsidR="001B0103" w:rsidRDefault="001B0103" w:rsidP="001B0103">
      <w:pPr>
        <w:pStyle w:val="ATSBullet1"/>
        <w:numPr>
          <w:ilvl w:val="0"/>
          <w:numId w:val="0"/>
        </w:numPr>
        <w:rPr>
          <w:lang w:val="en-AU"/>
        </w:rPr>
      </w:pPr>
      <w:r w:rsidRPr="0041418D">
        <w:rPr>
          <w:lang w:val="en-AU"/>
        </w:rPr>
        <w:t>A draft Comprehensive Environmental Evaluation (CEE) was prepared by New Zealand for the proposed Scott Base Redevelopment.</w:t>
      </w:r>
      <w:r w:rsidRPr="00E9015C">
        <w:rPr>
          <w:lang w:val="en-AU"/>
        </w:rPr>
        <w:t xml:space="preserve"> </w:t>
      </w:r>
      <w:r w:rsidRPr="009D6DE6">
        <w:rPr>
          <w:lang w:val="en-AU"/>
        </w:rPr>
        <w:t xml:space="preserve">The final CEE </w:t>
      </w:r>
      <w:r>
        <w:rPr>
          <w:lang w:val="en-AU"/>
        </w:rPr>
        <w:t>was</w:t>
      </w:r>
      <w:r w:rsidRPr="009D6DE6">
        <w:rPr>
          <w:lang w:val="en-AU"/>
        </w:rPr>
        <w:t xml:space="preserve"> approved under New Zealand’s Antarctica (Environmental Protection) Ac</w:t>
      </w:r>
      <w:r>
        <w:rPr>
          <w:lang w:val="en-AU"/>
        </w:rPr>
        <w:t>t (1994) a</w:t>
      </w:r>
      <w:r w:rsidRPr="009D6DE6">
        <w:rPr>
          <w:lang w:val="en-AU"/>
        </w:rPr>
        <w:t xml:space="preserve">nd </w:t>
      </w:r>
      <w:r>
        <w:rPr>
          <w:lang w:val="en-AU"/>
        </w:rPr>
        <w:t xml:space="preserve">the Parties were notified through Secretariat Circular 12/2021 on 14 </w:t>
      </w:r>
      <w:proofErr w:type="gramStart"/>
      <w:r>
        <w:rPr>
          <w:lang w:val="en-AU"/>
        </w:rPr>
        <w:t>October,</w:t>
      </w:r>
      <w:proofErr w:type="gramEnd"/>
      <w:r>
        <w:rPr>
          <w:lang w:val="en-AU"/>
        </w:rPr>
        <w:t xml:space="preserve"> 2021 that </w:t>
      </w:r>
      <w:r w:rsidRPr="009D6DE6">
        <w:rPr>
          <w:lang w:val="en-AU"/>
        </w:rPr>
        <w:t>New Zealand</w:t>
      </w:r>
      <w:r>
        <w:rPr>
          <w:lang w:val="en-AU"/>
        </w:rPr>
        <w:t xml:space="preserve"> is</w:t>
      </w:r>
      <w:r w:rsidRPr="009D6DE6">
        <w:rPr>
          <w:lang w:val="en-AU"/>
        </w:rPr>
        <w:t xml:space="preserve"> proceed</w:t>
      </w:r>
      <w:r>
        <w:rPr>
          <w:lang w:val="en-AU"/>
        </w:rPr>
        <w:t>ing</w:t>
      </w:r>
      <w:r w:rsidRPr="009D6DE6">
        <w:rPr>
          <w:lang w:val="en-AU"/>
        </w:rPr>
        <w:t xml:space="preserve"> with the</w:t>
      </w:r>
      <w:r>
        <w:rPr>
          <w:lang w:val="en-AU"/>
        </w:rPr>
        <w:t xml:space="preserve"> Scott Base Re</w:t>
      </w:r>
      <w:r w:rsidRPr="009D6DE6">
        <w:rPr>
          <w:lang w:val="en-AU"/>
        </w:rPr>
        <w:t xml:space="preserve">development, based on the </w:t>
      </w:r>
      <w:r>
        <w:rPr>
          <w:lang w:val="en-AU"/>
        </w:rPr>
        <w:t xml:space="preserve">final </w:t>
      </w:r>
      <w:r w:rsidRPr="009D6DE6">
        <w:rPr>
          <w:lang w:val="en-AU"/>
        </w:rPr>
        <w:t>CEE.</w:t>
      </w:r>
      <w:r>
        <w:rPr>
          <w:lang w:val="en-AU"/>
        </w:rPr>
        <w:t xml:space="preserve"> This paper provides a response to the comments received from the </w:t>
      </w:r>
      <w:r w:rsidRPr="0041418D">
        <w:rPr>
          <w:lang w:val="en-AU"/>
        </w:rPr>
        <w:t>Intersessional Contact Group (ICG)</w:t>
      </w:r>
      <w:r w:rsidRPr="00E9015C">
        <w:rPr>
          <w:lang w:val="en-AU"/>
        </w:rPr>
        <w:t xml:space="preserve"> </w:t>
      </w:r>
      <w:r>
        <w:rPr>
          <w:lang w:val="en-AU"/>
        </w:rPr>
        <w:t>established i</w:t>
      </w:r>
      <w:r w:rsidRPr="0041418D">
        <w:rPr>
          <w:lang w:val="en-AU"/>
        </w:rPr>
        <w:t xml:space="preserve">n accordance with the </w:t>
      </w:r>
      <w:hyperlink r:id="rId14" w:history="1">
        <w:r w:rsidRPr="0041418D">
          <w:rPr>
            <w:lang w:val="en-AU"/>
          </w:rPr>
          <w:t>Procedures for intersessional consideration of Draft CEEs</w:t>
        </w:r>
      </w:hyperlink>
      <w:r>
        <w:rPr>
          <w:lang w:val="en-AU"/>
        </w:rPr>
        <w:t xml:space="preserve"> </w:t>
      </w:r>
      <w:r w:rsidRPr="0041418D">
        <w:rPr>
          <w:lang w:val="en-AU"/>
        </w:rPr>
        <w:t>(CEP XX Final Report, Appendix 3)</w:t>
      </w:r>
      <w:r>
        <w:rPr>
          <w:lang w:val="en-AU"/>
        </w:rPr>
        <w:t xml:space="preserve">. </w:t>
      </w:r>
    </w:p>
    <w:p w14:paraId="0F2BDC32" w14:textId="77777777" w:rsidR="001B0103" w:rsidRPr="0041418D" w:rsidRDefault="001B0103" w:rsidP="001B0103">
      <w:pPr>
        <w:rPr>
          <w:szCs w:val="22"/>
        </w:rPr>
      </w:pPr>
    </w:p>
    <w:p w14:paraId="20AB1EFE" w14:textId="77777777" w:rsidR="001B0103" w:rsidRDefault="001B0103" w:rsidP="001B0103">
      <w:pPr>
        <w:pStyle w:val="ATSBullet1"/>
        <w:numPr>
          <w:ilvl w:val="0"/>
          <w:numId w:val="0"/>
        </w:numPr>
        <w:rPr>
          <w:lang w:val="en-AU"/>
        </w:rPr>
      </w:pPr>
    </w:p>
    <w:p w14:paraId="5FD0ABEC" w14:textId="77777777" w:rsidR="001B0103" w:rsidRDefault="001B0103" w:rsidP="001B0103">
      <w:pPr>
        <w:rPr>
          <w:rFonts w:ascii="Arial" w:hAnsi="Arial" w:cs="Arial"/>
          <w:b/>
          <w:i/>
          <w:sz w:val="24"/>
        </w:rPr>
      </w:pPr>
      <w:r>
        <w:rPr>
          <w:rFonts w:ascii="Arial" w:hAnsi="Arial" w:cs="Arial"/>
          <w:b/>
          <w:i/>
          <w:sz w:val="24"/>
        </w:rPr>
        <w:t>Background</w:t>
      </w:r>
    </w:p>
    <w:p w14:paraId="636058AB" w14:textId="77777777" w:rsidR="001B0103" w:rsidRPr="009A462F" w:rsidRDefault="001B0103" w:rsidP="001B0103">
      <w:pPr>
        <w:pStyle w:val="ATSBullet1"/>
        <w:numPr>
          <w:ilvl w:val="0"/>
          <w:numId w:val="0"/>
        </w:numPr>
        <w:rPr>
          <w:lang w:val="en-AU"/>
        </w:rPr>
      </w:pPr>
    </w:p>
    <w:p w14:paraId="02369375" w14:textId="77777777" w:rsidR="001B0103" w:rsidRDefault="001B0103" w:rsidP="001B0103">
      <w:pPr>
        <w:pStyle w:val="ATSBullet1"/>
        <w:numPr>
          <w:ilvl w:val="0"/>
          <w:numId w:val="0"/>
        </w:numPr>
        <w:rPr>
          <w:lang w:val="en-AU"/>
        </w:rPr>
      </w:pPr>
      <w:r w:rsidRPr="0041418D">
        <w:rPr>
          <w:lang w:val="en-AU"/>
        </w:rPr>
        <w:t xml:space="preserve">A draft Comprehensive Environmental Evaluation (CEE) was prepared by New Zealand for the proposed Scott Base Redevelopment. On 12 February 2021, New Zealand notified the Committee for Environmental Protection (CEP) Chair of the availability of the draft CEE for the ‘Scott Base Redevelopment’. Notification of the availability of the CEE was circulated via CEP Circular 5 (16 </w:t>
      </w:r>
      <w:proofErr w:type="gramStart"/>
      <w:r w:rsidRPr="0041418D">
        <w:rPr>
          <w:lang w:val="en-AU"/>
        </w:rPr>
        <w:t>February,</w:t>
      </w:r>
      <w:proofErr w:type="gramEnd"/>
      <w:r w:rsidRPr="0041418D">
        <w:rPr>
          <w:lang w:val="en-AU"/>
        </w:rPr>
        <w:t xml:space="preserve"> 2021). The draft CEE was made available, in English, for download via the CEP Workspace on the website of the Secretariat of the Antarctic Treaty: </w:t>
      </w:r>
      <w:hyperlink r:id="rId15" w:history="1">
        <w:r w:rsidRPr="00B62CDE">
          <w:rPr>
            <w:rStyle w:val="Hipervnculo"/>
            <w:lang w:val="en-AU"/>
          </w:rPr>
          <w:t>https://www.ats.aq/devAS/EP/CEPWorkspace</w:t>
        </w:r>
      </w:hyperlink>
      <w:r>
        <w:rPr>
          <w:lang w:val="en-AU"/>
        </w:rPr>
        <w:t xml:space="preserve"> </w:t>
      </w:r>
      <w:r w:rsidRPr="0041418D">
        <w:rPr>
          <w:lang w:val="en-AU"/>
        </w:rPr>
        <w:t xml:space="preserve">and the Antarctica New Zealand website: </w:t>
      </w:r>
      <w:hyperlink r:id="rId16" w:history="1">
        <w:r w:rsidRPr="00B62CDE">
          <w:rPr>
            <w:rStyle w:val="Hipervnculo"/>
            <w:lang w:val="en-AU"/>
          </w:rPr>
          <w:t>https://www.antarcticanz.govt.nz/sbrceedraftfornotification.pdf</w:t>
        </w:r>
      </w:hyperlink>
      <w:r>
        <w:rPr>
          <w:lang w:val="en-AU"/>
        </w:rPr>
        <w:t xml:space="preserve">. </w:t>
      </w:r>
    </w:p>
    <w:p w14:paraId="02C3A23C" w14:textId="77777777" w:rsidR="001B0103" w:rsidRPr="0041418D" w:rsidRDefault="001B0103" w:rsidP="001B0103">
      <w:pPr>
        <w:pStyle w:val="ATSBullet1"/>
        <w:numPr>
          <w:ilvl w:val="0"/>
          <w:numId w:val="0"/>
        </w:numPr>
        <w:rPr>
          <w:lang w:val="en-AU"/>
        </w:rPr>
      </w:pPr>
      <w:r w:rsidRPr="0041418D">
        <w:rPr>
          <w:lang w:val="en-AU"/>
        </w:rPr>
        <w:t xml:space="preserve">In accordance with the </w:t>
      </w:r>
      <w:hyperlink r:id="rId17" w:history="1">
        <w:r w:rsidRPr="0041418D">
          <w:rPr>
            <w:lang w:val="en-AU"/>
          </w:rPr>
          <w:t>Procedures for intersessional consideration of Draft CEEs</w:t>
        </w:r>
      </w:hyperlink>
      <w:r w:rsidRPr="0041418D">
        <w:rPr>
          <w:lang w:val="en-AU"/>
        </w:rPr>
        <w:t xml:space="preserve"> (CEP XX Final Report, Appendix 3) an Intersessional Contact Group (ICG) was established, convened by Spain, to review the draft CEE. ICG correspondence is available to CEP Members and Observers via the CEP Forum, which also provided the Non-Technical Summary (NTS) translated into the official Treaty languages. </w:t>
      </w:r>
    </w:p>
    <w:p w14:paraId="26338A27" w14:textId="77777777" w:rsidR="001B0103" w:rsidRPr="0041418D" w:rsidRDefault="001B0103" w:rsidP="001B0103">
      <w:pPr>
        <w:pStyle w:val="ATSBullet1"/>
        <w:numPr>
          <w:ilvl w:val="0"/>
          <w:numId w:val="0"/>
        </w:numPr>
        <w:rPr>
          <w:lang w:val="en-AU"/>
        </w:rPr>
      </w:pPr>
      <w:r w:rsidRPr="0041418D">
        <w:rPr>
          <w:lang w:val="en-AU"/>
        </w:rPr>
        <w:t xml:space="preserve">New Zealand appreciates the efforts of ICG participants who provided valuable comments on the draft CEE, and thanks Spain for convening the ICG and providing an excellent summary of the responses (ATCM XLIII, </w:t>
      </w:r>
      <w:hyperlink r:id="rId18" w:history="1">
        <w:r w:rsidRPr="00987C32">
          <w:rPr>
            <w:rStyle w:val="Hipervnculo"/>
          </w:rPr>
          <w:t>WP10 Report of the intersessional open-ended contact group to review the draft Comprehensive Environmental Evaluation prepared by New Zealand for the ‘Scott Base Redevelopment’</w:t>
        </w:r>
      </w:hyperlink>
      <w:r w:rsidRPr="0041418D">
        <w:rPr>
          <w:lang w:val="en-AU"/>
        </w:rPr>
        <w:t xml:space="preserve">). </w:t>
      </w:r>
    </w:p>
    <w:p w14:paraId="2247C70B" w14:textId="77777777" w:rsidR="001B0103" w:rsidRDefault="001B0103" w:rsidP="001B0103">
      <w:pPr>
        <w:pStyle w:val="ATSBullet1"/>
        <w:numPr>
          <w:ilvl w:val="0"/>
          <w:numId w:val="0"/>
        </w:numPr>
        <w:rPr>
          <w:lang w:val="en-AU"/>
        </w:rPr>
      </w:pPr>
      <w:r w:rsidRPr="0041418D">
        <w:rPr>
          <w:lang w:val="en-AU"/>
        </w:rPr>
        <w:t>The</w:t>
      </w:r>
      <w:r>
        <w:rPr>
          <w:lang w:val="en-AU"/>
        </w:rPr>
        <w:t xml:space="preserve"> comments from</w:t>
      </w:r>
      <w:r w:rsidRPr="0041418D">
        <w:rPr>
          <w:lang w:val="en-AU"/>
        </w:rPr>
        <w:t xml:space="preserve"> the Parties’ feedback from the ICG, from discussions during the meeting</w:t>
      </w:r>
      <w:r>
        <w:rPr>
          <w:lang w:val="en-AU"/>
        </w:rPr>
        <w:t>, from the CEP advice</w:t>
      </w:r>
      <w:r w:rsidRPr="0041418D">
        <w:rPr>
          <w:lang w:val="en-AU"/>
        </w:rPr>
        <w:t xml:space="preserve"> and from the </w:t>
      </w:r>
      <w:r>
        <w:rPr>
          <w:lang w:val="en-AU"/>
        </w:rPr>
        <w:t xml:space="preserve">New Zealand </w:t>
      </w:r>
      <w:proofErr w:type="gramStart"/>
      <w:r w:rsidRPr="0041418D">
        <w:rPr>
          <w:lang w:val="en-AU"/>
        </w:rPr>
        <w:t>general public</w:t>
      </w:r>
      <w:proofErr w:type="gramEnd"/>
      <w:r>
        <w:rPr>
          <w:lang w:val="en-AU"/>
        </w:rPr>
        <w:t xml:space="preserve"> were addressed in the</w:t>
      </w:r>
      <w:r w:rsidRPr="0041418D">
        <w:rPr>
          <w:lang w:val="en-AU"/>
        </w:rPr>
        <w:t xml:space="preserve"> final CEE</w:t>
      </w:r>
      <w:r>
        <w:rPr>
          <w:lang w:val="en-AU"/>
        </w:rPr>
        <w:t xml:space="preserve"> and w</w:t>
      </w:r>
      <w:r w:rsidRPr="0041418D">
        <w:rPr>
          <w:lang w:val="en-AU"/>
        </w:rPr>
        <w:t>here available, the final CEE incorporate</w:t>
      </w:r>
      <w:r>
        <w:rPr>
          <w:lang w:val="en-AU"/>
        </w:rPr>
        <w:t>d</w:t>
      </w:r>
      <w:r w:rsidRPr="0041418D">
        <w:rPr>
          <w:lang w:val="en-AU"/>
        </w:rPr>
        <w:t xml:space="preserve"> further design and construction information that became available since the circulation of the draft CEE. </w:t>
      </w:r>
      <w:r>
        <w:rPr>
          <w:lang w:val="en-AU"/>
        </w:rPr>
        <w:t>A response to the ICG comments is provided in Attachment 1.</w:t>
      </w:r>
    </w:p>
    <w:p w14:paraId="36ABAAC4" w14:textId="77777777" w:rsidR="001B0103" w:rsidRDefault="001B0103" w:rsidP="001B0103">
      <w:pPr>
        <w:pStyle w:val="ATSBullet1"/>
        <w:numPr>
          <w:ilvl w:val="0"/>
          <w:numId w:val="0"/>
        </w:numPr>
        <w:rPr>
          <w:lang w:val="en-AU"/>
        </w:rPr>
      </w:pPr>
      <w:r w:rsidRPr="0041418D">
        <w:rPr>
          <w:lang w:val="en-AU"/>
        </w:rPr>
        <w:t xml:space="preserve">There </w:t>
      </w:r>
      <w:r>
        <w:rPr>
          <w:lang w:val="en-AU"/>
        </w:rPr>
        <w:t>were</w:t>
      </w:r>
      <w:r w:rsidRPr="0041418D">
        <w:rPr>
          <w:lang w:val="en-AU"/>
        </w:rPr>
        <w:t xml:space="preserve"> no significant changes to the predicted environmental impacts and the conclusion of the CEE remains that the proposed activities are likely to have a ‘</w:t>
      </w:r>
      <w:r w:rsidRPr="001D3342">
        <w:rPr>
          <w:i/>
          <w:lang w:val="en-AU"/>
        </w:rPr>
        <w:t>more than minor or transitory impact on the Antarctic environment</w:t>
      </w:r>
      <w:r w:rsidRPr="0041418D">
        <w:rPr>
          <w:lang w:val="en-AU"/>
        </w:rPr>
        <w:t>’.</w:t>
      </w:r>
      <w:r>
        <w:rPr>
          <w:lang w:val="en-AU"/>
        </w:rPr>
        <w:t xml:space="preserve"> </w:t>
      </w:r>
      <w:r w:rsidRPr="009D6DE6">
        <w:rPr>
          <w:lang w:val="en-AU"/>
        </w:rPr>
        <w:t xml:space="preserve">The final CEE </w:t>
      </w:r>
      <w:r>
        <w:rPr>
          <w:lang w:val="en-AU"/>
        </w:rPr>
        <w:t>was</w:t>
      </w:r>
      <w:r w:rsidRPr="009D6DE6">
        <w:rPr>
          <w:lang w:val="en-AU"/>
        </w:rPr>
        <w:t xml:space="preserve"> approved under New Zealand’s Antarctica (Environmental Protection) Ac</w:t>
      </w:r>
      <w:r>
        <w:rPr>
          <w:lang w:val="en-AU"/>
        </w:rPr>
        <w:t>t (1994) a</w:t>
      </w:r>
      <w:r w:rsidRPr="009D6DE6">
        <w:rPr>
          <w:lang w:val="en-AU"/>
        </w:rPr>
        <w:t xml:space="preserve">nd </w:t>
      </w:r>
      <w:r>
        <w:rPr>
          <w:lang w:val="en-AU"/>
        </w:rPr>
        <w:t xml:space="preserve">the Parties were notified through Secretariat Circular 12/2021 on 14 </w:t>
      </w:r>
      <w:proofErr w:type="gramStart"/>
      <w:r>
        <w:rPr>
          <w:lang w:val="en-AU"/>
        </w:rPr>
        <w:t>October,</w:t>
      </w:r>
      <w:proofErr w:type="gramEnd"/>
      <w:r>
        <w:rPr>
          <w:lang w:val="en-AU"/>
        </w:rPr>
        <w:t xml:space="preserve"> 2021 that </w:t>
      </w:r>
      <w:r w:rsidRPr="009D6DE6">
        <w:rPr>
          <w:lang w:val="en-AU"/>
        </w:rPr>
        <w:t>New Zealand</w:t>
      </w:r>
      <w:r>
        <w:rPr>
          <w:lang w:val="en-AU"/>
        </w:rPr>
        <w:t xml:space="preserve"> is</w:t>
      </w:r>
      <w:r w:rsidRPr="009D6DE6">
        <w:rPr>
          <w:lang w:val="en-AU"/>
        </w:rPr>
        <w:t xml:space="preserve"> proceed</w:t>
      </w:r>
      <w:r>
        <w:rPr>
          <w:lang w:val="en-AU"/>
        </w:rPr>
        <w:t>ing</w:t>
      </w:r>
      <w:r w:rsidRPr="009D6DE6">
        <w:rPr>
          <w:lang w:val="en-AU"/>
        </w:rPr>
        <w:t xml:space="preserve"> with the</w:t>
      </w:r>
      <w:r>
        <w:rPr>
          <w:lang w:val="en-AU"/>
        </w:rPr>
        <w:t xml:space="preserve"> Scott Base Re</w:t>
      </w:r>
      <w:r w:rsidRPr="009D6DE6">
        <w:rPr>
          <w:lang w:val="en-AU"/>
        </w:rPr>
        <w:t>development, based on the CEE.</w:t>
      </w:r>
      <w:r>
        <w:rPr>
          <w:lang w:val="en-AU"/>
        </w:rPr>
        <w:t xml:space="preserve"> </w:t>
      </w:r>
    </w:p>
    <w:p w14:paraId="72C2FCC3" w14:textId="77777777" w:rsidR="001B0103" w:rsidRDefault="001B0103" w:rsidP="001B0103">
      <w:pPr>
        <w:pStyle w:val="ATSBullet1"/>
        <w:numPr>
          <w:ilvl w:val="0"/>
          <w:numId w:val="0"/>
        </w:numPr>
        <w:rPr>
          <w:lang w:val="en-AU"/>
        </w:rPr>
      </w:pPr>
    </w:p>
    <w:p w14:paraId="3D67C3B2" w14:textId="77777777" w:rsidR="001B0103" w:rsidRPr="00FF3EA6" w:rsidRDefault="001B0103" w:rsidP="001B0103">
      <w:pPr>
        <w:keepNext/>
        <w:rPr>
          <w:rFonts w:ascii="Arial" w:hAnsi="Arial" w:cs="Arial"/>
          <w:b/>
          <w:i/>
          <w:sz w:val="24"/>
        </w:rPr>
      </w:pPr>
      <w:r>
        <w:rPr>
          <w:rFonts w:ascii="Arial" w:hAnsi="Arial" w:cs="Arial"/>
          <w:b/>
          <w:i/>
          <w:sz w:val="24"/>
        </w:rPr>
        <w:lastRenderedPageBreak/>
        <w:t>Future updates on progress with the Scott Base Redevelopment</w:t>
      </w:r>
    </w:p>
    <w:p w14:paraId="50CB4B12" w14:textId="77777777" w:rsidR="001B0103" w:rsidRPr="00DA3B03" w:rsidRDefault="001B0103" w:rsidP="001B0103">
      <w:pPr>
        <w:keepNext/>
        <w:rPr>
          <w:lang w:eastAsia="en-GB"/>
        </w:rPr>
      </w:pPr>
    </w:p>
    <w:p w14:paraId="220BCF5A" w14:textId="77777777" w:rsidR="001B0103" w:rsidRDefault="001B0103" w:rsidP="001B0103">
      <w:pPr>
        <w:pStyle w:val="ATSNormal"/>
      </w:pPr>
      <w:r w:rsidRPr="0096371D">
        <w:t xml:space="preserve">New </w:t>
      </w:r>
      <w:r>
        <w:t xml:space="preserve">Zealand will provide periodic updates to the CEP on the Scott Base Redevelopment project as it progresses. It is anticipated that the information provided will consist of the final design and construction methodology, information on the RIWE replacement, </w:t>
      </w:r>
      <w:proofErr w:type="gramStart"/>
      <w:r>
        <w:t>data</w:t>
      </w:r>
      <w:proofErr w:type="gramEnd"/>
      <w:r>
        <w:t xml:space="preserve"> and results from the monitoring programme as the project progresses and any changes to the activity (in line with the Guidelines for Environmental Impact Assessment in Antarctica (Resolution 1 (2016)). In addition, we will make the final Construction Environmental Management Plan (CEMP) and sub-plans and the Project Safety Plan available.</w:t>
      </w:r>
    </w:p>
    <w:p w14:paraId="3A1E730E" w14:textId="77777777" w:rsidR="001B0103" w:rsidRPr="0041418D" w:rsidRDefault="001B0103" w:rsidP="001B0103">
      <w:pPr>
        <w:rPr>
          <w:lang w:val="en-AU"/>
        </w:rPr>
      </w:pPr>
      <w:r w:rsidRPr="008620CA">
        <w:rPr>
          <w:lang w:eastAsia="en-GB"/>
        </w:rPr>
        <w:t xml:space="preserve">All reasonable attempts will be made to facilitate an independent audit of the proposed Scott Base Redevelopment. Representatives from one or two National Antarctic Programmes will be invited to Christchurch and Scott Base to audit the Scott Base Redevelopment activity against the </w:t>
      </w:r>
      <w:r>
        <w:rPr>
          <w:lang w:eastAsia="en-GB"/>
        </w:rPr>
        <w:t>assessment provided in the</w:t>
      </w:r>
      <w:r w:rsidRPr="008620CA">
        <w:rPr>
          <w:lang w:eastAsia="en-GB"/>
        </w:rPr>
        <w:t xml:space="preserve"> CEE. Key elements of the audit will be to assess whether the mitigation measures are being applied and that the monitoring programme is effective and being undertaken as described. The audit will also be used as an opportunity to review the effectiveness of the impact assessment process that was undertaken for the Scott Base Redevelopment project and to identify any improvements that can be made. The findings of the audit will be reported to the CEP.</w:t>
      </w:r>
    </w:p>
    <w:p w14:paraId="0AAE0B97" w14:textId="77777777" w:rsidR="001B0103" w:rsidRPr="001B0103" w:rsidRDefault="001B0103" w:rsidP="00952E9F">
      <w:pPr>
        <w:rPr>
          <w:lang w:val="en-AU"/>
        </w:rPr>
      </w:pPr>
    </w:p>
    <w:sectPr w:rsidR="001B0103" w:rsidRPr="001B0103"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72E7" w14:textId="77777777" w:rsidR="007668B6" w:rsidRDefault="001B0103">
      <w:r>
        <w:separator/>
      </w:r>
    </w:p>
  </w:endnote>
  <w:endnote w:type="continuationSeparator" w:id="0">
    <w:p w14:paraId="7CBA78AF" w14:textId="77777777" w:rsidR="007668B6" w:rsidRDefault="001B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67F7" w14:textId="77777777" w:rsidR="00FA0B9F" w:rsidRDefault="001B0103" w:rsidP="00CF5C82">
    <w:pPr>
      <w:framePr w:wrap="around" w:vAnchor="text" w:hAnchor="margin" w:xAlign="right" w:y="1"/>
    </w:pPr>
    <w:r>
      <w:fldChar w:fldCharType="begin"/>
    </w:r>
    <w:r>
      <w:instrText xml:space="preserve">PAGE  </w:instrText>
    </w:r>
    <w:r w:rsidR="00A64922">
      <w:fldChar w:fldCharType="separate"/>
    </w:r>
    <w:r>
      <w:fldChar w:fldCharType="end"/>
    </w:r>
  </w:p>
  <w:p w14:paraId="471E3A55" w14:textId="77777777" w:rsidR="00FA0B9F" w:rsidRDefault="00A6492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BA48" w14:textId="77777777" w:rsidR="00FA0B9F" w:rsidRDefault="001B010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8293001" w14:textId="6604FCC2" w:rsidR="00FA0B9F" w:rsidRDefault="001B0103" w:rsidP="00FA0B9F">
    <w:pPr>
      <w:ind w:right="360"/>
    </w:pPr>
    <w:r>
      <w:t>Attachments: atcm44_att063_e.docx: Response to ICG participants and CEP advice.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0106" w14:textId="77777777" w:rsidR="00A64922" w:rsidRDefault="00A6492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19D7" w14:textId="77777777" w:rsidR="00E311C9" w:rsidRDefault="001B010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78A54E0" w14:textId="77777777" w:rsidR="00E311C9" w:rsidRDefault="00A6492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E6ED" w14:textId="77777777" w:rsidR="007668B6" w:rsidRDefault="001B0103">
      <w:r>
        <w:separator/>
      </w:r>
    </w:p>
  </w:footnote>
  <w:footnote w:type="continuationSeparator" w:id="0">
    <w:p w14:paraId="603441D6" w14:textId="77777777" w:rsidR="007668B6" w:rsidRDefault="001B0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FDC4" w14:textId="77777777" w:rsidR="00A64922" w:rsidRDefault="00A649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B47A5" w14:paraId="37C0685C" w14:textId="77777777" w:rsidTr="00490760">
      <w:trPr>
        <w:trHeight w:val="344"/>
        <w:jc w:val="center"/>
      </w:trPr>
      <w:tc>
        <w:tcPr>
          <w:tcW w:w="5495" w:type="dxa"/>
        </w:tcPr>
        <w:p w14:paraId="693A2F8F" w14:textId="77777777" w:rsidR="00DB7C09" w:rsidRDefault="00A64922" w:rsidP="00F968D4"/>
      </w:tc>
      <w:tc>
        <w:tcPr>
          <w:tcW w:w="4253" w:type="dxa"/>
          <w:gridSpan w:val="2"/>
        </w:tcPr>
        <w:p w14:paraId="783F6ECA" w14:textId="77777777" w:rsidR="00DB7C09" w:rsidRPr="00BD47E4" w:rsidRDefault="001B0103" w:rsidP="002A07BC">
          <w:pPr>
            <w:jc w:val="right"/>
            <w:rPr>
              <w:b/>
              <w:sz w:val="32"/>
              <w:szCs w:val="32"/>
            </w:rPr>
          </w:pPr>
          <w:bookmarkStart w:id="2" w:name="type"/>
          <w:r w:rsidRPr="00BD47E4">
            <w:rPr>
              <w:b/>
              <w:sz w:val="32"/>
              <w:szCs w:val="32"/>
            </w:rPr>
            <w:t>IP</w:t>
          </w:r>
          <w:bookmarkEnd w:id="2"/>
        </w:p>
      </w:tc>
      <w:tc>
        <w:tcPr>
          <w:tcW w:w="1524" w:type="dxa"/>
          <w:gridSpan w:val="2"/>
        </w:tcPr>
        <w:p w14:paraId="348A4687" w14:textId="77777777" w:rsidR="00DB7C09" w:rsidRPr="00BD47E4" w:rsidRDefault="001B0103" w:rsidP="00DB7C09">
          <w:pPr>
            <w:rPr>
              <w:b/>
              <w:sz w:val="32"/>
              <w:szCs w:val="32"/>
            </w:rPr>
          </w:pPr>
          <w:bookmarkStart w:id="3" w:name="number"/>
          <w:r w:rsidRPr="00BD47E4">
            <w:rPr>
              <w:b/>
              <w:sz w:val="32"/>
              <w:szCs w:val="32"/>
            </w:rPr>
            <w:t>20</w:t>
          </w:r>
          <w:bookmarkEnd w:id="3"/>
        </w:p>
      </w:tc>
    </w:tr>
    <w:tr w:rsidR="009B47A5" w14:paraId="3BEF724F" w14:textId="77777777" w:rsidTr="00490760">
      <w:trPr>
        <w:trHeight w:val="2165"/>
        <w:jc w:val="center"/>
      </w:trPr>
      <w:tc>
        <w:tcPr>
          <w:tcW w:w="5495" w:type="dxa"/>
        </w:tcPr>
        <w:p w14:paraId="6B70578D" w14:textId="77777777" w:rsidR="00490760" w:rsidRPr="00EE4D48" w:rsidRDefault="001B0103" w:rsidP="002A07BC">
          <w:pPr>
            <w:rPr>
              <w:b/>
              <w:sz w:val="28"/>
              <w:szCs w:val="28"/>
            </w:rPr>
          </w:pPr>
          <w:r>
            <w:rPr>
              <w:noProof/>
            </w:rPr>
            <w:drawing>
              <wp:inline distT="0" distB="0" distL="0" distR="0" wp14:anchorId="317F1AA0" wp14:editId="742D2D7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0760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FDBBD06" w14:textId="77777777" w:rsidR="00490760" w:rsidRPr="00FE5146" w:rsidRDefault="001B0103" w:rsidP="00490760">
          <w:pPr>
            <w:jc w:val="right"/>
            <w:rPr>
              <w:sz w:val="144"/>
              <w:szCs w:val="144"/>
            </w:rPr>
          </w:pPr>
          <w:r w:rsidRPr="00FE5146">
            <w:rPr>
              <w:sz w:val="144"/>
              <w:szCs w:val="144"/>
            </w:rPr>
            <w:t>ENG</w:t>
          </w:r>
        </w:p>
      </w:tc>
    </w:tr>
    <w:tr w:rsidR="009B47A5" w14:paraId="33154069" w14:textId="77777777" w:rsidTr="00BD47E4">
      <w:trPr>
        <w:trHeight w:val="409"/>
        <w:jc w:val="center"/>
      </w:trPr>
      <w:tc>
        <w:tcPr>
          <w:tcW w:w="9039" w:type="dxa"/>
          <w:gridSpan w:val="2"/>
        </w:tcPr>
        <w:p w14:paraId="6C012673" w14:textId="77777777" w:rsidR="00BD47E4" w:rsidRDefault="001B0103" w:rsidP="002C30DA">
          <w:pPr>
            <w:jc w:val="right"/>
          </w:pPr>
          <w:r>
            <w:t>Agenda Item:</w:t>
          </w:r>
        </w:p>
      </w:tc>
      <w:tc>
        <w:tcPr>
          <w:tcW w:w="1843" w:type="dxa"/>
          <w:gridSpan w:val="2"/>
        </w:tcPr>
        <w:p w14:paraId="032CFD3F" w14:textId="0B5B44F8" w:rsidR="00BD47E4" w:rsidRDefault="001B0103" w:rsidP="002C30DA">
          <w:pPr>
            <w:jc w:val="right"/>
          </w:pPr>
          <w:bookmarkStart w:id="4" w:name="agenda"/>
          <w:r>
            <w:t>CEP 8</w:t>
          </w:r>
          <w:bookmarkEnd w:id="4"/>
          <w:r w:rsidR="00A64922">
            <w:t>a</w:t>
          </w:r>
        </w:p>
      </w:tc>
      <w:tc>
        <w:tcPr>
          <w:tcW w:w="390" w:type="dxa"/>
        </w:tcPr>
        <w:p w14:paraId="6FFC09EA" w14:textId="77777777" w:rsidR="00BD47E4" w:rsidRDefault="00A64922" w:rsidP="00387A65">
          <w:pPr>
            <w:jc w:val="right"/>
          </w:pPr>
        </w:p>
      </w:tc>
    </w:tr>
    <w:tr w:rsidR="009B47A5" w14:paraId="4B2B18DC" w14:textId="77777777" w:rsidTr="00BD47E4">
      <w:trPr>
        <w:trHeight w:val="397"/>
        <w:jc w:val="center"/>
      </w:trPr>
      <w:tc>
        <w:tcPr>
          <w:tcW w:w="9039" w:type="dxa"/>
          <w:gridSpan w:val="2"/>
        </w:tcPr>
        <w:p w14:paraId="5154C400" w14:textId="77777777" w:rsidR="00BD47E4" w:rsidRDefault="001B0103" w:rsidP="002C30DA">
          <w:pPr>
            <w:jc w:val="right"/>
          </w:pPr>
          <w:r>
            <w:t>Presented by:</w:t>
          </w:r>
        </w:p>
      </w:tc>
      <w:tc>
        <w:tcPr>
          <w:tcW w:w="1843" w:type="dxa"/>
          <w:gridSpan w:val="2"/>
        </w:tcPr>
        <w:p w14:paraId="3BF01542" w14:textId="77777777" w:rsidR="00BD47E4" w:rsidRDefault="001B0103" w:rsidP="002C30DA">
          <w:pPr>
            <w:jc w:val="right"/>
          </w:pPr>
          <w:bookmarkStart w:id="5" w:name="party"/>
          <w:r>
            <w:t>New Zealand</w:t>
          </w:r>
          <w:bookmarkEnd w:id="5"/>
        </w:p>
      </w:tc>
      <w:tc>
        <w:tcPr>
          <w:tcW w:w="390" w:type="dxa"/>
        </w:tcPr>
        <w:p w14:paraId="046C55FA" w14:textId="77777777" w:rsidR="00BD47E4" w:rsidRDefault="00A64922" w:rsidP="00387A65">
          <w:pPr>
            <w:jc w:val="right"/>
          </w:pPr>
        </w:p>
      </w:tc>
    </w:tr>
    <w:tr w:rsidR="009B47A5" w14:paraId="2F3C6189" w14:textId="77777777" w:rsidTr="00BD47E4">
      <w:trPr>
        <w:trHeight w:val="409"/>
        <w:jc w:val="center"/>
      </w:trPr>
      <w:tc>
        <w:tcPr>
          <w:tcW w:w="9039" w:type="dxa"/>
          <w:gridSpan w:val="2"/>
        </w:tcPr>
        <w:p w14:paraId="4F657CDF" w14:textId="77777777" w:rsidR="00BD47E4" w:rsidRDefault="001B0103" w:rsidP="002C30DA">
          <w:pPr>
            <w:jc w:val="right"/>
          </w:pPr>
          <w:r>
            <w:t>Original:</w:t>
          </w:r>
        </w:p>
      </w:tc>
      <w:tc>
        <w:tcPr>
          <w:tcW w:w="1843" w:type="dxa"/>
          <w:gridSpan w:val="2"/>
        </w:tcPr>
        <w:p w14:paraId="037465C2" w14:textId="77777777" w:rsidR="00BD47E4" w:rsidRDefault="001B0103" w:rsidP="002C30DA">
          <w:pPr>
            <w:jc w:val="right"/>
          </w:pPr>
          <w:bookmarkStart w:id="6" w:name="language"/>
          <w:r>
            <w:t>English</w:t>
          </w:r>
          <w:bookmarkEnd w:id="6"/>
        </w:p>
      </w:tc>
      <w:tc>
        <w:tcPr>
          <w:tcW w:w="390" w:type="dxa"/>
        </w:tcPr>
        <w:p w14:paraId="237088CA" w14:textId="77777777" w:rsidR="00BD47E4" w:rsidRDefault="00A64922" w:rsidP="00387A65">
          <w:pPr>
            <w:jc w:val="right"/>
          </w:pPr>
        </w:p>
      </w:tc>
    </w:tr>
    <w:tr w:rsidR="009B47A5" w14:paraId="60BF78B4" w14:textId="77777777" w:rsidTr="00BD47E4">
      <w:trPr>
        <w:trHeight w:val="409"/>
        <w:jc w:val="center"/>
      </w:trPr>
      <w:tc>
        <w:tcPr>
          <w:tcW w:w="9039" w:type="dxa"/>
          <w:gridSpan w:val="2"/>
        </w:tcPr>
        <w:p w14:paraId="3A76886E" w14:textId="77777777" w:rsidR="0097629D" w:rsidRDefault="001B0103" w:rsidP="002C30DA">
          <w:pPr>
            <w:jc w:val="right"/>
          </w:pPr>
          <w:r>
            <w:t>Submitted:</w:t>
          </w:r>
        </w:p>
      </w:tc>
      <w:tc>
        <w:tcPr>
          <w:tcW w:w="1843" w:type="dxa"/>
          <w:gridSpan w:val="2"/>
        </w:tcPr>
        <w:p w14:paraId="705CBE9F" w14:textId="77777777" w:rsidR="0097629D" w:rsidRDefault="001B0103" w:rsidP="0097629D">
          <w:pPr>
            <w:jc w:val="right"/>
          </w:pPr>
          <w:bookmarkStart w:id="7" w:name="date_submission"/>
          <w:r>
            <w:t>8/4/2022</w:t>
          </w:r>
          <w:bookmarkEnd w:id="7"/>
        </w:p>
      </w:tc>
      <w:tc>
        <w:tcPr>
          <w:tcW w:w="390" w:type="dxa"/>
        </w:tcPr>
        <w:p w14:paraId="3109D1B9" w14:textId="77777777" w:rsidR="0097629D" w:rsidRDefault="00A64922" w:rsidP="00387A65">
          <w:pPr>
            <w:jc w:val="right"/>
          </w:pPr>
        </w:p>
      </w:tc>
    </w:tr>
  </w:tbl>
  <w:p w14:paraId="2C866AB5" w14:textId="77777777" w:rsidR="00AE5DD0" w:rsidRDefault="00A649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A408" w14:textId="77777777" w:rsidR="00A64922" w:rsidRDefault="00A649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B47A5" w14:paraId="03D28F3D" w14:textId="77777777">
      <w:trPr>
        <w:trHeight w:val="354"/>
        <w:jc w:val="center"/>
      </w:trPr>
      <w:tc>
        <w:tcPr>
          <w:tcW w:w="9694" w:type="dxa"/>
        </w:tcPr>
        <w:p w14:paraId="094D1DD7" w14:textId="4AA995E5" w:rsidR="00AE5DD0" w:rsidRPr="00BD47E4" w:rsidRDefault="001B0103" w:rsidP="00C26F2D">
          <w:pPr>
            <w:jc w:val="right"/>
            <w:rPr>
              <w:b/>
              <w:sz w:val="32"/>
              <w:szCs w:val="32"/>
            </w:rPr>
          </w:pPr>
          <w:r>
            <w:rPr>
              <w:b/>
              <w:sz w:val="32"/>
              <w:szCs w:val="32"/>
            </w:rPr>
            <w:t>IP</w:t>
          </w:r>
        </w:p>
      </w:tc>
      <w:tc>
        <w:tcPr>
          <w:tcW w:w="1332" w:type="dxa"/>
        </w:tcPr>
        <w:p w14:paraId="6E7E716F" w14:textId="58A7D925" w:rsidR="00AE5DD0" w:rsidRPr="00BD47E4" w:rsidRDefault="001B0103" w:rsidP="00080F4C">
          <w:pPr>
            <w:rPr>
              <w:b/>
              <w:sz w:val="32"/>
              <w:szCs w:val="32"/>
            </w:rPr>
          </w:pPr>
          <w:r>
            <w:rPr>
              <w:b/>
              <w:sz w:val="32"/>
              <w:szCs w:val="32"/>
            </w:rPr>
            <w:t>20</w:t>
          </w:r>
        </w:p>
      </w:tc>
    </w:tr>
  </w:tbl>
  <w:p w14:paraId="3FCDB774" w14:textId="77777777" w:rsidR="00AE5DD0" w:rsidRDefault="00A649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92A8000">
      <w:start w:val="1"/>
      <w:numFmt w:val="bullet"/>
      <w:pStyle w:val="ATSBullet1"/>
      <w:lvlText w:val=""/>
      <w:lvlJc w:val="left"/>
      <w:pPr>
        <w:tabs>
          <w:tab w:val="num" w:pos="360"/>
        </w:tabs>
        <w:ind w:left="360" w:hanging="360"/>
      </w:pPr>
      <w:rPr>
        <w:rFonts w:ascii="Symbol" w:hAnsi="Symbol" w:hint="default"/>
        <w:color w:val="auto"/>
      </w:rPr>
    </w:lvl>
    <w:lvl w:ilvl="1" w:tplc="10DAE15E" w:tentative="1">
      <w:start w:val="1"/>
      <w:numFmt w:val="bullet"/>
      <w:lvlText w:val="o"/>
      <w:lvlJc w:val="left"/>
      <w:pPr>
        <w:tabs>
          <w:tab w:val="num" w:pos="1440"/>
        </w:tabs>
        <w:ind w:left="1440" w:hanging="360"/>
      </w:pPr>
      <w:rPr>
        <w:rFonts w:ascii="Courier New" w:hAnsi="Courier New" w:cs="Courier New" w:hint="default"/>
      </w:rPr>
    </w:lvl>
    <w:lvl w:ilvl="2" w:tplc="7256C29A" w:tentative="1">
      <w:start w:val="1"/>
      <w:numFmt w:val="bullet"/>
      <w:lvlText w:val=""/>
      <w:lvlJc w:val="left"/>
      <w:pPr>
        <w:tabs>
          <w:tab w:val="num" w:pos="2160"/>
        </w:tabs>
        <w:ind w:left="2160" w:hanging="360"/>
      </w:pPr>
      <w:rPr>
        <w:rFonts w:ascii="Wingdings" w:hAnsi="Wingdings" w:hint="default"/>
      </w:rPr>
    </w:lvl>
    <w:lvl w:ilvl="3" w:tplc="3D08CC16" w:tentative="1">
      <w:start w:val="1"/>
      <w:numFmt w:val="bullet"/>
      <w:lvlText w:val=""/>
      <w:lvlJc w:val="left"/>
      <w:pPr>
        <w:tabs>
          <w:tab w:val="num" w:pos="2880"/>
        </w:tabs>
        <w:ind w:left="2880" w:hanging="360"/>
      </w:pPr>
      <w:rPr>
        <w:rFonts w:ascii="Symbol" w:hAnsi="Symbol" w:hint="default"/>
      </w:rPr>
    </w:lvl>
    <w:lvl w:ilvl="4" w:tplc="0ADE25B4" w:tentative="1">
      <w:start w:val="1"/>
      <w:numFmt w:val="bullet"/>
      <w:lvlText w:val="o"/>
      <w:lvlJc w:val="left"/>
      <w:pPr>
        <w:tabs>
          <w:tab w:val="num" w:pos="3600"/>
        </w:tabs>
        <w:ind w:left="3600" w:hanging="360"/>
      </w:pPr>
      <w:rPr>
        <w:rFonts w:ascii="Courier New" w:hAnsi="Courier New" w:cs="Courier New" w:hint="default"/>
      </w:rPr>
    </w:lvl>
    <w:lvl w:ilvl="5" w:tplc="ED7A1544" w:tentative="1">
      <w:start w:val="1"/>
      <w:numFmt w:val="bullet"/>
      <w:lvlText w:val=""/>
      <w:lvlJc w:val="left"/>
      <w:pPr>
        <w:tabs>
          <w:tab w:val="num" w:pos="4320"/>
        </w:tabs>
        <w:ind w:left="4320" w:hanging="360"/>
      </w:pPr>
      <w:rPr>
        <w:rFonts w:ascii="Wingdings" w:hAnsi="Wingdings" w:hint="default"/>
      </w:rPr>
    </w:lvl>
    <w:lvl w:ilvl="6" w:tplc="1714B1E2" w:tentative="1">
      <w:start w:val="1"/>
      <w:numFmt w:val="bullet"/>
      <w:lvlText w:val=""/>
      <w:lvlJc w:val="left"/>
      <w:pPr>
        <w:tabs>
          <w:tab w:val="num" w:pos="5040"/>
        </w:tabs>
        <w:ind w:left="5040" w:hanging="360"/>
      </w:pPr>
      <w:rPr>
        <w:rFonts w:ascii="Symbol" w:hAnsi="Symbol" w:hint="default"/>
      </w:rPr>
    </w:lvl>
    <w:lvl w:ilvl="7" w:tplc="D730D424" w:tentative="1">
      <w:start w:val="1"/>
      <w:numFmt w:val="bullet"/>
      <w:lvlText w:val="o"/>
      <w:lvlJc w:val="left"/>
      <w:pPr>
        <w:tabs>
          <w:tab w:val="num" w:pos="5760"/>
        </w:tabs>
        <w:ind w:left="5760" w:hanging="360"/>
      </w:pPr>
      <w:rPr>
        <w:rFonts w:ascii="Courier New" w:hAnsi="Courier New" w:cs="Courier New" w:hint="default"/>
      </w:rPr>
    </w:lvl>
    <w:lvl w:ilvl="8" w:tplc="15C699F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2A659A8">
      <w:start w:val="1"/>
      <w:numFmt w:val="decimal"/>
      <w:lvlText w:val="%1)"/>
      <w:lvlJc w:val="left"/>
      <w:pPr>
        <w:tabs>
          <w:tab w:val="num" w:pos="340"/>
        </w:tabs>
        <w:ind w:left="340" w:hanging="340"/>
      </w:pPr>
      <w:rPr>
        <w:rFonts w:hint="default"/>
      </w:rPr>
    </w:lvl>
    <w:lvl w:ilvl="1" w:tplc="E1BA6222" w:tentative="1">
      <w:start w:val="1"/>
      <w:numFmt w:val="lowerLetter"/>
      <w:lvlText w:val="%2."/>
      <w:lvlJc w:val="left"/>
      <w:pPr>
        <w:tabs>
          <w:tab w:val="num" w:pos="1440"/>
        </w:tabs>
        <w:ind w:left="1440" w:hanging="360"/>
      </w:pPr>
    </w:lvl>
    <w:lvl w:ilvl="2" w:tplc="09F2D4AC" w:tentative="1">
      <w:start w:val="1"/>
      <w:numFmt w:val="lowerRoman"/>
      <w:lvlText w:val="%3."/>
      <w:lvlJc w:val="right"/>
      <w:pPr>
        <w:tabs>
          <w:tab w:val="num" w:pos="2160"/>
        </w:tabs>
        <w:ind w:left="2160" w:hanging="180"/>
      </w:pPr>
    </w:lvl>
    <w:lvl w:ilvl="3" w:tplc="896C6014" w:tentative="1">
      <w:start w:val="1"/>
      <w:numFmt w:val="decimal"/>
      <w:lvlText w:val="%4."/>
      <w:lvlJc w:val="left"/>
      <w:pPr>
        <w:tabs>
          <w:tab w:val="num" w:pos="2880"/>
        </w:tabs>
        <w:ind w:left="2880" w:hanging="360"/>
      </w:pPr>
    </w:lvl>
    <w:lvl w:ilvl="4" w:tplc="7C9E1930" w:tentative="1">
      <w:start w:val="1"/>
      <w:numFmt w:val="lowerLetter"/>
      <w:lvlText w:val="%5."/>
      <w:lvlJc w:val="left"/>
      <w:pPr>
        <w:tabs>
          <w:tab w:val="num" w:pos="3600"/>
        </w:tabs>
        <w:ind w:left="3600" w:hanging="360"/>
      </w:pPr>
    </w:lvl>
    <w:lvl w:ilvl="5" w:tplc="9CD4FB88" w:tentative="1">
      <w:start w:val="1"/>
      <w:numFmt w:val="lowerRoman"/>
      <w:lvlText w:val="%6."/>
      <w:lvlJc w:val="right"/>
      <w:pPr>
        <w:tabs>
          <w:tab w:val="num" w:pos="4320"/>
        </w:tabs>
        <w:ind w:left="4320" w:hanging="180"/>
      </w:pPr>
    </w:lvl>
    <w:lvl w:ilvl="6" w:tplc="33D84D58" w:tentative="1">
      <w:start w:val="1"/>
      <w:numFmt w:val="decimal"/>
      <w:lvlText w:val="%7."/>
      <w:lvlJc w:val="left"/>
      <w:pPr>
        <w:tabs>
          <w:tab w:val="num" w:pos="5040"/>
        </w:tabs>
        <w:ind w:left="5040" w:hanging="360"/>
      </w:pPr>
    </w:lvl>
    <w:lvl w:ilvl="7" w:tplc="BA48CB64" w:tentative="1">
      <w:start w:val="1"/>
      <w:numFmt w:val="lowerLetter"/>
      <w:lvlText w:val="%8."/>
      <w:lvlJc w:val="left"/>
      <w:pPr>
        <w:tabs>
          <w:tab w:val="num" w:pos="5760"/>
        </w:tabs>
        <w:ind w:left="5760" w:hanging="360"/>
      </w:pPr>
    </w:lvl>
    <w:lvl w:ilvl="8" w:tplc="61382F3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06A72E6">
      <w:start w:val="1"/>
      <w:numFmt w:val="decimal"/>
      <w:lvlText w:val="%1."/>
      <w:lvlJc w:val="left"/>
      <w:pPr>
        <w:tabs>
          <w:tab w:val="num" w:pos="1057"/>
        </w:tabs>
        <w:ind w:left="1057" w:hanging="360"/>
      </w:pPr>
      <w:rPr>
        <w:rFonts w:hint="default"/>
      </w:rPr>
    </w:lvl>
    <w:lvl w:ilvl="1" w:tplc="4776E396" w:tentative="1">
      <w:start w:val="1"/>
      <w:numFmt w:val="lowerLetter"/>
      <w:lvlText w:val="%2."/>
      <w:lvlJc w:val="left"/>
      <w:pPr>
        <w:tabs>
          <w:tab w:val="num" w:pos="2137"/>
        </w:tabs>
        <w:ind w:left="2137" w:hanging="360"/>
      </w:pPr>
    </w:lvl>
    <w:lvl w:ilvl="2" w:tplc="B476A290" w:tentative="1">
      <w:start w:val="1"/>
      <w:numFmt w:val="lowerRoman"/>
      <w:lvlText w:val="%3."/>
      <w:lvlJc w:val="right"/>
      <w:pPr>
        <w:tabs>
          <w:tab w:val="num" w:pos="2857"/>
        </w:tabs>
        <w:ind w:left="2857" w:hanging="180"/>
      </w:pPr>
    </w:lvl>
    <w:lvl w:ilvl="3" w:tplc="D846B064" w:tentative="1">
      <w:start w:val="1"/>
      <w:numFmt w:val="decimal"/>
      <w:lvlText w:val="%4."/>
      <w:lvlJc w:val="left"/>
      <w:pPr>
        <w:tabs>
          <w:tab w:val="num" w:pos="3577"/>
        </w:tabs>
        <w:ind w:left="3577" w:hanging="360"/>
      </w:pPr>
    </w:lvl>
    <w:lvl w:ilvl="4" w:tplc="763687EE" w:tentative="1">
      <w:start w:val="1"/>
      <w:numFmt w:val="lowerLetter"/>
      <w:lvlText w:val="%5."/>
      <w:lvlJc w:val="left"/>
      <w:pPr>
        <w:tabs>
          <w:tab w:val="num" w:pos="4297"/>
        </w:tabs>
        <w:ind w:left="4297" w:hanging="360"/>
      </w:pPr>
    </w:lvl>
    <w:lvl w:ilvl="5" w:tplc="48C047D0" w:tentative="1">
      <w:start w:val="1"/>
      <w:numFmt w:val="lowerRoman"/>
      <w:lvlText w:val="%6."/>
      <w:lvlJc w:val="right"/>
      <w:pPr>
        <w:tabs>
          <w:tab w:val="num" w:pos="5017"/>
        </w:tabs>
        <w:ind w:left="5017" w:hanging="180"/>
      </w:pPr>
    </w:lvl>
    <w:lvl w:ilvl="6" w:tplc="837C8AAC" w:tentative="1">
      <w:start w:val="1"/>
      <w:numFmt w:val="decimal"/>
      <w:lvlText w:val="%7."/>
      <w:lvlJc w:val="left"/>
      <w:pPr>
        <w:tabs>
          <w:tab w:val="num" w:pos="5737"/>
        </w:tabs>
        <w:ind w:left="5737" w:hanging="360"/>
      </w:pPr>
    </w:lvl>
    <w:lvl w:ilvl="7" w:tplc="8EFE13BA" w:tentative="1">
      <w:start w:val="1"/>
      <w:numFmt w:val="lowerLetter"/>
      <w:lvlText w:val="%8."/>
      <w:lvlJc w:val="left"/>
      <w:pPr>
        <w:tabs>
          <w:tab w:val="num" w:pos="6457"/>
        </w:tabs>
        <w:ind w:left="6457" w:hanging="360"/>
      </w:pPr>
    </w:lvl>
    <w:lvl w:ilvl="8" w:tplc="0FA0D3E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C72690C">
      <w:start w:val="1"/>
      <w:numFmt w:val="decimal"/>
      <w:pStyle w:val="ATSNumber1"/>
      <w:lvlText w:val="%1)"/>
      <w:lvlJc w:val="left"/>
      <w:pPr>
        <w:tabs>
          <w:tab w:val="num" w:pos="720"/>
        </w:tabs>
        <w:ind w:left="720" w:hanging="360"/>
      </w:pPr>
    </w:lvl>
    <w:lvl w:ilvl="1" w:tplc="5F28042E" w:tentative="1">
      <w:start w:val="1"/>
      <w:numFmt w:val="lowerLetter"/>
      <w:lvlText w:val="%2."/>
      <w:lvlJc w:val="left"/>
      <w:pPr>
        <w:tabs>
          <w:tab w:val="num" w:pos="1440"/>
        </w:tabs>
        <w:ind w:left="1440" w:hanging="360"/>
      </w:pPr>
    </w:lvl>
    <w:lvl w:ilvl="2" w:tplc="B6B849C0" w:tentative="1">
      <w:start w:val="1"/>
      <w:numFmt w:val="lowerRoman"/>
      <w:lvlText w:val="%3."/>
      <w:lvlJc w:val="right"/>
      <w:pPr>
        <w:tabs>
          <w:tab w:val="num" w:pos="2160"/>
        </w:tabs>
        <w:ind w:left="2160" w:hanging="180"/>
      </w:pPr>
    </w:lvl>
    <w:lvl w:ilvl="3" w:tplc="CE088640" w:tentative="1">
      <w:start w:val="1"/>
      <w:numFmt w:val="decimal"/>
      <w:lvlText w:val="%4."/>
      <w:lvlJc w:val="left"/>
      <w:pPr>
        <w:tabs>
          <w:tab w:val="num" w:pos="2880"/>
        </w:tabs>
        <w:ind w:left="2880" w:hanging="360"/>
      </w:pPr>
    </w:lvl>
    <w:lvl w:ilvl="4" w:tplc="DD582686" w:tentative="1">
      <w:start w:val="1"/>
      <w:numFmt w:val="lowerLetter"/>
      <w:lvlText w:val="%5."/>
      <w:lvlJc w:val="left"/>
      <w:pPr>
        <w:tabs>
          <w:tab w:val="num" w:pos="3600"/>
        </w:tabs>
        <w:ind w:left="3600" w:hanging="360"/>
      </w:pPr>
    </w:lvl>
    <w:lvl w:ilvl="5" w:tplc="5D2A8C0E" w:tentative="1">
      <w:start w:val="1"/>
      <w:numFmt w:val="lowerRoman"/>
      <w:lvlText w:val="%6."/>
      <w:lvlJc w:val="right"/>
      <w:pPr>
        <w:tabs>
          <w:tab w:val="num" w:pos="4320"/>
        </w:tabs>
        <w:ind w:left="4320" w:hanging="180"/>
      </w:pPr>
    </w:lvl>
    <w:lvl w:ilvl="6" w:tplc="8AECFDEA" w:tentative="1">
      <w:start w:val="1"/>
      <w:numFmt w:val="decimal"/>
      <w:lvlText w:val="%7."/>
      <w:lvlJc w:val="left"/>
      <w:pPr>
        <w:tabs>
          <w:tab w:val="num" w:pos="5040"/>
        </w:tabs>
        <w:ind w:left="5040" w:hanging="360"/>
      </w:pPr>
    </w:lvl>
    <w:lvl w:ilvl="7" w:tplc="87EE2386" w:tentative="1">
      <w:start w:val="1"/>
      <w:numFmt w:val="lowerLetter"/>
      <w:lvlText w:val="%8."/>
      <w:lvlJc w:val="left"/>
      <w:pPr>
        <w:tabs>
          <w:tab w:val="num" w:pos="5760"/>
        </w:tabs>
        <w:ind w:left="5760" w:hanging="360"/>
      </w:pPr>
    </w:lvl>
    <w:lvl w:ilvl="8" w:tplc="36C80F3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34656A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A14627C" w:tentative="1">
      <w:start w:val="1"/>
      <w:numFmt w:val="bullet"/>
      <w:lvlText w:val="o"/>
      <w:lvlJc w:val="left"/>
      <w:pPr>
        <w:tabs>
          <w:tab w:val="num" w:pos="2517"/>
        </w:tabs>
        <w:ind w:left="2517" w:hanging="360"/>
      </w:pPr>
      <w:rPr>
        <w:rFonts w:ascii="Courier New" w:hAnsi="Courier New" w:cs="Courier New" w:hint="default"/>
      </w:rPr>
    </w:lvl>
    <w:lvl w:ilvl="2" w:tplc="96F4BB74" w:tentative="1">
      <w:start w:val="1"/>
      <w:numFmt w:val="bullet"/>
      <w:lvlText w:val=""/>
      <w:lvlJc w:val="left"/>
      <w:pPr>
        <w:tabs>
          <w:tab w:val="num" w:pos="3237"/>
        </w:tabs>
        <w:ind w:left="3237" w:hanging="360"/>
      </w:pPr>
      <w:rPr>
        <w:rFonts w:ascii="Wingdings" w:hAnsi="Wingdings" w:hint="default"/>
      </w:rPr>
    </w:lvl>
    <w:lvl w:ilvl="3" w:tplc="C83C2118" w:tentative="1">
      <w:start w:val="1"/>
      <w:numFmt w:val="bullet"/>
      <w:lvlText w:val=""/>
      <w:lvlJc w:val="left"/>
      <w:pPr>
        <w:tabs>
          <w:tab w:val="num" w:pos="3957"/>
        </w:tabs>
        <w:ind w:left="3957" w:hanging="360"/>
      </w:pPr>
      <w:rPr>
        <w:rFonts w:ascii="Symbol" w:hAnsi="Symbol" w:hint="default"/>
      </w:rPr>
    </w:lvl>
    <w:lvl w:ilvl="4" w:tplc="E8ACD074" w:tentative="1">
      <w:start w:val="1"/>
      <w:numFmt w:val="bullet"/>
      <w:lvlText w:val="o"/>
      <w:lvlJc w:val="left"/>
      <w:pPr>
        <w:tabs>
          <w:tab w:val="num" w:pos="4677"/>
        </w:tabs>
        <w:ind w:left="4677" w:hanging="360"/>
      </w:pPr>
      <w:rPr>
        <w:rFonts w:ascii="Courier New" w:hAnsi="Courier New" w:cs="Courier New" w:hint="default"/>
      </w:rPr>
    </w:lvl>
    <w:lvl w:ilvl="5" w:tplc="743EFD8E" w:tentative="1">
      <w:start w:val="1"/>
      <w:numFmt w:val="bullet"/>
      <w:lvlText w:val=""/>
      <w:lvlJc w:val="left"/>
      <w:pPr>
        <w:tabs>
          <w:tab w:val="num" w:pos="5397"/>
        </w:tabs>
        <w:ind w:left="5397" w:hanging="360"/>
      </w:pPr>
      <w:rPr>
        <w:rFonts w:ascii="Wingdings" w:hAnsi="Wingdings" w:hint="default"/>
      </w:rPr>
    </w:lvl>
    <w:lvl w:ilvl="6" w:tplc="D08AC8C4" w:tentative="1">
      <w:start w:val="1"/>
      <w:numFmt w:val="bullet"/>
      <w:lvlText w:val=""/>
      <w:lvlJc w:val="left"/>
      <w:pPr>
        <w:tabs>
          <w:tab w:val="num" w:pos="6117"/>
        </w:tabs>
        <w:ind w:left="6117" w:hanging="360"/>
      </w:pPr>
      <w:rPr>
        <w:rFonts w:ascii="Symbol" w:hAnsi="Symbol" w:hint="default"/>
      </w:rPr>
    </w:lvl>
    <w:lvl w:ilvl="7" w:tplc="9970CEEC" w:tentative="1">
      <w:start w:val="1"/>
      <w:numFmt w:val="bullet"/>
      <w:lvlText w:val="o"/>
      <w:lvlJc w:val="left"/>
      <w:pPr>
        <w:tabs>
          <w:tab w:val="num" w:pos="6837"/>
        </w:tabs>
        <w:ind w:left="6837" w:hanging="360"/>
      </w:pPr>
      <w:rPr>
        <w:rFonts w:ascii="Courier New" w:hAnsi="Courier New" w:cs="Courier New" w:hint="default"/>
      </w:rPr>
    </w:lvl>
    <w:lvl w:ilvl="8" w:tplc="EFAEA5E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7D42766">
      <w:start w:val="1"/>
      <w:numFmt w:val="decimal"/>
      <w:pStyle w:val="ATSNumber2"/>
      <w:lvlText w:val="%1."/>
      <w:lvlJc w:val="left"/>
      <w:pPr>
        <w:tabs>
          <w:tab w:val="num" w:pos="720"/>
        </w:tabs>
        <w:ind w:left="720" w:hanging="360"/>
      </w:pPr>
      <w:rPr>
        <w:rFonts w:hint="default"/>
      </w:rPr>
    </w:lvl>
    <w:lvl w:ilvl="1" w:tplc="00226B02" w:tentative="1">
      <w:start w:val="1"/>
      <w:numFmt w:val="lowerLetter"/>
      <w:lvlText w:val="%2."/>
      <w:lvlJc w:val="left"/>
      <w:pPr>
        <w:tabs>
          <w:tab w:val="num" w:pos="1440"/>
        </w:tabs>
        <w:ind w:left="1440" w:hanging="360"/>
      </w:pPr>
    </w:lvl>
    <w:lvl w:ilvl="2" w:tplc="A6429CAC" w:tentative="1">
      <w:start w:val="1"/>
      <w:numFmt w:val="lowerRoman"/>
      <w:lvlText w:val="%3."/>
      <w:lvlJc w:val="right"/>
      <w:pPr>
        <w:tabs>
          <w:tab w:val="num" w:pos="2160"/>
        </w:tabs>
        <w:ind w:left="2160" w:hanging="180"/>
      </w:pPr>
    </w:lvl>
    <w:lvl w:ilvl="3" w:tplc="E15AC124" w:tentative="1">
      <w:start w:val="1"/>
      <w:numFmt w:val="decimal"/>
      <w:lvlText w:val="%4."/>
      <w:lvlJc w:val="left"/>
      <w:pPr>
        <w:tabs>
          <w:tab w:val="num" w:pos="2880"/>
        </w:tabs>
        <w:ind w:left="2880" w:hanging="360"/>
      </w:pPr>
    </w:lvl>
    <w:lvl w:ilvl="4" w:tplc="0122E78E" w:tentative="1">
      <w:start w:val="1"/>
      <w:numFmt w:val="lowerLetter"/>
      <w:lvlText w:val="%5."/>
      <w:lvlJc w:val="left"/>
      <w:pPr>
        <w:tabs>
          <w:tab w:val="num" w:pos="3600"/>
        </w:tabs>
        <w:ind w:left="3600" w:hanging="360"/>
      </w:pPr>
    </w:lvl>
    <w:lvl w:ilvl="5" w:tplc="AEFEF524" w:tentative="1">
      <w:start w:val="1"/>
      <w:numFmt w:val="lowerRoman"/>
      <w:lvlText w:val="%6."/>
      <w:lvlJc w:val="right"/>
      <w:pPr>
        <w:tabs>
          <w:tab w:val="num" w:pos="4320"/>
        </w:tabs>
        <w:ind w:left="4320" w:hanging="180"/>
      </w:pPr>
    </w:lvl>
    <w:lvl w:ilvl="6" w:tplc="0C28C320" w:tentative="1">
      <w:start w:val="1"/>
      <w:numFmt w:val="decimal"/>
      <w:lvlText w:val="%7."/>
      <w:lvlJc w:val="left"/>
      <w:pPr>
        <w:tabs>
          <w:tab w:val="num" w:pos="5040"/>
        </w:tabs>
        <w:ind w:left="5040" w:hanging="360"/>
      </w:pPr>
    </w:lvl>
    <w:lvl w:ilvl="7" w:tplc="450658EC" w:tentative="1">
      <w:start w:val="1"/>
      <w:numFmt w:val="lowerLetter"/>
      <w:lvlText w:val="%8."/>
      <w:lvlJc w:val="left"/>
      <w:pPr>
        <w:tabs>
          <w:tab w:val="num" w:pos="5760"/>
        </w:tabs>
        <w:ind w:left="5760" w:hanging="360"/>
      </w:pPr>
    </w:lvl>
    <w:lvl w:ilvl="8" w:tplc="D93C8C38" w:tentative="1">
      <w:start w:val="1"/>
      <w:numFmt w:val="lowerRoman"/>
      <w:lvlText w:val="%9."/>
      <w:lvlJc w:val="right"/>
      <w:pPr>
        <w:tabs>
          <w:tab w:val="num" w:pos="6480"/>
        </w:tabs>
        <w:ind w:left="6480" w:hanging="180"/>
      </w:pPr>
    </w:lvl>
  </w:abstractNum>
  <w:num w:numId="1" w16cid:durableId="2087025076">
    <w:abstractNumId w:val="9"/>
  </w:num>
  <w:num w:numId="2" w16cid:durableId="1114521304">
    <w:abstractNumId w:val="7"/>
  </w:num>
  <w:num w:numId="3" w16cid:durableId="187838474">
    <w:abstractNumId w:val="6"/>
  </w:num>
  <w:num w:numId="4" w16cid:durableId="2099862929">
    <w:abstractNumId w:val="5"/>
  </w:num>
  <w:num w:numId="5" w16cid:durableId="401567428">
    <w:abstractNumId w:val="4"/>
  </w:num>
  <w:num w:numId="6" w16cid:durableId="90588257">
    <w:abstractNumId w:val="8"/>
  </w:num>
  <w:num w:numId="7" w16cid:durableId="1951080784">
    <w:abstractNumId w:val="3"/>
  </w:num>
  <w:num w:numId="8" w16cid:durableId="1248685594">
    <w:abstractNumId w:val="2"/>
  </w:num>
  <w:num w:numId="9" w16cid:durableId="820002532">
    <w:abstractNumId w:val="1"/>
  </w:num>
  <w:num w:numId="10" w16cid:durableId="2004965750">
    <w:abstractNumId w:val="0"/>
  </w:num>
  <w:num w:numId="11" w16cid:durableId="1097169671">
    <w:abstractNumId w:val="11"/>
  </w:num>
  <w:num w:numId="12" w16cid:durableId="1471239979">
    <w:abstractNumId w:val="15"/>
  </w:num>
  <w:num w:numId="13" w16cid:durableId="214968689">
    <w:abstractNumId w:val="14"/>
  </w:num>
  <w:num w:numId="14" w16cid:durableId="1602032123">
    <w:abstractNumId w:val="12"/>
  </w:num>
  <w:num w:numId="15" w16cid:durableId="1477338097">
    <w:abstractNumId w:val="13"/>
  </w:num>
  <w:num w:numId="16" w16cid:durableId="887837926">
    <w:abstractNumId w:val="10"/>
  </w:num>
  <w:num w:numId="17" w16cid:durableId="1082292892">
    <w:abstractNumId w:val="11"/>
  </w:num>
  <w:num w:numId="18" w16cid:durableId="1955360217">
    <w:abstractNumId w:val="15"/>
  </w:num>
  <w:num w:numId="19" w16cid:durableId="551696362">
    <w:abstractNumId w:val="14"/>
  </w:num>
  <w:num w:numId="20" w16cid:durableId="10249372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A5"/>
    <w:rsid w:val="001B0103"/>
    <w:rsid w:val="007668B6"/>
    <w:rsid w:val="009B47A5"/>
    <w:rsid w:val="00A649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F94A3"/>
  <w15:chartTrackingRefBased/>
  <w15:docId w15:val="{635739FE-2C78-49A8-BB2E-3B8AA73B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1B0103"/>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uments.ats.aq/ATCM43/wp/ATCM43_wp010_e.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uments.ats.aq/recatt/att630_e.pdf" TargetMode="External"/><Relationship Id="rId2" Type="http://schemas.openxmlformats.org/officeDocument/2006/relationships/numbering" Target="numbering.xml"/><Relationship Id="rId16" Type="http://schemas.openxmlformats.org/officeDocument/2006/relationships/hyperlink" Target="https://www.antarcticanz.govt.nz/sbrceedraftfornotification.pdf"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ts.aq/devAS/EP/CEPWorkspace"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uments.ats.aq/recatt/att630_e.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697</Words>
  <Characters>4361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2022-04-19T10:51:00Z</dcterms:modified>
</cp:coreProperties>
</file>