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4DAE" w14:textId="77777777" w:rsidR="00C26F2D" w:rsidRPr="00BF077B" w:rsidRDefault="001C3E38" w:rsidP="00BF077B">
      <w:pPr>
        <w:pStyle w:val="ATSNormal"/>
        <w:rPr>
          <w:rStyle w:val="Ttulodellibro"/>
        </w:rPr>
      </w:pPr>
    </w:p>
    <w:p w14:paraId="4EF8CEE6" w14:textId="77777777" w:rsidR="002F0A13" w:rsidRDefault="001C3E38" w:rsidP="004B4A60">
      <w:pPr>
        <w:rPr>
          <w:b/>
          <w:u w:val="single"/>
          <w:lang w:val="es-ES_tradnl"/>
        </w:rPr>
      </w:pPr>
    </w:p>
    <w:p w14:paraId="3A261A5B" w14:textId="77777777" w:rsidR="002F0A13" w:rsidRDefault="001C3E38" w:rsidP="004B4A60">
      <w:pPr>
        <w:rPr>
          <w:b/>
          <w:u w:val="single"/>
          <w:lang w:val="es-ES_tradnl"/>
        </w:rPr>
      </w:pPr>
    </w:p>
    <w:p w14:paraId="62CDF5DD" w14:textId="77777777" w:rsidR="002F0A13" w:rsidRDefault="001C3E38" w:rsidP="004B4A60">
      <w:pPr>
        <w:rPr>
          <w:b/>
          <w:u w:val="single"/>
          <w:lang w:val="es-ES_tradnl"/>
        </w:rPr>
      </w:pPr>
    </w:p>
    <w:p w14:paraId="125E1334" w14:textId="77777777" w:rsidR="002F0A13" w:rsidRDefault="001C3E38" w:rsidP="004B4A60">
      <w:pPr>
        <w:rPr>
          <w:b/>
          <w:u w:val="single"/>
          <w:lang w:val="es-ES_tradnl"/>
        </w:rPr>
      </w:pPr>
    </w:p>
    <w:p w14:paraId="3E13654B" w14:textId="77777777" w:rsidR="00C26F2D" w:rsidRDefault="001C3E38" w:rsidP="004B4A60">
      <w:pPr>
        <w:rPr>
          <w:b/>
          <w:u w:val="single"/>
          <w:lang w:val="es-ES_tradnl"/>
        </w:rPr>
      </w:pPr>
    </w:p>
    <w:p w14:paraId="0921B8F4" w14:textId="77777777" w:rsidR="004B4A60" w:rsidRPr="0057246E" w:rsidRDefault="001C3E38" w:rsidP="001B789F">
      <w:pPr>
        <w:pStyle w:val="ATSTitle"/>
      </w:pPr>
      <w:bookmarkStart w:id="0" w:name="name"/>
      <w:r>
        <w:t>Ship traffic connects Antarctica to worldwide locations, with implications for non-native marine species introduction risk</w:t>
      </w:r>
      <w:bookmarkEnd w:id="0"/>
    </w:p>
    <w:p w14:paraId="6DC11FC9" w14:textId="77777777" w:rsidR="004B4A60" w:rsidRPr="0057246E" w:rsidRDefault="001C3E38" w:rsidP="00F75424">
      <w:pPr>
        <w:jc w:val="center"/>
      </w:pPr>
    </w:p>
    <w:p w14:paraId="24ED563C" w14:textId="77777777" w:rsidR="004B4A60" w:rsidRPr="002F0A13" w:rsidRDefault="001C3E38" w:rsidP="002F0A13"/>
    <w:p w14:paraId="40120B25" w14:textId="77777777" w:rsidR="004B4A60" w:rsidRDefault="001C3E38" w:rsidP="00F75424">
      <w:pPr>
        <w:jc w:val="center"/>
      </w:pPr>
      <w:bookmarkStart w:id="1" w:name="memo"/>
      <w:bookmarkEnd w:id="1"/>
    </w:p>
    <w:p w14:paraId="0F4271FF" w14:textId="77777777" w:rsidR="0097629D" w:rsidRDefault="001C3E38" w:rsidP="00F75424">
      <w:pPr>
        <w:jc w:val="center"/>
      </w:pPr>
    </w:p>
    <w:p w14:paraId="031BF82A" w14:textId="77777777" w:rsidR="0097629D" w:rsidRDefault="001C3E38" w:rsidP="00F75424">
      <w:pPr>
        <w:jc w:val="center"/>
      </w:pPr>
    </w:p>
    <w:p w14:paraId="630C2365" w14:textId="77777777" w:rsidR="0097629D" w:rsidRDefault="001C3E38" w:rsidP="00F75424">
      <w:pPr>
        <w:jc w:val="center"/>
      </w:pPr>
    </w:p>
    <w:p w14:paraId="63B6C61D" w14:textId="77777777" w:rsidR="0097629D" w:rsidRPr="00C26F2D" w:rsidRDefault="001C3E38" w:rsidP="00F75424">
      <w:pPr>
        <w:jc w:val="center"/>
      </w:pPr>
    </w:p>
    <w:p w14:paraId="75DB3101" w14:textId="77777777" w:rsidR="004B4A60" w:rsidRPr="0057246E" w:rsidRDefault="001C3E38" w:rsidP="004B4A60"/>
    <w:p w14:paraId="74F3F7D5" w14:textId="77777777" w:rsidR="00C26F2D" w:rsidRDefault="001C3E3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E77ABFA" w14:textId="746A5F90" w:rsidR="004B4A60" w:rsidRDefault="001C3E38" w:rsidP="00952E9F"/>
    <w:p w14:paraId="66C651ED" w14:textId="77777777" w:rsidR="001C3E38" w:rsidRPr="000C30B4" w:rsidRDefault="001C3E38" w:rsidP="001C3E38">
      <w:pPr>
        <w:pStyle w:val="ATSTitle"/>
        <w:rPr>
          <w:sz w:val="32"/>
          <w:szCs w:val="32"/>
        </w:rPr>
      </w:pPr>
      <w:r w:rsidRPr="000C30B4">
        <w:rPr>
          <w:sz w:val="32"/>
          <w:szCs w:val="32"/>
        </w:rPr>
        <w:t>Ship traffic connects Antarctic</w:t>
      </w:r>
      <w:r>
        <w:rPr>
          <w:sz w:val="32"/>
          <w:szCs w:val="32"/>
        </w:rPr>
        <w:t>a</w:t>
      </w:r>
      <w:r w:rsidRPr="000C30B4">
        <w:rPr>
          <w:sz w:val="32"/>
          <w:szCs w:val="32"/>
        </w:rPr>
        <w:t xml:space="preserve"> to worldwide locations</w:t>
      </w:r>
      <w:r>
        <w:rPr>
          <w:sz w:val="32"/>
          <w:szCs w:val="32"/>
        </w:rPr>
        <w:t>,</w:t>
      </w:r>
      <w:r w:rsidRPr="000C30B4">
        <w:rPr>
          <w:sz w:val="32"/>
          <w:szCs w:val="32"/>
        </w:rPr>
        <w:t xml:space="preserve"> </w:t>
      </w:r>
      <w:r>
        <w:rPr>
          <w:sz w:val="32"/>
          <w:szCs w:val="32"/>
        </w:rPr>
        <w:t xml:space="preserve">with implications for </w:t>
      </w:r>
      <w:r w:rsidRPr="000C30B4">
        <w:rPr>
          <w:sz w:val="32"/>
          <w:szCs w:val="32"/>
        </w:rPr>
        <w:t>non-native</w:t>
      </w:r>
      <w:r>
        <w:rPr>
          <w:sz w:val="32"/>
          <w:szCs w:val="32"/>
        </w:rPr>
        <w:t xml:space="preserve"> </w:t>
      </w:r>
      <w:r w:rsidRPr="000C30B4">
        <w:rPr>
          <w:sz w:val="32"/>
          <w:szCs w:val="32"/>
        </w:rPr>
        <w:t>marine species</w:t>
      </w:r>
      <w:r>
        <w:rPr>
          <w:sz w:val="32"/>
          <w:szCs w:val="32"/>
        </w:rPr>
        <w:t xml:space="preserve"> introduction risk</w:t>
      </w:r>
    </w:p>
    <w:p w14:paraId="6141DC18" w14:textId="77777777" w:rsidR="001C3E38" w:rsidRPr="00683A98" w:rsidRDefault="001C3E38" w:rsidP="001C3E38">
      <w:pPr>
        <w:jc w:val="center"/>
        <w:rPr>
          <w:b/>
          <w:bCs/>
          <w:sz w:val="24"/>
        </w:rPr>
      </w:pPr>
      <w:r w:rsidRPr="00683A98">
        <w:rPr>
          <w:b/>
          <w:bCs/>
          <w:sz w:val="24"/>
        </w:rPr>
        <w:t>Information Paper submitted by the United Kingdom</w:t>
      </w:r>
    </w:p>
    <w:p w14:paraId="36A56D3F" w14:textId="77777777" w:rsidR="001C3E38" w:rsidRPr="003F49CD" w:rsidRDefault="001C3E38" w:rsidP="001C3E38">
      <w:pPr>
        <w:pStyle w:val="Ttulo1"/>
        <w:spacing w:before="480" w:after="120"/>
        <w:jc w:val="left"/>
        <w:rPr>
          <w:i/>
          <w:iCs/>
          <w:sz w:val="24"/>
          <w:szCs w:val="24"/>
        </w:rPr>
      </w:pPr>
      <w:r w:rsidRPr="003F49CD">
        <w:rPr>
          <w:i/>
          <w:iCs/>
          <w:sz w:val="24"/>
          <w:szCs w:val="24"/>
        </w:rPr>
        <w:t>Summary</w:t>
      </w:r>
    </w:p>
    <w:p w14:paraId="035CCC47" w14:textId="77777777" w:rsidR="001C3E38" w:rsidRPr="00983448" w:rsidRDefault="001C3E38" w:rsidP="001C3E38">
      <w:r>
        <w:t>The United Kingdom presents the results of a</w:t>
      </w:r>
      <w:r w:rsidRPr="006777DE">
        <w:t xml:space="preserve"> quantitative analysis of ship movements into Antarctic waters, and </w:t>
      </w:r>
      <w:r>
        <w:t>a</w:t>
      </w:r>
      <w:r w:rsidRPr="006777DE">
        <w:t xml:space="preserve"> </w:t>
      </w:r>
      <w:proofErr w:type="gramStart"/>
      <w:r w:rsidRPr="006777DE">
        <w:t>spatially-explicit</w:t>
      </w:r>
      <w:proofErr w:type="gramEnd"/>
      <w:r w:rsidRPr="006777DE">
        <w:t xml:space="preserve"> assessment of introduction risk for non-native marine species in all Antarctic waters</w:t>
      </w:r>
      <w:r>
        <w:t xml:space="preserve"> by fishing, tourism and national Antarctic operator vessels</w:t>
      </w:r>
      <w:r w:rsidRPr="006777DE">
        <w:t>.</w:t>
      </w:r>
    </w:p>
    <w:p w14:paraId="1A1570B9" w14:textId="77777777" w:rsidR="001C3E38" w:rsidRPr="003F49CD" w:rsidRDefault="001C3E38" w:rsidP="001C3E38">
      <w:pPr>
        <w:pStyle w:val="Ttulo1"/>
        <w:spacing w:before="480" w:after="120"/>
        <w:jc w:val="left"/>
        <w:rPr>
          <w:i/>
          <w:iCs/>
          <w:sz w:val="24"/>
          <w:szCs w:val="24"/>
        </w:rPr>
      </w:pPr>
      <w:r w:rsidRPr="003F49CD">
        <w:rPr>
          <w:i/>
          <w:iCs/>
          <w:sz w:val="24"/>
          <w:szCs w:val="24"/>
        </w:rPr>
        <w:t>Background</w:t>
      </w:r>
    </w:p>
    <w:p w14:paraId="43923423" w14:textId="77777777" w:rsidR="001C3E38" w:rsidRDefault="001C3E38" w:rsidP="001C3E38">
      <w:r w:rsidRPr="00FB491C">
        <w:t xml:space="preserve">Antarctic environments are increasingly at risk from </w:t>
      </w:r>
      <w:r>
        <w:t xml:space="preserve">a variety of impacts from human activities, including the introduction of </w:t>
      </w:r>
      <w:r w:rsidRPr="00FB491C">
        <w:t>non-native species</w:t>
      </w:r>
      <w:r>
        <w:t xml:space="preserve"> </w:t>
      </w:r>
      <w:r>
        <w:rPr>
          <w:lang w:val="en-US"/>
        </w:rPr>
        <w:t>(see: ATCM XXXV WP5; ATCM XLII IP27; ATCM XLII IP32)</w:t>
      </w:r>
      <w:r>
        <w:t>. However, relatively little</w:t>
      </w:r>
      <w:r w:rsidRPr="00FB491C">
        <w:t xml:space="preserve"> </w:t>
      </w:r>
      <w:r>
        <w:t xml:space="preserve">detail </w:t>
      </w:r>
      <w:r w:rsidRPr="00FB491C">
        <w:t>is known</w:t>
      </w:r>
      <w:r>
        <w:t xml:space="preserve"> </w:t>
      </w:r>
      <w:r w:rsidRPr="00FB491C">
        <w:t xml:space="preserve">about the </w:t>
      </w:r>
      <w:r>
        <w:t>risk of introducing</w:t>
      </w:r>
      <w:r w:rsidRPr="00FB491C">
        <w:t xml:space="preserve"> non-native species to the marine environment</w:t>
      </w:r>
      <w:r>
        <w:t xml:space="preserve"> across all industries and activities </w:t>
      </w:r>
      <w:r>
        <w:rPr>
          <w:lang w:val="en-US"/>
        </w:rPr>
        <w:t>(see ATCM XXXV WP5 and ATCM XLIII IP6)</w:t>
      </w:r>
      <w:r w:rsidRPr="00FB491C">
        <w:t>. </w:t>
      </w:r>
    </w:p>
    <w:p w14:paraId="5AE6EEC4" w14:textId="77777777" w:rsidR="001C3E38" w:rsidRDefault="001C3E38" w:rsidP="001C3E38"/>
    <w:p w14:paraId="6862BD0D" w14:textId="77777777" w:rsidR="001C3E38" w:rsidRPr="00FB491C" w:rsidRDefault="001C3E38" w:rsidP="001C3E38">
      <w:r w:rsidRPr="00FB491C">
        <w:t>The potential risks of marine non-native species were highlighted at the CEP Non-native Species Workshop in Christchurch in 2006 (see ATCM XXIX WP 13</w:t>
      </w:r>
      <w:r>
        <w:t xml:space="preserve">) </w:t>
      </w:r>
      <w:r w:rsidRPr="00FB491C">
        <w:t>and Practical Guidelines for Ballast Water Exchange in the Antarctic Treaty area were agreed through Resolution 3 (2006).  The CEP has repeatedly recognised the importance of receiving up-to-date scientific knowledge to evaluate the threat to Antarctic marine ecosystems from marine non-native species introduction, for example:</w:t>
      </w:r>
    </w:p>
    <w:p w14:paraId="2EFB927C" w14:textId="77777777" w:rsidR="001C3E38" w:rsidRPr="00FB491C" w:rsidRDefault="001C3E38" w:rsidP="001C3E38">
      <w:pPr>
        <w:numPr>
          <w:ilvl w:val="0"/>
          <w:numId w:val="21"/>
        </w:numPr>
      </w:pPr>
      <w:r w:rsidRPr="00FB491C">
        <w:t>The Non-native Species Manual Annex ‘</w:t>
      </w:r>
      <w:r w:rsidRPr="00FB491C">
        <w:rPr>
          <w:i/>
          <w:iCs/>
        </w:rPr>
        <w:t>Guidelines and resources requiring further attention or development</w:t>
      </w:r>
      <w:r w:rsidRPr="00FB491C">
        <w:t>’ identified the need to improve understanding of risks and pathways for marine introduction. </w:t>
      </w:r>
    </w:p>
    <w:p w14:paraId="042F7512" w14:textId="77777777" w:rsidR="001C3E38" w:rsidRPr="00FB491C" w:rsidRDefault="001C3E38" w:rsidP="001C3E38">
      <w:pPr>
        <w:numPr>
          <w:ilvl w:val="0"/>
          <w:numId w:val="21"/>
        </w:numPr>
      </w:pPr>
      <w:r w:rsidRPr="00FB491C">
        <w:t>The CEP Five Year Plan identified the need for an assessment of the risk of marine non-native species introductions; and </w:t>
      </w:r>
    </w:p>
    <w:p w14:paraId="2BAAD4BC" w14:textId="77777777" w:rsidR="001C3E38" w:rsidRDefault="001C3E38" w:rsidP="001C3E38">
      <w:pPr>
        <w:numPr>
          <w:ilvl w:val="0"/>
          <w:numId w:val="21"/>
        </w:numPr>
      </w:pPr>
      <w:r w:rsidRPr="00FB491C">
        <w:t>The Climate Change Response Work Programme (CCRWP) identified, as a high priority (Priority 1.8), the need to undertake a risk assessment to identify marine habitats at risk of invasion and pathways for introduction.</w:t>
      </w:r>
    </w:p>
    <w:p w14:paraId="53AFF5AE" w14:textId="77777777" w:rsidR="001C3E38" w:rsidRPr="00FB491C" w:rsidRDefault="001C3E38" w:rsidP="001C3E38">
      <w:pPr>
        <w:ind w:left="720"/>
      </w:pPr>
    </w:p>
    <w:p w14:paraId="2070F5B2" w14:textId="77777777" w:rsidR="001C3E38" w:rsidRPr="00983448" w:rsidRDefault="001C3E38" w:rsidP="001C3E38">
      <w:r w:rsidRPr="00FB491C">
        <w:t xml:space="preserve">The aim of this Information Paper is to provide an update on recent knowledge </w:t>
      </w:r>
      <w:r>
        <w:t>of ship activity within</w:t>
      </w:r>
      <w:r w:rsidRPr="00FB491C">
        <w:t xml:space="preserve"> Antarctic Treaty area,</w:t>
      </w:r>
      <w:r>
        <w:t xml:space="preserve"> focusing on areas of high ship traffic.  It identifies marine locations at high risk of non-native marine species introductions. The contents of this Information Paper are </w:t>
      </w:r>
      <w:r w:rsidRPr="00FB491C">
        <w:t>based predominantly on a recent academic paper</w:t>
      </w:r>
      <w:r>
        <w:t xml:space="preserve"> by </w:t>
      </w:r>
      <w:r w:rsidRPr="0035477D">
        <w:t>McCarthy et al. (2022)</w:t>
      </w:r>
      <w:r>
        <w:t>.</w:t>
      </w:r>
    </w:p>
    <w:p w14:paraId="288E6D34" w14:textId="77777777" w:rsidR="001C3E38" w:rsidRPr="003F49CD" w:rsidRDefault="001C3E38" w:rsidP="001C3E38">
      <w:pPr>
        <w:pStyle w:val="Ttulo1"/>
        <w:spacing w:before="480" w:after="120"/>
        <w:jc w:val="left"/>
        <w:rPr>
          <w:i/>
          <w:iCs/>
          <w:sz w:val="24"/>
          <w:szCs w:val="24"/>
        </w:rPr>
      </w:pPr>
      <w:r w:rsidRPr="003F49CD">
        <w:rPr>
          <w:i/>
          <w:iCs/>
          <w:sz w:val="24"/>
          <w:szCs w:val="24"/>
        </w:rPr>
        <w:t>Ship traffic to Antarctica</w:t>
      </w:r>
    </w:p>
    <w:p w14:paraId="7B003EED" w14:textId="77777777" w:rsidR="001C3E38" w:rsidRDefault="001C3E38" w:rsidP="001C3E38">
      <w:r>
        <w:t>Recent research has shown that a</w:t>
      </w:r>
      <w:r w:rsidRPr="006777DE">
        <w:t>n extensive network of ship activity</w:t>
      </w:r>
      <w:r>
        <w:t xml:space="preserve"> </w:t>
      </w:r>
      <w:r w:rsidRPr="006777DE">
        <w:t>connect</w:t>
      </w:r>
      <w:r>
        <w:t>s</w:t>
      </w:r>
      <w:r w:rsidRPr="006777DE">
        <w:t xml:space="preserve"> </w:t>
      </w:r>
      <w:r>
        <w:t xml:space="preserve">Antarctica </w:t>
      </w:r>
      <w:r w:rsidRPr="006777DE">
        <w:t>directl</w:t>
      </w:r>
      <w:r>
        <w:t>y</w:t>
      </w:r>
      <w:r w:rsidRPr="006777DE">
        <w:t xml:space="preserve"> to all global regions, especially </w:t>
      </w:r>
      <w:r>
        <w:t xml:space="preserve">to </w:t>
      </w:r>
      <w:r w:rsidRPr="006777DE">
        <w:t xml:space="preserve">South </w:t>
      </w:r>
      <w:r>
        <w:t xml:space="preserve">American, South </w:t>
      </w:r>
      <w:proofErr w:type="gramStart"/>
      <w:r w:rsidRPr="006777DE">
        <w:t>Atlantic</w:t>
      </w:r>
      <w:proofErr w:type="gramEnd"/>
      <w:r w:rsidRPr="006777DE">
        <w:t xml:space="preserve"> and European ports. Antarctic </w:t>
      </w:r>
      <w:r>
        <w:t>g</w:t>
      </w:r>
      <w:r w:rsidRPr="006777DE">
        <w:t xml:space="preserve">ateway </w:t>
      </w:r>
      <w:r>
        <w:t xml:space="preserve">cities </w:t>
      </w:r>
      <w:r w:rsidRPr="006777DE">
        <w:t>are important last ports of call, especially for research and tourism vessels</w:t>
      </w:r>
      <w:r>
        <w:t xml:space="preserve"> and were last ports of call for 63% of voyages to Antarctica during the period 2014 to 2018.</w:t>
      </w:r>
      <w:r w:rsidRPr="006777DE">
        <w:t xml:space="preserve"> </w:t>
      </w:r>
      <w:r>
        <w:t xml:space="preserve">However, during the same period, vessels departed direct to Antarctica from </w:t>
      </w:r>
      <w:r w:rsidRPr="006777DE">
        <w:t>a</w:t>
      </w:r>
      <w:r>
        <w:t xml:space="preserve"> total of 58</w:t>
      </w:r>
      <w:r w:rsidRPr="006777DE">
        <w:t xml:space="preserve"> ports </w:t>
      </w:r>
      <w:r>
        <w:t xml:space="preserve">(Figure 1). Therefore, a wide range of ports and regions may act as direct connections for the introduction of terrestrial or marine non-native species. It may be appropriate for Parties to </w:t>
      </w:r>
      <w:proofErr w:type="gramStart"/>
      <w:r>
        <w:lastRenderedPageBreak/>
        <w:t>give further consideration to</w:t>
      </w:r>
      <w:proofErr w:type="gramEnd"/>
      <w:r>
        <w:t xml:space="preserve"> the potential implementation of appropriate practical biosecurity measures prior to vessel departure for Antarctica.</w:t>
      </w:r>
    </w:p>
    <w:p w14:paraId="537AFE89" w14:textId="77777777" w:rsidR="001C3E38" w:rsidRDefault="001C3E38" w:rsidP="001C3E38"/>
    <w:p w14:paraId="3083B21A" w14:textId="77777777" w:rsidR="001C3E38" w:rsidRDefault="001C3E38" w:rsidP="001C3E38"/>
    <w:p w14:paraId="47544B3D" w14:textId="77777777" w:rsidR="001C3E38" w:rsidRDefault="001C3E38" w:rsidP="001C3E38">
      <w:r>
        <w:rPr>
          <w:noProof/>
          <w:lang w:eastAsia="en-GB"/>
        </w:rPr>
        <w:drawing>
          <wp:inline distT="0" distB="0" distL="0" distR="0" wp14:anchorId="3370CAAF" wp14:editId="091C7052">
            <wp:extent cx="5402495" cy="4002688"/>
            <wp:effectExtent l="0" t="0" r="0" b="0"/>
            <wp:docPr id="2" name="Picture 1" descr="Imagen que contiene oscuro, luz, grand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n que contiene oscuro, luz, grande, sostener&#10;&#10;Descripción generada automáticamente"/>
                    <pic:cNvPicPr/>
                  </pic:nvPicPr>
                  <pic:blipFill>
                    <a:blip r:embed="rId11" cstate="print">
                      <a:extLst>
                        <a:ext uri="{28A0092B-C50C-407E-A947-70E740481C1C}">
                          <a14:useLocalDpi xmlns:a14="http://schemas.microsoft.com/office/drawing/2010/main" val="0"/>
                        </a:ext>
                      </a:extLst>
                    </a:blip>
                    <a:srcRect t="15291" b="15291"/>
                    <a:stretch>
                      <a:fillRect/>
                    </a:stretch>
                  </pic:blipFill>
                  <pic:spPr bwMode="auto">
                    <a:xfrm>
                      <a:off x="0" y="0"/>
                      <a:ext cx="5402495" cy="4002688"/>
                    </a:xfrm>
                    <a:prstGeom prst="rect">
                      <a:avLst/>
                    </a:prstGeom>
                    <a:ln>
                      <a:noFill/>
                    </a:ln>
                    <a:extLst>
                      <a:ext uri="{53640926-AAD7-44D8-BBD7-CCE9431645EC}">
                        <a14:shadowObscured xmlns:a14="http://schemas.microsoft.com/office/drawing/2010/main"/>
                      </a:ext>
                    </a:extLst>
                  </pic:spPr>
                </pic:pic>
              </a:graphicData>
            </a:graphic>
          </wp:inline>
        </w:drawing>
      </w:r>
    </w:p>
    <w:p w14:paraId="07D73B0E" w14:textId="77777777" w:rsidR="001C3E38" w:rsidRPr="00E409FF" w:rsidRDefault="001C3E38" w:rsidP="001C3E38">
      <w:pPr>
        <w:pStyle w:val="Compact"/>
        <w:rPr>
          <w:rFonts w:ascii="Times New Roman" w:hAnsi="Times New Roman" w:cs="Times New Roman"/>
          <w:sz w:val="22"/>
          <w:szCs w:val="22"/>
        </w:rPr>
      </w:pPr>
      <w:r w:rsidRPr="00E409FF">
        <w:rPr>
          <w:rFonts w:ascii="Times New Roman" w:hAnsi="Times New Roman" w:cs="Times New Roman"/>
          <w:b/>
          <w:bCs/>
          <w:sz w:val="22"/>
          <w:szCs w:val="22"/>
        </w:rPr>
        <w:t>Figure 1</w:t>
      </w:r>
      <w:r w:rsidRPr="00E409FF">
        <w:rPr>
          <w:rFonts w:ascii="Times New Roman" w:hAnsi="Times New Roman" w:cs="Times New Roman"/>
          <w:sz w:val="22"/>
          <w:szCs w:val="22"/>
        </w:rPr>
        <w:t xml:space="preserve">: The port-to-port traffic network of all ships that visited Antarctica from 2014 to 2018 shows 75 ports had direct links to Antarctica, including 58 last ports of call for Antarctic voyages. Lines show connections between locations but do not show the path travelled. Line opacity reflects the number of voyages between ports, with darker lines representing more voyages. Circle </w:t>
      </w:r>
      <w:proofErr w:type="spellStart"/>
      <w:r w:rsidRPr="00E409FF">
        <w:rPr>
          <w:rFonts w:ascii="Times New Roman" w:hAnsi="Times New Roman" w:cs="Times New Roman"/>
          <w:sz w:val="22"/>
          <w:szCs w:val="22"/>
        </w:rPr>
        <w:t>colour</w:t>
      </w:r>
      <w:proofErr w:type="spellEnd"/>
      <w:r w:rsidRPr="00E409FF">
        <w:rPr>
          <w:rFonts w:ascii="Times New Roman" w:hAnsi="Times New Roman" w:cs="Times New Roman"/>
          <w:sz w:val="22"/>
          <w:szCs w:val="22"/>
        </w:rPr>
        <w:t xml:space="preserve"> indicates the number of visits to each port, and circle size represents the relative importance of ports within the network based on their connectivity to other highly ranked ports. </w:t>
      </w:r>
    </w:p>
    <w:p w14:paraId="67013E08" w14:textId="77777777" w:rsidR="001C3E38" w:rsidRPr="00E409FF" w:rsidRDefault="001C3E38" w:rsidP="001C3E38">
      <w:pPr>
        <w:pStyle w:val="Ttulo1"/>
        <w:spacing w:before="480" w:after="120"/>
        <w:jc w:val="left"/>
        <w:rPr>
          <w:i/>
          <w:iCs/>
          <w:sz w:val="24"/>
          <w:szCs w:val="24"/>
        </w:rPr>
      </w:pPr>
      <w:r w:rsidRPr="00E409FF">
        <w:rPr>
          <w:i/>
          <w:iCs/>
          <w:sz w:val="24"/>
          <w:szCs w:val="24"/>
        </w:rPr>
        <w:t>Highest risk areas of introductions</w:t>
      </w:r>
    </w:p>
    <w:p w14:paraId="35B5B0B8" w14:textId="77777777" w:rsidR="001C3E38" w:rsidRDefault="001C3E38" w:rsidP="001C3E38">
      <w:r>
        <w:t>Research has shown that s</w:t>
      </w:r>
      <w:r w:rsidRPr="006777DE">
        <w:t xml:space="preserve">hip visits are more than seven times higher to the Antarctic Peninsula (especially east of Anvers Island) and the South Shetland Islands than elsewhere around Antarctica: together accounting for 88% of visits to Southern Ocean. </w:t>
      </w:r>
      <w:r>
        <w:t xml:space="preserve">Almost </w:t>
      </w:r>
      <w:proofErr w:type="gramStart"/>
      <w:r>
        <w:t>all of</w:t>
      </w:r>
      <w:proofErr w:type="gramEnd"/>
      <w:r>
        <w:t xml:space="preserve"> the locations (18 of 20) most vulnerable to introductions from marine non-native were located in the Antarctic Peninsula and South Shetland Islands (see Table 1). Non-native species are considered more likely to establish in these locations than other parts of Antarctica, with for example the establishment of mussels already reported in Maxwell Bay, King George Island (see </w:t>
      </w:r>
      <w:hyperlink r:id="rId12" w:anchor="citeas" w:history="1">
        <w:r w:rsidRPr="001A76A9">
          <w:rPr>
            <w:rStyle w:val="Hipervnculo"/>
          </w:rPr>
          <w:t>Cárdenas et al., 2020</w:t>
        </w:r>
      </w:hyperlink>
      <w:r>
        <w:t>).</w:t>
      </w:r>
    </w:p>
    <w:p w14:paraId="16494755" w14:textId="77777777" w:rsidR="001C3E38" w:rsidRPr="00DE03F8" w:rsidRDefault="001C3E38" w:rsidP="001C3E38">
      <w:pPr>
        <w:pStyle w:val="Ttulo1"/>
        <w:spacing w:before="480" w:after="120"/>
        <w:jc w:val="left"/>
        <w:rPr>
          <w:i/>
          <w:iCs/>
          <w:sz w:val="24"/>
          <w:szCs w:val="24"/>
        </w:rPr>
      </w:pPr>
      <w:r w:rsidRPr="00DE03F8">
        <w:rPr>
          <w:i/>
          <w:iCs/>
          <w:sz w:val="24"/>
          <w:szCs w:val="24"/>
        </w:rPr>
        <w:t>Conclusions</w:t>
      </w:r>
    </w:p>
    <w:p w14:paraId="14423C1B" w14:textId="77777777" w:rsidR="001C3E38" w:rsidRPr="006777DE" w:rsidRDefault="001C3E38" w:rsidP="001C3E38">
      <w:r>
        <w:t xml:space="preserve">The </w:t>
      </w:r>
      <w:r w:rsidRPr="006777DE">
        <w:t>Southern Ocean is the most isolated marine environment on Earth</w:t>
      </w:r>
      <w:r>
        <w:t xml:space="preserve"> and is </w:t>
      </w:r>
      <w:r w:rsidRPr="006777DE">
        <w:t>the only global marine region without any known biological invasions</w:t>
      </w:r>
      <w:r>
        <w:t>. However, s</w:t>
      </w:r>
      <w:r w:rsidRPr="006777DE">
        <w:t xml:space="preserve">hip movements related to fishing, tourism, </w:t>
      </w:r>
      <w:proofErr w:type="gramStart"/>
      <w:r w:rsidRPr="006777DE">
        <w:t>research</w:t>
      </w:r>
      <w:proofErr w:type="gramEnd"/>
      <w:r w:rsidRPr="006777DE">
        <w:t xml:space="preserve"> and supply expose the Antarctic continent to pollution, disturbance, and invasive non-native species.</w:t>
      </w:r>
      <w:r>
        <w:t xml:space="preserve"> I</w:t>
      </w:r>
      <w:r w:rsidRPr="006777DE">
        <w:t xml:space="preserve">ncreasing ship activities </w:t>
      </w:r>
      <w:r>
        <w:t>in the region increase the opportunities for non-native species introductions, while c</w:t>
      </w:r>
      <w:r w:rsidRPr="006777DE">
        <w:t>limate change</w:t>
      </w:r>
      <w:r>
        <w:t xml:space="preserve"> makes non-native species establishment more likely.  Development and implementation of methods to reduce </w:t>
      </w:r>
      <w:r>
        <w:lastRenderedPageBreak/>
        <w:t xml:space="preserve">species transfer on vessels may go some way to reducing this risk marine non-native species present to Antarctic marine habitats. </w:t>
      </w:r>
    </w:p>
    <w:p w14:paraId="4C08A270" w14:textId="77777777" w:rsidR="001C3E38" w:rsidRPr="00D46452" w:rsidRDefault="001C3E38" w:rsidP="001C3E38">
      <w:pPr>
        <w:pStyle w:val="Ttulo1"/>
        <w:spacing w:before="480" w:after="120"/>
        <w:jc w:val="left"/>
        <w:rPr>
          <w:i/>
          <w:iCs/>
          <w:sz w:val="24"/>
          <w:szCs w:val="24"/>
        </w:rPr>
      </w:pPr>
      <w:r w:rsidRPr="00DE03F8">
        <w:rPr>
          <w:i/>
          <w:iCs/>
          <w:sz w:val="24"/>
          <w:szCs w:val="24"/>
        </w:rPr>
        <w:t>Supporting Reference</w:t>
      </w:r>
    </w:p>
    <w:p w14:paraId="024C793C" w14:textId="77777777" w:rsidR="001C3E38" w:rsidRDefault="001C3E38" w:rsidP="001C3E38">
      <w:r w:rsidRPr="00173890">
        <w:rPr>
          <w:color w:val="000000" w:themeColor="text1"/>
          <w:szCs w:val="22"/>
        </w:rPr>
        <w:t xml:space="preserve">McCarthy, A. H., Peck, L. S., &amp; Aldridge, D. C. </w:t>
      </w:r>
      <w:r>
        <w:rPr>
          <w:color w:val="000000" w:themeColor="text1"/>
          <w:szCs w:val="22"/>
        </w:rPr>
        <w:t xml:space="preserve">(2022). </w:t>
      </w:r>
      <w:r w:rsidRPr="00173890">
        <w:rPr>
          <w:color w:val="000000" w:themeColor="text1"/>
          <w:szCs w:val="22"/>
        </w:rPr>
        <w:t>Ship traffic connects Antarctica’s fragile coasts to worldwide ecosystems.</w:t>
      </w:r>
      <w:r>
        <w:rPr>
          <w:color w:val="000000" w:themeColor="text1"/>
          <w:szCs w:val="22"/>
        </w:rPr>
        <w:t xml:space="preserve"> </w:t>
      </w:r>
      <w:r w:rsidRPr="00C51762">
        <w:rPr>
          <w:i/>
          <w:iCs/>
          <w:color w:val="000000" w:themeColor="text1"/>
          <w:szCs w:val="22"/>
        </w:rPr>
        <w:t>Proceedings of the National Academy of Sciences of the United States of America, 119(3</w:t>
      </w:r>
      <w:r>
        <w:rPr>
          <w:i/>
          <w:iCs/>
          <w:color w:val="000000" w:themeColor="text1"/>
          <w:szCs w:val="22"/>
        </w:rPr>
        <w:t>),</w:t>
      </w:r>
      <w:r w:rsidRPr="00C51762">
        <w:rPr>
          <w:color w:val="000000" w:themeColor="text1"/>
          <w:szCs w:val="22"/>
        </w:rPr>
        <w:t xml:space="preserve"> e2110303118</w:t>
      </w:r>
      <w:r>
        <w:rPr>
          <w:color w:val="000000" w:themeColor="text1"/>
          <w:szCs w:val="22"/>
        </w:rPr>
        <w:t xml:space="preserve">. </w:t>
      </w:r>
    </w:p>
    <w:p w14:paraId="4AD39E68" w14:textId="77777777" w:rsidR="001C3E38" w:rsidRDefault="001C3E38" w:rsidP="001C3E38"/>
    <w:p w14:paraId="2FE10695" w14:textId="5DC78E99" w:rsidR="001C3E38" w:rsidRDefault="001C3E38" w:rsidP="00952E9F">
      <w:r>
        <w:br w:type="page"/>
      </w:r>
    </w:p>
    <w:p w14:paraId="0544C33D" w14:textId="77777777" w:rsidR="001C3E38" w:rsidRDefault="001C3E38" w:rsidP="00952E9F">
      <w:pPr>
        <w:sectPr w:rsidR="001C3E38" w:rsidSect="00283F0F">
          <w:headerReference w:type="default" r:id="rId13"/>
          <w:footerReference w:type="default" r:id="rId14"/>
          <w:type w:val="oddPage"/>
          <w:pgSz w:w="11907" w:h="16840" w:code="9"/>
          <w:pgMar w:top="1134" w:right="1701" w:bottom="1134" w:left="1701" w:header="709" w:footer="709" w:gutter="0"/>
          <w:cols w:space="708"/>
          <w:docGrid w:linePitch="360"/>
        </w:sectPr>
      </w:pPr>
    </w:p>
    <w:p w14:paraId="53CD4B85" w14:textId="77777777" w:rsidR="001C3E38" w:rsidRDefault="001C3E38" w:rsidP="001C3E38">
      <w:pPr>
        <w:rPr>
          <w:sz w:val="20"/>
          <w:szCs w:val="20"/>
        </w:rPr>
      </w:pPr>
      <w:r w:rsidRPr="00FE5931">
        <w:rPr>
          <w:b/>
          <w:color w:val="000000"/>
          <w:sz w:val="20"/>
          <w:szCs w:val="20"/>
        </w:rPr>
        <w:lastRenderedPageBreak/>
        <w:t xml:space="preserve">Table 1. </w:t>
      </w:r>
      <w:r w:rsidRPr="00FE5931">
        <w:rPr>
          <w:b/>
          <w:bCs/>
          <w:sz w:val="20"/>
          <w:szCs w:val="20"/>
        </w:rPr>
        <w:t>Top 20 sites at risk of non-native species introductions, based on</w:t>
      </w:r>
      <w:r>
        <w:rPr>
          <w:b/>
          <w:bCs/>
          <w:sz w:val="20"/>
          <w:szCs w:val="20"/>
        </w:rPr>
        <w:t xml:space="preserve"> the </w:t>
      </w:r>
      <w:r w:rsidRPr="00FE5931">
        <w:rPr>
          <w:b/>
          <w:bCs/>
          <w:sz w:val="20"/>
          <w:szCs w:val="20"/>
        </w:rPr>
        <w:t>total number of visits, number of ships and median time stopped from 2014-2018, and four sites from East Antarctica for comparison.</w:t>
      </w:r>
      <w:r w:rsidRPr="00FE5931">
        <w:rPr>
          <w:sz w:val="20"/>
          <w:szCs w:val="20"/>
        </w:rPr>
        <w:t xml:space="preserve"> AP = Antarctic Peninsula, SSI = South Shetland Islands, SOI = South Orkney Islands, RS = Ross Sea. Visit trend is increasing (+), decreasing (-) or steady (=), based on the cumulative mean number of visits from 2014-2018. Mean winter temperature for the top 20 locations shown range from -1.727 to -1.379, and for East Antarctic locations -1.890 to -1.784, data from NOAA World Ocean Atlas. The mean ice-free days and estimated percentage of days above 0ºC for each location is for 2014-2018.</w:t>
      </w:r>
    </w:p>
    <w:p w14:paraId="05D70570" w14:textId="77777777" w:rsidR="001C3E38" w:rsidRPr="00FE5931" w:rsidRDefault="001C3E38" w:rsidP="001C3E38">
      <w:pPr>
        <w:rPr>
          <w:sz w:val="20"/>
          <w:szCs w:val="20"/>
        </w:rPr>
      </w:pPr>
    </w:p>
    <w:tbl>
      <w:tblPr>
        <w:tblW w:w="5032" w:type="pct"/>
        <w:tblLook w:val="07E0" w:firstRow="1" w:lastRow="1" w:firstColumn="1" w:lastColumn="1" w:noHBand="1" w:noVBand="1"/>
        <w:tblCaption w:val="Table 1: Top 20 most ‘at risk’ sites, based on the total number of visits from 2014-2018 inclusive, and four sites from East Antarctica for comparison. Additional factors are related to the possible introduction and survival of non-native species from outside the Southern Ocean. AP = Antarctic Peninsula, SSI = South Shetland Islands. Visit trend is increasing (+), decreasing (-) or steady (=), based on the cumulative mean number of visits (Extended Data Fig. 6). Mean winter temperature for the top 20 locations shown range from -1.727 to -1.379, and for East Antarctic locations -1.890 to -1.784, data from NOAA World Ocean Atlas (51). The mean ice-free days and estimated percentage of days above 0ºC for each location is for 2014-2018."/>
      </w:tblPr>
      <w:tblGrid>
        <w:gridCol w:w="602"/>
        <w:gridCol w:w="2578"/>
        <w:gridCol w:w="1522"/>
        <w:gridCol w:w="1522"/>
        <w:gridCol w:w="1522"/>
        <w:gridCol w:w="695"/>
        <w:gridCol w:w="3596"/>
        <w:gridCol w:w="2628"/>
      </w:tblGrid>
      <w:tr w:rsidR="001C3E38" w:rsidRPr="001C3E38" w14:paraId="10581439" w14:textId="77777777" w:rsidTr="00B335AA">
        <w:tc>
          <w:tcPr>
            <w:tcW w:w="205" w:type="pct"/>
            <w:tcBorders>
              <w:top w:val="single" w:sz="4" w:space="0" w:color="auto"/>
              <w:bottom w:val="single" w:sz="2" w:space="0" w:color="auto"/>
            </w:tcBorders>
            <w:shd w:val="clear" w:color="auto" w:fill="D9D9D9" w:themeFill="background1" w:themeFillShade="D9"/>
            <w:vAlign w:val="bottom"/>
          </w:tcPr>
          <w:p w14:paraId="24F83E2E"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Rank</w:t>
            </w:r>
          </w:p>
        </w:tc>
        <w:tc>
          <w:tcPr>
            <w:tcW w:w="879" w:type="pct"/>
            <w:tcBorders>
              <w:top w:val="single" w:sz="4" w:space="0" w:color="auto"/>
              <w:bottom w:val="single" w:sz="2" w:space="0" w:color="auto"/>
            </w:tcBorders>
            <w:shd w:val="clear" w:color="auto" w:fill="D9D9D9" w:themeFill="background1" w:themeFillShade="D9"/>
            <w:vAlign w:val="bottom"/>
          </w:tcPr>
          <w:p w14:paraId="62762FCB"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Place (Ecoregion)</w:t>
            </w:r>
          </w:p>
        </w:tc>
        <w:tc>
          <w:tcPr>
            <w:tcW w:w="519" w:type="pct"/>
            <w:tcBorders>
              <w:top w:val="single" w:sz="4" w:space="0" w:color="auto"/>
              <w:bottom w:val="single" w:sz="2" w:space="0" w:color="auto"/>
            </w:tcBorders>
            <w:shd w:val="clear" w:color="auto" w:fill="D9D9D9" w:themeFill="background1" w:themeFillShade="D9"/>
            <w:vAlign w:val="bottom"/>
          </w:tcPr>
          <w:p w14:paraId="6B146AB7"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Number of visits</w:t>
            </w:r>
          </w:p>
        </w:tc>
        <w:tc>
          <w:tcPr>
            <w:tcW w:w="519" w:type="pct"/>
            <w:tcBorders>
              <w:top w:val="single" w:sz="4" w:space="0" w:color="auto"/>
              <w:bottom w:val="single" w:sz="2" w:space="0" w:color="auto"/>
            </w:tcBorders>
            <w:shd w:val="clear" w:color="auto" w:fill="D9D9D9" w:themeFill="background1" w:themeFillShade="D9"/>
            <w:vAlign w:val="bottom"/>
          </w:tcPr>
          <w:p w14:paraId="094EE4DF"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Number of ships</w:t>
            </w:r>
          </w:p>
        </w:tc>
        <w:tc>
          <w:tcPr>
            <w:tcW w:w="519" w:type="pct"/>
            <w:tcBorders>
              <w:top w:val="single" w:sz="4" w:space="0" w:color="auto"/>
              <w:bottom w:val="single" w:sz="2" w:space="0" w:color="auto"/>
            </w:tcBorders>
            <w:shd w:val="clear" w:color="auto" w:fill="D9D9D9" w:themeFill="background1" w:themeFillShade="D9"/>
            <w:vAlign w:val="bottom"/>
          </w:tcPr>
          <w:p w14:paraId="32AEF23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Median time stopped (hours)</w:t>
            </w:r>
          </w:p>
        </w:tc>
        <w:tc>
          <w:tcPr>
            <w:tcW w:w="237" w:type="pct"/>
            <w:tcBorders>
              <w:top w:val="single" w:sz="4" w:space="0" w:color="auto"/>
              <w:bottom w:val="single" w:sz="2" w:space="0" w:color="auto"/>
            </w:tcBorders>
            <w:shd w:val="clear" w:color="auto" w:fill="D9D9D9" w:themeFill="background1" w:themeFillShade="D9"/>
            <w:vAlign w:val="bottom"/>
          </w:tcPr>
          <w:p w14:paraId="7C8DF79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Visit trend</w:t>
            </w:r>
          </w:p>
        </w:tc>
        <w:tc>
          <w:tcPr>
            <w:tcW w:w="1226" w:type="pct"/>
            <w:tcBorders>
              <w:top w:val="single" w:sz="4" w:space="0" w:color="auto"/>
              <w:bottom w:val="single" w:sz="2" w:space="0" w:color="auto"/>
            </w:tcBorders>
            <w:shd w:val="clear" w:color="auto" w:fill="D9D9D9" w:themeFill="background1" w:themeFillShade="D9"/>
            <w:vAlign w:val="bottom"/>
          </w:tcPr>
          <w:p w14:paraId="6D609274"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Estimated percentage of annual sea surface temperature above 0ºC (mean ± SD)</w:t>
            </w:r>
          </w:p>
        </w:tc>
        <w:tc>
          <w:tcPr>
            <w:tcW w:w="898" w:type="pct"/>
            <w:tcBorders>
              <w:top w:val="single" w:sz="4" w:space="0" w:color="auto"/>
              <w:bottom w:val="single" w:sz="2" w:space="0" w:color="auto"/>
            </w:tcBorders>
            <w:shd w:val="clear" w:color="auto" w:fill="D9D9D9" w:themeFill="background1" w:themeFillShade="D9"/>
            <w:vAlign w:val="bottom"/>
          </w:tcPr>
          <w:p w14:paraId="2CDF5F4F"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Estimated annual ice-free days (mean ± SD)</w:t>
            </w:r>
          </w:p>
        </w:tc>
      </w:tr>
      <w:tr w:rsidR="001C3E38" w:rsidRPr="001C3E38" w14:paraId="13539057" w14:textId="77777777" w:rsidTr="00B335AA">
        <w:tc>
          <w:tcPr>
            <w:tcW w:w="205" w:type="pct"/>
            <w:tcBorders>
              <w:top w:val="single" w:sz="2" w:space="0" w:color="auto"/>
            </w:tcBorders>
          </w:tcPr>
          <w:p w14:paraId="1E0C7CD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w:t>
            </w:r>
          </w:p>
        </w:tc>
        <w:tc>
          <w:tcPr>
            <w:tcW w:w="879" w:type="pct"/>
            <w:tcBorders>
              <w:top w:val="single" w:sz="2" w:space="0" w:color="auto"/>
            </w:tcBorders>
          </w:tcPr>
          <w:p w14:paraId="601EFFED" w14:textId="77777777" w:rsidR="001C3E38" w:rsidRPr="001C3E38" w:rsidRDefault="001C3E38" w:rsidP="00B335AA">
            <w:pPr>
              <w:pStyle w:val="Compact"/>
              <w:jc w:val="left"/>
              <w:rPr>
                <w:rFonts w:ascii="Times New Roman" w:hAnsi="Times New Roman" w:cs="Times New Roman"/>
                <w:sz w:val="18"/>
                <w:szCs w:val="18"/>
              </w:rPr>
            </w:pPr>
            <w:proofErr w:type="spellStart"/>
            <w:r w:rsidRPr="001C3E38">
              <w:rPr>
                <w:rFonts w:ascii="Times New Roman" w:hAnsi="Times New Roman" w:cs="Times New Roman"/>
                <w:sz w:val="18"/>
                <w:szCs w:val="18"/>
              </w:rPr>
              <w:t>Dovizio</w:t>
            </w:r>
            <w:proofErr w:type="spellEnd"/>
            <w:r w:rsidRPr="001C3E38">
              <w:rPr>
                <w:rFonts w:ascii="Times New Roman" w:hAnsi="Times New Roman" w:cs="Times New Roman"/>
                <w:sz w:val="18"/>
                <w:szCs w:val="18"/>
              </w:rPr>
              <w:t xml:space="preserve"> Rock (SSI)</w:t>
            </w:r>
          </w:p>
        </w:tc>
        <w:tc>
          <w:tcPr>
            <w:tcW w:w="519" w:type="pct"/>
            <w:tcBorders>
              <w:top w:val="single" w:sz="2" w:space="0" w:color="auto"/>
            </w:tcBorders>
          </w:tcPr>
          <w:p w14:paraId="204D188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284</w:t>
            </w:r>
          </w:p>
        </w:tc>
        <w:tc>
          <w:tcPr>
            <w:tcW w:w="519" w:type="pct"/>
            <w:tcBorders>
              <w:top w:val="single" w:sz="2" w:space="0" w:color="auto"/>
            </w:tcBorders>
          </w:tcPr>
          <w:p w14:paraId="48B3401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79</w:t>
            </w:r>
          </w:p>
        </w:tc>
        <w:tc>
          <w:tcPr>
            <w:tcW w:w="519" w:type="pct"/>
            <w:tcBorders>
              <w:top w:val="single" w:sz="2" w:space="0" w:color="auto"/>
            </w:tcBorders>
          </w:tcPr>
          <w:p w14:paraId="1FAFC4D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35.3</w:t>
            </w:r>
          </w:p>
        </w:tc>
        <w:tc>
          <w:tcPr>
            <w:tcW w:w="237" w:type="pct"/>
            <w:tcBorders>
              <w:top w:val="single" w:sz="2" w:space="0" w:color="auto"/>
            </w:tcBorders>
          </w:tcPr>
          <w:p w14:paraId="35207029"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Borders>
              <w:top w:val="single" w:sz="2" w:space="0" w:color="auto"/>
            </w:tcBorders>
          </w:tcPr>
          <w:p w14:paraId="387BA3D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24.5 ± 2.4</w:t>
            </w:r>
          </w:p>
        </w:tc>
        <w:tc>
          <w:tcPr>
            <w:tcW w:w="898" w:type="pct"/>
            <w:tcBorders>
              <w:top w:val="single" w:sz="2" w:space="0" w:color="auto"/>
            </w:tcBorders>
          </w:tcPr>
          <w:p w14:paraId="7A4A66B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194.0 ± 21.0</w:t>
            </w:r>
          </w:p>
        </w:tc>
      </w:tr>
      <w:tr w:rsidR="001C3E38" w:rsidRPr="001C3E38" w14:paraId="699FF984" w14:textId="77777777" w:rsidTr="00B335AA">
        <w:tc>
          <w:tcPr>
            <w:tcW w:w="205" w:type="pct"/>
          </w:tcPr>
          <w:p w14:paraId="07D517E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w:t>
            </w:r>
          </w:p>
        </w:tc>
        <w:tc>
          <w:tcPr>
            <w:tcW w:w="879" w:type="pct"/>
          </w:tcPr>
          <w:p w14:paraId="15019DAE"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Maxwell Bay (SSI)</w:t>
            </w:r>
          </w:p>
        </w:tc>
        <w:tc>
          <w:tcPr>
            <w:tcW w:w="519" w:type="pct"/>
          </w:tcPr>
          <w:p w14:paraId="7A0AE39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424</w:t>
            </w:r>
          </w:p>
        </w:tc>
        <w:tc>
          <w:tcPr>
            <w:tcW w:w="519" w:type="pct"/>
          </w:tcPr>
          <w:p w14:paraId="0ECB023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64</w:t>
            </w:r>
          </w:p>
        </w:tc>
        <w:tc>
          <w:tcPr>
            <w:tcW w:w="519" w:type="pct"/>
          </w:tcPr>
          <w:p w14:paraId="1D2094F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22.2</w:t>
            </w:r>
          </w:p>
        </w:tc>
        <w:tc>
          <w:tcPr>
            <w:tcW w:w="237" w:type="pct"/>
          </w:tcPr>
          <w:p w14:paraId="06001FF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4DD7758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19.1 ± 2.6</w:t>
            </w:r>
          </w:p>
        </w:tc>
        <w:tc>
          <w:tcPr>
            <w:tcW w:w="898" w:type="pct"/>
          </w:tcPr>
          <w:p w14:paraId="5DC5000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135.0 ± 17.7</w:t>
            </w:r>
          </w:p>
        </w:tc>
      </w:tr>
      <w:tr w:rsidR="001C3E38" w:rsidRPr="001C3E38" w14:paraId="73F1F43B" w14:textId="77777777" w:rsidTr="00B335AA">
        <w:tc>
          <w:tcPr>
            <w:tcW w:w="205" w:type="pct"/>
          </w:tcPr>
          <w:p w14:paraId="3934346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w:t>
            </w:r>
          </w:p>
        </w:tc>
        <w:tc>
          <w:tcPr>
            <w:tcW w:w="879" w:type="pct"/>
          </w:tcPr>
          <w:p w14:paraId="22CAA856"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Kristie Cove (AP)</w:t>
            </w:r>
          </w:p>
        </w:tc>
        <w:tc>
          <w:tcPr>
            <w:tcW w:w="519" w:type="pct"/>
          </w:tcPr>
          <w:p w14:paraId="53A8B41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105</w:t>
            </w:r>
          </w:p>
        </w:tc>
        <w:tc>
          <w:tcPr>
            <w:tcW w:w="519" w:type="pct"/>
          </w:tcPr>
          <w:p w14:paraId="0A1105A9"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23</w:t>
            </w:r>
          </w:p>
        </w:tc>
        <w:tc>
          <w:tcPr>
            <w:tcW w:w="519" w:type="pct"/>
          </w:tcPr>
          <w:p w14:paraId="4A12E62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50.6</w:t>
            </w:r>
          </w:p>
        </w:tc>
        <w:tc>
          <w:tcPr>
            <w:tcW w:w="237" w:type="pct"/>
          </w:tcPr>
          <w:p w14:paraId="52155EF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18E9AF1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19.7 ± 5.6</w:t>
            </w:r>
          </w:p>
        </w:tc>
        <w:tc>
          <w:tcPr>
            <w:tcW w:w="898" w:type="pct"/>
          </w:tcPr>
          <w:p w14:paraId="57EE81A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69.0 ± 21.5</w:t>
            </w:r>
          </w:p>
        </w:tc>
      </w:tr>
      <w:tr w:rsidR="001C3E38" w:rsidRPr="001C3E38" w14:paraId="1FE711AE" w14:textId="77777777" w:rsidTr="00B335AA">
        <w:tc>
          <w:tcPr>
            <w:tcW w:w="205" w:type="pct"/>
          </w:tcPr>
          <w:p w14:paraId="24337D9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w:t>
            </w:r>
          </w:p>
        </w:tc>
        <w:tc>
          <w:tcPr>
            <w:tcW w:w="879" w:type="pct"/>
          </w:tcPr>
          <w:p w14:paraId="6665AA9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Gloria Punta (AP)</w:t>
            </w:r>
          </w:p>
        </w:tc>
        <w:tc>
          <w:tcPr>
            <w:tcW w:w="519" w:type="pct"/>
          </w:tcPr>
          <w:p w14:paraId="654E97E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392</w:t>
            </w:r>
          </w:p>
        </w:tc>
        <w:tc>
          <w:tcPr>
            <w:tcW w:w="519" w:type="pct"/>
          </w:tcPr>
          <w:p w14:paraId="13258CF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47</w:t>
            </w:r>
          </w:p>
        </w:tc>
        <w:tc>
          <w:tcPr>
            <w:tcW w:w="519" w:type="pct"/>
          </w:tcPr>
          <w:p w14:paraId="229D039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15.5</w:t>
            </w:r>
          </w:p>
        </w:tc>
        <w:tc>
          <w:tcPr>
            <w:tcW w:w="237" w:type="pct"/>
          </w:tcPr>
          <w:p w14:paraId="7C9EC1D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717F521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19.0 ± 7.0</w:t>
            </w:r>
          </w:p>
        </w:tc>
        <w:tc>
          <w:tcPr>
            <w:tcW w:w="898" w:type="pct"/>
          </w:tcPr>
          <w:p w14:paraId="3C7CEEE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12.0 ± 4.9</w:t>
            </w:r>
          </w:p>
        </w:tc>
      </w:tr>
      <w:tr w:rsidR="001C3E38" w:rsidRPr="001C3E38" w14:paraId="358938C2" w14:textId="77777777" w:rsidTr="00B335AA">
        <w:tc>
          <w:tcPr>
            <w:tcW w:w="205" w:type="pct"/>
          </w:tcPr>
          <w:p w14:paraId="7E9E054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5</w:t>
            </w:r>
          </w:p>
        </w:tc>
        <w:tc>
          <w:tcPr>
            <w:tcW w:w="879" w:type="pct"/>
          </w:tcPr>
          <w:p w14:paraId="0F3DFA3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Deception Island (SSI)</w:t>
            </w:r>
          </w:p>
        </w:tc>
        <w:tc>
          <w:tcPr>
            <w:tcW w:w="519" w:type="pct"/>
          </w:tcPr>
          <w:p w14:paraId="57B5067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326</w:t>
            </w:r>
          </w:p>
        </w:tc>
        <w:tc>
          <w:tcPr>
            <w:tcW w:w="519" w:type="pct"/>
          </w:tcPr>
          <w:p w14:paraId="56C4FD8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58</w:t>
            </w:r>
          </w:p>
        </w:tc>
        <w:tc>
          <w:tcPr>
            <w:tcW w:w="519" w:type="pct"/>
          </w:tcPr>
          <w:p w14:paraId="5E402EF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14.3</w:t>
            </w:r>
          </w:p>
        </w:tc>
        <w:tc>
          <w:tcPr>
            <w:tcW w:w="237" w:type="pct"/>
          </w:tcPr>
          <w:p w14:paraId="5F578A2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3C5C101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10.9 ± 3.2</w:t>
            </w:r>
          </w:p>
        </w:tc>
        <w:tc>
          <w:tcPr>
            <w:tcW w:w="898" w:type="pct"/>
          </w:tcPr>
          <w:p w14:paraId="32E27AA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277.0 ± 25.1</w:t>
            </w:r>
          </w:p>
        </w:tc>
      </w:tr>
      <w:tr w:rsidR="001C3E38" w:rsidRPr="001C3E38" w14:paraId="0A0EFC77" w14:textId="77777777" w:rsidTr="00B335AA">
        <w:tc>
          <w:tcPr>
            <w:tcW w:w="205" w:type="pct"/>
          </w:tcPr>
          <w:p w14:paraId="6C53324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w:t>
            </w:r>
          </w:p>
        </w:tc>
        <w:tc>
          <w:tcPr>
            <w:tcW w:w="879" w:type="pct"/>
          </w:tcPr>
          <w:p w14:paraId="4EBBE844"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British Point (SSI)</w:t>
            </w:r>
          </w:p>
        </w:tc>
        <w:tc>
          <w:tcPr>
            <w:tcW w:w="519" w:type="pct"/>
          </w:tcPr>
          <w:p w14:paraId="19CA4DE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150</w:t>
            </w:r>
          </w:p>
        </w:tc>
        <w:tc>
          <w:tcPr>
            <w:tcW w:w="519" w:type="pct"/>
          </w:tcPr>
          <w:p w14:paraId="011B383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16</w:t>
            </w:r>
          </w:p>
        </w:tc>
        <w:tc>
          <w:tcPr>
            <w:tcW w:w="519" w:type="pct"/>
          </w:tcPr>
          <w:p w14:paraId="0C4755C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21.4</w:t>
            </w:r>
          </w:p>
        </w:tc>
        <w:tc>
          <w:tcPr>
            <w:tcW w:w="237" w:type="pct"/>
          </w:tcPr>
          <w:p w14:paraId="27B303B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19A381C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5.2 ± 2.1</w:t>
            </w:r>
          </w:p>
        </w:tc>
        <w:tc>
          <w:tcPr>
            <w:tcW w:w="898" w:type="pct"/>
          </w:tcPr>
          <w:p w14:paraId="30B77BA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37.8 ± 10.4</w:t>
            </w:r>
          </w:p>
        </w:tc>
      </w:tr>
      <w:tr w:rsidR="001C3E38" w:rsidRPr="001C3E38" w14:paraId="6F8CF75F" w14:textId="77777777" w:rsidTr="00B335AA">
        <w:tc>
          <w:tcPr>
            <w:tcW w:w="205" w:type="pct"/>
          </w:tcPr>
          <w:p w14:paraId="7BF80DB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7</w:t>
            </w:r>
          </w:p>
        </w:tc>
        <w:tc>
          <w:tcPr>
            <w:tcW w:w="879" w:type="pct"/>
          </w:tcPr>
          <w:p w14:paraId="76327184"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Berry Head (SOI)</w:t>
            </w:r>
          </w:p>
        </w:tc>
        <w:tc>
          <w:tcPr>
            <w:tcW w:w="519" w:type="pct"/>
          </w:tcPr>
          <w:p w14:paraId="0839C35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48</w:t>
            </w:r>
          </w:p>
        </w:tc>
        <w:tc>
          <w:tcPr>
            <w:tcW w:w="519" w:type="pct"/>
          </w:tcPr>
          <w:p w14:paraId="2B07100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w:t>
            </w:r>
          </w:p>
        </w:tc>
        <w:tc>
          <w:tcPr>
            <w:tcW w:w="519" w:type="pct"/>
          </w:tcPr>
          <w:p w14:paraId="48FFDF2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35.9</w:t>
            </w:r>
          </w:p>
        </w:tc>
        <w:tc>
          <w:tcPr>
            <w:tcW w:w="237" w:type="pct"/>
          </w:tcPr>
          <w:p w14:paraId="1B217F0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6F1282B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6.8 ± 4.1</w:t>
            </w:r>
          </w:p>
        </w:tc>
        <w:tc>
          <w:tcPr>
            <w:tcW w:w="898" w:type="pct"/>
          </w:tcPr>
          <w:p w14:paraId="342E4EA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140.8 ± 56.1</w:t>
            </w:r>
          </w:p>
        </w:tc>
      </w:tr>
      <w:tr w:rsidR="001C3E38" w:rsidRPr="001C3E38" w14:paraId="6C47941A" w14:textId="77777777" w:rsidTr="00B335AA">
        <w:tc>
          <w:tcPr>
            <w:tcW w:w="205" w:type="pct"/>
          </w:tcPr>
          <w:p w14:paraId="0DFADE0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8</w:t>
            </w:r>
          </w:p>
        </w:tc>
        <w:tc>
          <w:tcPr>
            <w:tcW w:w="879" w:type="pct"/>
          </w:tcPr>
          <w:p w14:paraId="6C240582"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South Bay (SSI)</w:t>
            </w:r>
          </w:p>
        </w:tc>
        <w:tc>
          <w:tcPr>
            <w:tcW w:w="519" w:type="pct"/>
          </w:tcPr>
          <w:p w14:paraId="3CF4460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72</w:t>
            </w:r>
          </w:p>
        </w:tc>
        <w:tc>
          <w:tcPr>
            <w:tcW w:w="519" w:type="pct"/>
          </w:tcPr>
          <w:p w14:paraId="023094C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23</w:t>
            </w:r>
          </w:p>
        </w:tc>
        <w:tc>
          <w:tcPr>
            <w:tcW w:w="519" w:type="pct"/>
          </w:tcPr>
          <w:p w14:paraId="1CC85C4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20.8</w:t>
            </w:r>
          </w:p>
        </w:tc>
        <w:tc>
          <w:tcPr>
            <w:tcW w:w="237" w:type="pct"/>
          </w:tcPr>
          <w:p w14:paraId="4D88DC4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16782B8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19.8 ± 4.3</w:t>
            </w:r>
          </w:p>
        </w:tc>
        <w:tc>
          <w:tcPr>
            <w:tcW w:w="898" w:type="pct"/>
          </w:tcPr>
          <w:p w14:paraId="1B2B6ED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148.0 ± 20.9</w:t>
            </w:r>
          </w:p>
        </w:tc>
      </w:tr>
      <w:tr w:rsidR="001C3E38" w:rsidRPr="001C3E38" w14:paraId="738CCE98" w14:textId="77777777" w:rsidTr="00B335AA">
        <w:tc>
          <w:tcPr>
            <w:tcW w:w="205" w:type="pct"/>
          </w:tcPr>
          <w:p w14:paraId="1109A88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9</w:t>
            </w:r>
          </w:p>
        </w:tc>
        <w:tc>
          <w:tcPr>
            <w:tcW w:w="879" w:type="pct"/>
          </w:tcPr>
          <w:p w14:paraId="3A92F8EB"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Potter Cove (SSI)</w:t>
            </w:r>
          </w:p>
        </w:tc>
        <w:tc>
          <w:tcPr>
            <w:tcW w:w="519" w:type="pct"/>
          </w:tcPr>
          <w:p w14:paraId="336419D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68</w:t>
            </w:r>
          </w:p>
        </w:tc>
        <w:tc>
          <w:tcPr>
            <w:tcW w:w="519" w:type="pct"/>
          </w:tcPr>
          <w:p w14:paraId="224088C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20</w:t>
            </w:r>
          </w:p>
        </w:tc>
        <w:tc>
          <w:tcPr>
            <w:tcW w:w="519" w:type="pct"/>
          </w:tcPr>
          <w:p w14:paraId="20CCFAB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21.0</w:t>
            </w:r>
          </w:p>
        </w:tc>
        <w:tc>
          <w:tcPr>
            <w:tcW w:w="237" w:type="pct"/>
          </w:tcPr>
          <w:p w14:paraId="72BA001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64A2372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15.3 ± 2.6</w:t>
            </w:r>
          </w:p>
        </w:tc>
        <w:tc>
          <w:tcPr>
            <w:tcW w:w="898" w:type="pct"/>
          </w:tcPr>
          <w:p w14:paraId="3E2A305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147.0 ±13.8</w:t>
            </w:r>
          </w:p>
        </w:tc>
      </w:tr>
      <w:tr w:rsidR="001C3E38" w:rsidRPr="001C3E38" w14:paraId="7DEF0983" w14:textId="77777777" w:rsidTr="00B335AA">
        <w:tc>
          <w:tcPr>
            <w:tcW w:w="205" w:type="pct"/>
          </w:tcPr>
          <w:p w14:paraId="7BDE936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10</w:t>
            </w:r>
          </w:p>
        </w:tc>
        <w:tc>
          <w:tcPr>
            <w:tcW w:w="879" w:type="pct"/>
          </w:tcPr>
          <w:p w14:paraId="24C8DB5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Kerr Point (AP)</w:t>
            </w:r>
          </w:p>
        </w:tc>
        <w:tc>
          <w:tcPr>
            <w:tcW w:w="519" w:type="pct"/>
          </w:tcPr>
          <w:p w14:paraId="4892554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402</w:t>
            </w:r>
          </w:p>
        </w:tc>
        <w:tc>
          <w:tcPr>
            <w:tcW w:w="519" w:type="pct"/>
          </w:tcPr>
          <w:p w14:paraId="30DDFD4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43</w:t>
            </w:r>
          </w:p>
        </w:tc>
        <w:tc>
          <w:tcPr>
            <w:tcW w:w="519" w:type="pct"/>
          </w:tcPr>
          <w:p w14:paraId="4F4B468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12.2</w:t>
            </w:r>
          </w:p>
        </w:tc>
        <w:tc>
          <w:tcPr>
            <w:tcW w:w="237" w:type="pct"/>
          </w:tcPr>
          <w:p w14:paraId="15DD241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5FBEAD5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22.8 ± 2.7</w:t>
            </w:r>
          </w:p>
        </w:tc>
        <w:tc>
          <w:tcPr>
            <w:tcW w:w="898" w:type="pct"/>
          </w:tcPr>
          <w:p w14:paraId="310DEAA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29.2 ± 8.4</w:t>
            </w:r>
          </w:p>
        </w:tc>
      </w:tr>
      <w:tr w:rsidR="001C3E38" w:rsidRPr="001C3E38" w14:paraId="19795736" w14:textId="77777777" w:rsidTr="00B335AA">
        <w:tc>
          <w:tcPr>
            <w:tcW w:w="205" w:type="pct"/>
          </w:tcPr>
          <w:p w14:paraId="564CDD6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11</w:t>
            </w:r>
          </w:p>
        </w:tc>
        <w:tc>
          <w:tcPr>
            <w:tcW w:w="879" w:type="pct"/>
          </w:tcPr>
          <w:p w14:paraId="5DD77BBB"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Cheshire Island (AP)</w:t>
            </w:r>
          </w:p>
        </w:tc>
        <w:tc>
          <w:tcPr>
            <w:tcW w:w="519" w:type="pct"/>
          </w:tcPr>
          <w:p w14:paraId="2EB2ACA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41</w:t>
            </w:r>
          </w:p>
        </w:tc>
        <w:tc>
          <w:tcPr>
            <w:tcW w:w="519" w:type="pct"/>
          </w:tcPr>
          <w:p w14:paraId="1797000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w:t>
            </w:r>
          </w:p>
        </w:tc>
        <w:tc>
          <w:tcPr>
            <w:tcW w:w="519" w:type="pct"/>
          </w:tcPr>
          <w:p w14:paraId="16E7DEB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32.8</w:t>
            </w:r>
          </w:p>
        </w:tc>
        <w:tc>
          <w:tcPr>
            <w:tcW w:w="237" w:type="pct"/>
          </w:tcPr>
          <w:p w14:paraId="5857B65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37FC349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18.6 ± 5.7</w:t>
            </w:r>
          </w:p>
        </w:tc>
        <w:tc>
          <w:tcPr>
            <w:tcW w:w="898" w:type="pct"/>
          </w:tcPr>
          <w:p w14:paraId="6179D1F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207.8 ± 53.2</w:t>
            </w:r>
          </w:p>
        </w:tc>
      </w:tr>
      <w:tr w:rsidR="001C3E38" w:rsidRPr="001C3E38" w14:paraId="64B8264F" w14:textId="77777777" w:rsidTr="00B335AA">
        <w:tc>
          <w:tcPr>
            <w:tcW w:w="205" w:type="pct"/>
          </w:tcPr>
          <w:p w14:paraId="5F1381F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w:t>
            </w:r>
          </w:p>
        </w:tc>
        <w:tc>
          <w:tcPr>
            <w:tcW w:w="879" w:type="pct"/>
          </w:tcPr>
          <w:p w14:paraId="0A6DC84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Theta Islands (AP)</w:t>
            </w:r>
          </w:p>
        </w:tc>
        <w:tc>
          <w:tcPr>
            <w:tcW w:w="519" w:type="pct"/>
          </w:tcPr>
          <w:p w14:paraId="30A94D0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41</w:t>
            </w:r>
          </w:p>
        </w:tc>
        <w:tc>
          <w:tcPr>
            <w:tcW w:w="519" w:type="pct"/>
          </w:tcPr>
          <w:p w14:paraId="69FD857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24</w:t>
            </w:r>
          </w:p>
        </w:tc>
        <w:tc>
          <w:tcPr>
            <w:tcW w:w="519" w:type="pct"/>
          </w:tcPr>
          <w:p w14:paraId="3DF7458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19.6</w:t>
            </w:r>
          </w:p>
        </w:tc>
        <w:tc>
          <w:tcPr>
            <w:tcW w:w="237" w:type="pct"/>
          </w:tcPr>
          <w:p w14:paraId="5234526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3C4ABA0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31.5 ± 4.0</w:t>
            </w:r>
          </w:p>
        </w:tc>
        <w:tc>
          <w:tcPr>
            <w:tcW w:w="898" w:type="pct"/>
          </w:tcPr>
          <w:p w14:paraId="19D03CC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246.3 ± 15.36</w:t>
            </w:r>
          </w:p>
        </w:tc>
      </w:tr>
      <w:tr w:rsidR="001C3E38" w:rsidRPr="001C3E38" w14:paraId="35C93C69" w14:textId="77777777" w:rsidTr="00B335AA">
        <w:tc>
          <w:tcPr>
            <w:tcW w:w="205" w:type="pct"/>
          </w:tcPr>
          <w:p w14:paraId="07A28F4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13</w:t>
            </w:r>
          </w:p>
        </w:tc>
        <w:tc>
          <w:tcPr>
            <w:tcW w:w="879" w:type="pct"/>
          </w:tcPr>
          <w:p w14:paraId="025E48F8"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Walker Bay (SSI)</w:t>
            </w:r>
          </w:p>
        </w:tc>
        <w:tc>
          <w:tcPr>
            <w:tcW w:w="519" w:type="pct"/>
          </w:tcPr>
          <w:p w14:paraId="762206D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64</w:t>
            </w:r>
          </w:p>
        </w:tc>
        <w:tc>
          <w:tcPr>
            <w:tcW w:w="519" w:type="pct"/>
          </w:tcPr>
          <w:p w14:paraId="126D618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30</w:t>
            </w:r>
          </w:p>
        </w:tc>
        <w:tc>
          <w:tcPr>
            <w:tcW w:w="519" w:type="pct"/>
          </w:tcPr>
          <w:p w14:paraId="0942D5A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14.6</w:t>
            </w:r>
          </w:p>
        </w:tc>
        <w:tc>
          <w:tcPr>
            <w:tcW w:w="237" w:type="pct"/>
          </w:tcPr>
          <w:p w14:paraId="640B333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1CB7E29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16.0 ± 3.7</w:t>
            </w:r>
          </w:p>
        </w:tc>
        <w:tc>
          <w:tcPr>
            <w:tcW w:w="898" w:type="pct"/>
          </w:tcPr>
          <w:p w14:paraId="557CF4D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176.1 ± 20.0</w:t>
            </w:r>
          </w:p>
        </w:tc>
      </w:tr>
      <w:tr w:rsidR="001C3E38" w:rsidRPr="001C3E38" w14:paraId="2BE850BA" w14:textId="77777777" w:rsidTr="00B335AA">
        <w:tc>
          <w:tcPr>
            <w:tcW w:w="205" w:type="pct"/>
          </w:tcPr>
          <w:p w14:paraId="041F685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w:t>
            </w:r>
          </w:p>
        </w:tc>
        <w:tc>
          <w:tcPr>
            <w:tcW w:w="879" w:type="pct"/>
          </w:tcPr>
          <w:p w14:paraId="43F3273A"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Point Thomas (SSI)</w:t>
            </w:r>
          </w:p>
        </w:tc>
        <w:tc>
          <w:tcPr>
            <w:tcW w:w="519" w:type="pct"/>
          </w:tcPr>
          <w:p w14:paraId="6234B07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125</w:t>
            </w:r>
          </w:p>
        </w:tc>
        <w:tc>
          <w:tcPr>
            <w:tcW w:w="519" w:type="pct"/>
          </w:tcPr>
          <w:p w14:paraId="1A61A6C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22</w:t>
            </w:r>
          </w:p>
        </w:tc>
        <w:tc>
          <w:tcPr>
            <w:tcW w:w="519" w:type="pct"/>
          </w:tcPr>
          <w:p w14:paraId="2F4733C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12.8</w:t>
            </w:r>
          </w:p>
        </w:tc>
        <w:tc>
          <w:tcPr>
            <w:tcW w:w="237" w:type="pct"/>
          </w:tcPr>
          <w:p w14:paraId="599AF259"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285026F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15.9 ± 2.6</w:t>
            </w:r>
          </w:p>
        </w:tc>
        <w:tc>
          <w:tcPr>
            <w:tcW w:w="898" w:type="pct"/>
          </w:tcPr>
          <w:p w14:paraId="25F4658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59.6 ± 3.4</w:t>
            </w:r>
          </w:p>
        </w:tc>
      </w:tr>
      <w:tr w:rsidR="001C3E38" w:rsidRPr="001C3E38" w14:paraId="05F530F8" w14:textId="77777777" w:rsidTr="00B335AA">
        <w:tc>
          <w:tcPr>
            <w:tcW w:w="205" w:type="pct"/>
          </w:tcPr>
          <w:p w14:paraId="0A6DB12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w:t>
            </w:r>
          </w:p>
        </w:tc>
        <w:tc>
          <w:tcPr>
            <w:tcW w:w="879" w:type="pct"/>
          </w:tcPr>
          <w:p w14:paraId="2D313CB8" w14:textId="77777777" w:rsidR="001C3E38" w:rsidRPr="001C3E38" w:rsidRDefault="001C3E38" w:rsidP="00B335AA">
            <w:pPr>
              <w:pStyle w:val="Compact"/>
              <w:jc w:val="left"/>
              <w:rPr>
                <w:rFonts w:ascii="Times New Roman" w:hAnsi="Times New Roman" w:cs="Times New Roman"/>
                <w:sz w:val="18"/>
                <w:szCs w:val="18"/>
              </w:rPr>
            </w:pPr>
            <w:proofErr w:type="spellStart"/>
            <w:r w:rsidRPr="001C3E38">
              <w:rPr>
                <w:rFonts w:ascii="Times New Roman" w:hAnsi="Times New Roman" w:cs="Times New Roman"/>
                <w:sz w:val="18"/>
                <w:szCs w:val="18"/>
              </w:rPr>
              <w:t>Coughtrey</w:t>
            </w:r>
            <w:proofErr w:type="spellEnd"/>
            <w:r w:rsidRPr="001C3E38">
              <w:rPr>
                <w:rFonts w:ascii="Times New Roman" w:hAnsi="Times New Roman" w:cs="Times New Roman"/>
                <w:sz w:val="18"/>
                <w:szCs w:val="18"/>
              </w:rPr>
              <w:t xml:space="preserve"> Peninsula (AP)</w:t>
            </w:r>
          </w:p>
        </w:tc>
        <w:tc>
          <w:tcPr>
            <w:tcW w:w="519" w:type="pct"/>
          </w:tcPr>
          <w:p w14:paraId="54F330B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287</w:t>
            </w:r>
          </w:p>
        </w:tc>
        <w:tc>
          <w:tcPr>
            <w:tcW w:w="519" w:type="pct"/>
          </w:tcPr>
          <w:p w14:paraId="10A1B0F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38</w:t>
            </w:r>
          </w:p>
        </w:tc>
        <w:tc>
          <w:tcPr>
            <w:tcW w:w="519" w:type="pct"/>
          </w:tcPr>
          <w:p w14:paraId="260E68D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10.0</w:t>
            </w:r>
          </w:p>
        </w:tc>
        <w:tc>
          <w:tcPr>
            <w:tcW w:w="237" w:type="pct"/>
          </w:tcPr>
          <w:p w14:paraId="11D9D98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6D7AD17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8.4 ± 2.3</w:t>
            </w:r>
          </w:p>
        </w:tc>
        <w:tc>
          <w:tcPr>
            <w:tcW w:w="898" w:type="pct"/>
          </w:tcPr>
          <w:p w14:paraId="1BC23EF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6.2 ± 4.3</w:t>
            </w:r>
          </w:p>
        </w:tc>
      </w:tr>
      <w:tr w:rsidR="001C3E38" w:rsidRPr="001C3E38" w14:paraId="2BF93996" w14:textId="77777777" w:rsidTr="00B335AA">
        <w:tc>
          <w:tcPr>
            <w:tcW w:w="205" w:type="pct"/>
          </w:tcPr>
          <w:p w14:paraId="2A643AE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16</w:t>
            </w:r>
          </w:p>
        </w:tc>
        <w:tc>
          <w:tcPr>
            <w:tcW w:w="879" w:type="pct"/>
          </w:tcPr>
          <w:p w14:paraId="6234EBE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Bombay Island (AP)</w:t>
            </w:r>
          </w:p>
        </w:tc>
        <w:tc>
          <w:tcPr>
            <w:tcW w:w="519" w:type="pct"/>
          </w:tcPr>
          <w:p w14:paraId="234B3FB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82</w:t>
            </w:r>
          </w:p>
        </w:tc>
        <w:tc>
          <w:tcPr>
            <w:tcW w:w="519" w:type="pct"/>
          </w:tcPr>
          <w:p w14:paraId="18D8CCF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26</w:t>
            </w:r>
          </w:p>
        </w:tc>
        <w:tc>
          <w:tcPr>
            <w:tcW w:w="519" w:type="pct"/>
          </w:tcPr>
          <w:p w14:paraId="503BE60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w:t>
            </w:r>
          </w:p>
        </w:tc>
        <w:tc>
          <w:tcPr>
            <w:tcW w:w="237" w:type="pct"/>
          </w:tcPr>
          <w:p w14:paraId="24F3E97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3C50550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18.8 ± 3.9</w:t>
            </w:r>
          </w:p>
        </w:tc>
        <w:tc>
          <w:tcPr>
            <w:tcW w:w="898" w:type="pct"/>
          </w:tcPr>
          <w:p w14:paraId="70DB668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234.6 ± 8.7</w:t>
            </w:r>
          </w:p>
        </w:tc>
      </w:tr>
      <w:tr w:rsidR="001C3E38" w:rsidRPr="001C3E38" w14:paraId="30915CAC" w14:textId="77777777" w:rsidTr="00B335AA">
        <w:tc>
          <w:tcPr>
            <w:tcW w:w="205" w:type="pct"/>
          </w:tcPr>
          <w:p w14:paraId="132302B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17</w:t>
            </w:r>
          </w:p>
        </w:tc>
        <w:tc>
          <w:tcPr>
            <w:tcW w:w="879" w:type="pct"/>
          </w:tcPr>
          <w:p w14:paraId="412CDEEF"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Argentine Islands (AP)</w:t>
            </w:r>
          </w:p>
        </w:tc>
        <w:tc>
          <w:tcPr>
            <w:tcW w:w="519" w:type="pct"/>
          </w:tcPr>
          <w:p w14:paraId="71713B3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82</w:t>
            </w:r>
          </w:p>
        </w:tc>
        <w:tc>
          <w:tcPr>
            <w:tcW w:w="519" w:type="pct"/>
          </w:tcPr>
          <w:p w14:paraId="1FFA406B"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25</w:t>
            </w:r>
          </w:p>
        </w:tc>
        <w:tc>
          <w:tcPr>
            <w:tcW w:w="519" w:type="pct"/>
          </w:tcPr>
          <w:p w14:paraId="5E86179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12.4</w:t>
            </w:r>
          </w:p>
        </w:tc>
        <w:tc>
          <w:tcPr>
            <w:tcW w:w="237" w:type="pct"/>
          </w:tcPr>
          <w:p w14:paraId="594504EE"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47DAF3F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15.9 ± 2.5</w:t>
            </w:r>
          </w:p>
        </w:tc>
        <w:tc>
          <w:tcPr>
            <w:tcW w:w="898" w:type="pct"/>
          </w:tcPr>
          <w:p w14:paraId="35CDBB2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145.6 ± 20.7</w:t>
            </w:r>
          </w:p>
        </w:tc>
      </w:tr>
      <w:tr w:rsidR="001C3E38" w:rsidRPr="001C3E38" w14:paraId="3C60BC94" w14:textId="77777777" w:rsidTr="00B335AA">
        <w:tc>
          <w:tcPr>
            <w:tcW w:w="205" w:type="pct"/>
          </w:tcPr>
          <w:p w14:paraId="539D115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18</w:t>
            </w:r>
          </w:p>
        </w:tc>
        <w:tc>
          <w:tcPr>
            <w:tcW w:w="879" w:type="pct"/>
          </w:tcPr>
          <w:p w14:paraId="4BAF352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 xml:space="preserve">Girardi, </w:t>
            </w:r>
            <w:proofErr w:type="spellStart"/>
            <w:r w:rsidRPr="001C3E38">
              <w:rPr>
                <w:rFonts w:ascii="Times New Roman" w:hAnsi="Times New Roman" w:cs="Times New Roman"/>
                <w:sz w:val="18"/>
                <w:szCs w:val="18"/>
              </w:rPr>
              <w:t>Islote</w:t>
            </w:r>
            <w:proofErr w:type="spellEnd"/>
            <w:r w:rsidRPr="001C3E38">
              <w:rPr>
                <w:rFonts w:ascii="Times New Roman" w:hAnsi="Times New Roman" w:cs="Times New Roman"/>
                <w:sz w:val="18"/>
                <w:szCs w:val="18"/>
              </w:rPr>
              <w:t xml:space="preserve"> (SSI)</w:t>
            </w:r>
          </w:p>
        </w:tc>
        <w:tc>
          <w:tcPr>
            <w:tcW w:w="519" w:type="pct"/>
          </w:tcPr>
          <w:p w14:paraId="1B9737B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269</w:t>
            </w:r>
          </w:p>
        </w:tc>
        <w:tc>
          <w:tcPr>
            <w:tcW w:w="519" w:type="pct"/>
          </w:tcPr>
          <w:p w14:paraId="13414EC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44</w:t>
            </w:r>
          </w:p>
        </w:tc>
        <w:tc>
          <w:tcPr>
            <w:tcW w:w="519" w:type="pct"/>
          </w:tcPr>
          <w:p w14:paraId="4B79212F"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9.7</w:t>
            </w:r>
          </w:p>
        </w:tc>
        <w:tc>
          <w:tcPr>
            <w:tcW w:w="237" w:type="pct"/>
          </w:tcPr>
          <w:p w14:paraId="00FAD49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31B9F6B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30.3 ± 2.2</w:t>
            </w:r>
          </w:p>
        </w:tc>
        <w:tc>
          <w:tcPr>
            <w:tcW w:w="898" w:type="pct"/>
          </w:tcPr>
          <w:p w14:paraId="463A0F10"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226.0 ± 23.0</w:t>
            </w:r>
          </w:p>
        </w:tc>
      </w:tr>
      <w:tr w:rsidR="001C3E38" w:rsidRPr="001C3E38" w14:paraId="2FEA9A50" w14:textId="77777777" w:rsidTr="00B335AA">
        <w:tc>
          <w:tcPr>
            <w:tcW w:w="205" w:type="pct"/>
          </w:tcPr>
          <w:p w14:paraId="662F612A"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19</w:t>
            </w:r>
          </w:p>
        </w:tc>
        <w:tc>
          <w:tcPr>
            <w:tcW w:w="879" w:type="pct"/>
          </w:tcPr>
          <w:p w14:paraId="42AF7B93"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 xml:space="preserve">Mario </w:t>
            </w:r>
            <w:proofErr w:type="spellStart"/>
            <w:r w:rsidRPr="001C3E38">
              <w:rPr>
                <w:rFonts w:ascii="Times New Roman" w:hAnsi="Times New Roman" w:cs="Times New Roman"/>
                <w:sz w:val="18"/>
                <w:szCs w:val="18"/>
              </w:rPr>
              <w:t>Zucchelli</w:t>
            </w:r>
            <w:proofErr w:type="spellEnd"/>
            <w:r w:rsidRPr="001C3E38">
              <w:rPr>
                <w:rFonts w:ascii="Times New Roman" w:hAnsi="Times New Roman" w:cs="Times New Roman"/>
                <w:sz w:val="18"/>
                <w:szCs w:val="18"/>
              </w:rPr>
              <w:t xml:space="preserve"> Station (RS)</w:t>
            </w:r>
          </w:p>
        </w:tc>
        <w:tc>
          <w:tcPr>
            <w:tcW w:w="519" w:type="pct"/>
          </w:tcPr>
          <w:p w14:paraId="61247EC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23</w:t>
            </w:r>
          </w:p>
        </w:tc>
        <w:tc>
          <w:tcPr>
            <w:tcW w:w="519" w:type="pct"/>
          </w:tcPr>
          <w:p w14:paraId="5020AA54"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11</w:t>
            </w:r>
          </w:p>
        </w:tc>
        <w:tc>
          <w:tcPr>
            <w:tcW w:w="519" w:type="pct"/>
          </w:tcPr>
          <w:p w14:paraId="1033330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23.5</w:t>
            </w:r>
          </w:p>
        </w:tc>
        <w:tc>
          <w:tcPr>
            <w:tcW w:w="237" w:type="pct"/>
          </w:tcPr>
          <w:p w14:paraId="17397D92"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1392FE5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8.6 ± 3.7</w:t>
            </w:r>
          </w:p>
        </w:tc>
        <w:tc>
          <w:tcPr>
            <w:tcW w:w="898" w:type="pct"/>
          </w:tcPr>
          <w:p w14:paraId="09342135"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74.6 ± 12.3</w:t>
            </w:r>
          </w:p>
        </w:tc>
      </w:tr>
      <w:tr w:rsidR="001C3E38" w:rsidRPr="001C3E38" w14:paraId="448EF5A5" w14:textId="77777777" w:rsidTr="00B335AA">
        <w:tc>
          <w:tcPr>
            <w:tcW w:w="205" w:type="pct"/>
            <w:tcBorders>
              <w:bottom w:val="single" w:sz="4" w:space="0" w:color="auto"/>
            </w:tcBorders>
          </w:tcPr>
          <w:p w14:paraId="562EC168"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20</w:t>
            </w:r>
          </w:p>
        </w:tc>
        <w:tc>
          <w:tcPr>
            <w:tcW w:w="879" w:type="pct"/>
            <w:tcBorders>
              <w:bottom w:val="single" w:sz="4" w:space="0" w:color="auto"/>
            </w:tcBorders>
          </w:tcPr>
          <w:p w14:paraId="5ABEA485" w14:textId="77777777" w:rsidR="001C3E38" w:rsidRPr="001C3E38" w:rsidRDefault="001C3E38" w:rsidP="00B335AA">
            <w:pPr>
              <w:pStyle w:val="Compact"/>
              <w:jc w:val="left"/>
              <w:rPr>
                <w:rFonts w:ascii="Times New Roman" w:hAnsi="Times New Roman" w:cs="Times New Roman"/>
                <w:sz w:val="18"/>
                <w:szCs w:val="18"/>
              </w:rPr>
            </w:pPr>
            <w:proofErr w:type="spellStart"/>
            <w:r w:rsidRPr="001C3E38">
              <w:rPr>
                <w:rFonts w:ascii="Times New Roman" w:hAnsi="Times New Roman" w:cs="Times New Roman"/>
                <w:sz w:val="18"/>
                <w:szCs w:val="18"/>
              </w:rPr>
              <w:t>Andvord</w:t>
            </w:r>
            <w:proofErr w:type="spellEnd"/>
            <w:r w:rsidRPr="001C3E38">
              <w:rPr>
                <w:rFonts w:ascii="Times New Roman" w:hAnsi="Times New Roman" w:cs="Times New Roman"/>
                <w:sz w:val="18"/>
                <w:szCs w:val="18"/>
              </w:rPr>
              <w:t xml:space="preserve"> Bay (AP)</w:t>
            </w:r>
          </w:p>
        </w:tc>
        <w:tc>
          <w:tcPr>
            <w:tcW w:w="519" w:type="pct"/>
            <w:tcBorders>
              <w:bottom w:val="single" w:sz="4" w:space="0" w:color="auto"/>
            </w:tcBorders>
          </w:tcPr>
          <w:p w14:paraId="5EBA782D"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312</w:t>
            </w:r>
          </w:p>
        </w:tc>
        <w:tc>
          <w:tcPr>
            <w:tcW w:w="519" w:type="pct"/>
            <w:tcBorders>
              <w:bottom w:val="single" w:sz="4" w:space="0" w:color="auto"/>
            </w:tcBorders>
          </w:tcPr>
          <w:p w14:paraId="32A14BD6"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39</w:t>
            </w:r>
          </w:p>
        </w:tc>
        <w:tc>
          <w:tcPr>
            <w:tcW w:w="519" w:type="pct"/>
            <w:tcBorders>
              <w:bottom w:val="single" w:sz="4" w:space="0" w:color="auto"/>
            </w:tcBorders>
          </w:tcPr>
          <w:p w14:paraId="70E72363"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9.2</w:t>
            </w:r>
          </w:p>
        </w:tc>
        <w:tc>
          <w:tcPr>
            <w:tcW w:w="237" w:type="pct"/>
            <w:tcBorders>
              <w:bottom w:val="single" w:sz="4" w:space="0" w:color="auto"/>
            </w:tcBorders>
          </w:tcPr>
          <w:p w14:paraId="6E457437"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Borders>
              <w:bottom w:val="single" w:sz="4" w:space="0" w:color="auto"/>
            </w:tcBorders>
          </w:tcPr>
          <w:p w14:paraId="79884781"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21.2 ± 3.1</w:t>
            </w:r>
          </w:p>
        </w:tc>
        <w:tc>
          <w:tcPr>
            <w:tcW w:w="898" w:type="pct"/>
            <w:tcBorders>
              <w:bottom w:val="single" w:sz="4" w:space="0" w:color="auto"/>
            </w:tcBorders>
          </w:tcPr>
          <w:p w14:paraId="7C2C24DC" w14:textId="77777777" w:rsidR="001C3E38" w:rsidRPr="001C3E38" w:rsidRDefault="001C3E38" w:rsidP="00B335AA">
            <w:pPr>
              <w:pStyle w:val="Compact"/>
              <w:rPr>
                <w:rFonts w:ascii="Times New Roman" w:hAnsi="Times New Roman" w:cs="Times New Roman"/>
                <w:sz w:val="18"/>
                <w:szCs w:val="18"/>
              </w:rPr>
            </w:pPr>
            <w:r w:rsidRPr="001C3E38">
              <w:rPr>
                <w:rFonts w:ascii="Times New Roman" w:hAnsi="Times New Roman" w:cs="Times New Roman"/>
                <w:sz w:val="18"/>
                <w:szCs w:val="18"/>
              </w:rPr>
              <w:t>13.6 ± 3.5</w:t>
            </w:r>
          </w:p>
        </w:tc>
      </w:tr>
      <w:tr w:rsidR="001C3E38" w:rsidRPr="001C3E38" w14:paraId="58E92170" w14:textId="77777777" w:rsidTr="00B335AA">
        <w:trPr>
          <w:trHeight w:val="121"/>
        </w:trPr>
        <w:tc>
          <w:tcPr>
            <w:tcW w:w="205" w:type="pct"/>
            <w:tcBorders>
              <w:top w:val="single" w:sz="4" w:space="0" w:color="auto"/>
              <w:bottom w:val="single" w:sz="4" w:space="0" w:color="auto"/>
            </w:tcBorders>
            <w:shd w:val="clear" w:color="auto" w:fill="F2F2F2" w:themeFill="background1" w:themeFillShade="F2"/>
            <w:vAlign w:val="center"/>
          </w:tcPr>
          <w:p w14:paraId="3B72A02C" w14:textId="77777777" w:rsidR="001C3E38" w:rsidRPr="001C3E38" w:rsidRDefault="001C3E38" w:rsidP="00B335AA">
            <w:pPr>
              <w:pStyle w:val="Compact"/>
              <w:jc w:val="center"/>
              <w:rPr>
                <w:rFonts w:ascii="Times New Roman" w:hAnsi="Times New Roman" w:cs="Times New Roman"/>
                <w:sz w:val="18"/>
                <w:szCs w:val="18"/>
              </w:rPr>
            </w:pPr>
          </w:p>
        </w:tc>
        <w:tc>
          <w:tcPr>
            <w:tcW w:w="879" w:type="pct"/>
            <w:tcBorders>
              <w:top w:val="single" w:sz="4" w:space="0" w:color="auto"/>
              <w:bottom w:val="single" w:sz="4" w:space="0" w:color="auto"/>
            </w:tcBorders>
            <w:shd w:val="clear" w:color="auto" w:fill="F2F2F2" w:themeFill="background1" w:themeFillShade="F2"/>
            <w:vAlign w:val="center"/>
          </w:tcPr>
          <w:p w14:paraId="37777AAC" w14:textId="77777777" w:rsidR="001C3E38" w:rsidRPr="001C3E38" w:rsidRDefault="001C3E38" w:rsidP="00B335AA">
            <w:pPr>
              <w:pStyle w:val="Compact"/>
              <w:jc w:val="center"/>
              <w:rPr>
                <w:rFonts w:ascii="Times New Roman" w:hAnsi="Times New Roman" w:cs="Times New Roman"/>
                <w:sz w:val="18"/>
                <w:szCs w:val="18"/>
              </w:rPr>
            </w:pPr>
            <w:r w:rsidRPr="001C3E38">
              <w:rPr>
                <w:rFonts w:ascii="Times New Roman" w:hAnsi="Times New Roman" w:cs="Times New Roman"/>
                <w:sz w:val="18"/>
                <w:szCs w:val="18"/>
              </w:rPr>
              <w:t>EAST</w:t>
            </w:r>
          </w:p>
        </w:tc>
        <w:tc>
          <w:tcPr>
            <w:tcW w:w="519" w:type="pct"/>
            <w:tcBorders>
              <w:top w:val="single" w:sz="4" w:space="0" w:color="auto"/>
              <w:bottom w:val="single" w:sz="4" w:space="0" w:color="auto"/>
            </w:tcBorders>
            <w:shd w:val="clear" w:color="auto" w:fill="F2F2F2" w:themeFill="background1" w:themeFillShade="F2"/>
            <w:vAlign w:val="center"/>
          </w:tcPr>
          <w:p w14:paraId="7DA9E548" w14:textId="77777777" w:rsidR="001C3E38" w:rsidRPr="001C3E38" w:rsidRDefault="001C3E38" w:rsidP="00B335AA">
            <w:pPr>
              <w:pStyle w:val="Compact"/>
              <w:jc w:val="center"/>
              <w:rPr>
                <w:rFonts w:ascii="Times New Roman" w:hAnsi="Times New Roman" w:cs="Times New Roman"/>
                <w:sz w:val="18"/>
                <w:szCs w:val="18"/>
              </w:rPr>
            </w:pPr>
            <w:r w:rsidRPr="001C3E38">
              <w:rPr>
                <w:rFonts w:ascii="Times New Roman" w:hAnsi="Times New Roman" w:cs="Times New Roman"/>
                <w:sz w:val="18"/>
                <w:szCs w:val="18"/>
              </w:rPr>
              <w:t>ANTARCTIC</w:t>
            </w:r>
          </w:p>
        </w:tc>
        <w:tc>
          <w:tcPr>
            <w:tcW w:w="519" w:type="pct"/>
            <w:tcBorders>
              <w:top w:val="single" w:sz="4" w:space="0" w:color="auto"/>
              <w:bottom w:val="single" w:sz="4" w:space="0" w:color="auto"/>
            </w:tcBorders>
            <w:shd w:val="clear" w:color="auto" w:fill="F2F2F2" w:themeFill="background1" w:themeFillShade="F2"/>
            <w:vAlign w:val="center"/>
          </w:tcPr>
          <w:p w14:paraId="79CE0253" w14:textId="77777777" w:rsidR="001C3E38" w:rsidRPr="001C3E38" w:rsidRDefault="001C3E38" w:rsidP="00B335AA">
            <w:pPr>
              <w:pStyle w:val="Compact"/>
              <w:jc w:val="center"/>
              <w:rPr>
                <w:rFonts w:ascii="Times New Roman" w:hAnsi="Times New Roman" w:cs="Times New Roman"/>
                <w:sz w:val="18"/>
                <w:szCs w:val="18"/>
              </w:rPr>
            </w:pPr>
            <w:r w:rsidRPr="001C3E38">
              <w:rPr>
                <w:rFonts w:ascii="Times New Roman" w:hAnsi="Times New Roman" w:cs="Times New Roman"/>
                <w:sz w:val="18"/>
                <w:szCs w:val="18"/>
              </w:rPr>
              <w:t>LOCATIONS</w:t>
            </w:r>
          </w:p>
        </w:tc>
        <w:tc>
          <w:tcPr>
            <w:tcW w:w="519" w:type="pct"/>
            <w:tcBorders>
              <w:top w:val="single" w:sz="4" w:space="0" w:color="auto"/>
              <w:bottom w:val="single" w:sz="4" w:space="0" w:color="auto"/>
            </w:tcBorders>
            <w:shd w:val="clear" w:color="auto" w:fill="F2F2F2" w:themeFill="background1" w:themeFillShade="F2"/>
            <w:vAlign w:val="center"/>
          </w:tcPr>
          <w:p w14:paraId="6F3C1E10" w14:textId="77777777" w:rsidR="001C3E38" w:rsidRPr="001C3E38" w:rsidRDefault="001C3E38" w:rsidP="00B335AA">
            <w:pPr>
              <w:pStyle w:val="Compact"/>
              <w:jc w:val="center"/>
              <w:rPr>
                <w:rFonts w:ascii="Times New Roman" w:hAnsi="Times New Roman" w:cs="Times New Roman"/>
                <w:sz w:val="18"/>
                <w:szCs w:val="18"/>
              </w:rPr>
            </w:pPr>
            <w:r w:rsidRPr="001C3E38">
              <w:rPr>
                <w:rFonts w:ascii="Times New Roman" w:hAnsi="Times New Roman" w:cs="Times New Roman"/>
                <w:sz w:val="18"/>
                <w:szCs w:val="18"/>
              </w:rPr>
              <w:t>FOR</w:t>
            </w:r>
          </w:p>
        </w:tc>
        <w:tc>
          <w:tcPr>
            <w:tcW w:w="237" w:type="pct"/>
            <w:tcBorders>
              <w:top w:val="single" w:sz="4" w:space="0" w:color="auto"/>
              <w:bottom w:val="single" w:sz="4" w:space="0" w:color="auto"/>
            </w:tcBorders>
            <w:shd w:val="clear" w:color="auto" w:fill="F2F2F2" w:themeFill="background1" w:themeFillShade="F2"/>
            <w:vAlign w:val="center"/>
          </w:tcPr>
          <w:p w14:paraId="705A4C03" w14:textId="77777777" w:rsidR="001C3E38" w:rsidRPr="001C3E38" w:rsidRDefault="001C3E38" w:rsidP="00B335AA">
            <w:pPr>
              <w:pStyle w:val="Compact"/>
              <w:jc w:val="center"/>
              <w:rPr>
                <w:rFonts w:ascii="Times New Roman" w:hAnsi="Times New Roman" w:cs="Times New Roman"/>
                <w:sz w:val="18"/>
                <w:szCs w:val="18"/>
              </w:rPr>
            </w:pPr>
          </w:p>
        </w:tc>
        <w:tc>
          <w:tcPr>
            <w:tcW w:w="1226" w:type="pct"/>
            <w:tcBorders>
              <w:top w:val="single" w:sz="4" w:space="0" w:color="auto"/>
              <w:bottom w:val="single" w:sz="4" w:space="0" w:color="auto"/>
            </w:tcBorders>
            <w:shd w:val="clear" w:color="auto" w:fill="F2F2F2" w:themeFill="background1" w:themeFillShade="F2"/>
            <w:vAlign w:val="center"/>
          </w:tcPr>
          <w:p w14:paraId="53230733" w14:textId="77777777" w:rsidR="001C3E38" w:rsidRPr="001C3E38" w:rsidRDefault="001C3E38" w:rsidP="00B335AA">
            <w:pPr>
              <w:pStyle w:val="Compact"/>
              <w:jc w:val="center"/>
              <w:rPr>
                <w:rFonts w:ascii="Times New Roman" w:hAnsi="Times New Roman" w:cs="Times New Roman"/>
                <w:sz w:val="18"/>
                <w:szCs w:val="18"/>
              </w:rPr>
            </w:pPr>
            <w:r w:rsidRPr="001C3E38">
              <w:rPr>
                <w:rFonts w:ascii="Times New Roman" w:hAnsi="Times New Roman" w:cs="Times New Roman"/>
                <w:sz w:val="18"/>
                <w:szCs w:val="18"/>
              </w:rPr>
              <w:t>COMPARISON</w:t>
            </w:r>
          </w:p>
        </w:tc>
        <w:tc>
          <w:tcPr>
            <w:tcW w:w="898" w:type="pct"/>
            <w:tcBorders>
              <w:top w:val="single" w:sz="4" w:space="0" w:color="auto"/>
              <w:bottom w:val="single" w:sz="4" w:space="0" w:color="auto"/>
            </w:tcBorders>
            <w:shd w:val="clear" w:color="auto" w:fill="F2F2F2" w:themeFill="background1" w:themeFillShade="F2"/>
            <w:vAlign w:val="center"/>
          </w:tcPr>
          <w:p w14:paraId="01D80FF7" w14:textId="77777777" w:rsidR="001C3E38" w:rsidRPr="001C3E38" w:rsidRDefault="001C3E38" w:rsidP="00B335AA">
            <w:pPr>
              <w:pStyle w:val="Compact"/>
              <w:jc w:val="center"/>
              <w:rPr>
                <w:rFonts w:ascii="Times New Roman" w:hAnsi="Times New Roman" w:cs="Times New Roman"/>
                <w:sz w:val="18"/>
                <w:szCs w:val="18"/>
              </w:rPr>
            </w:pPr>
          </w:p>
        </w:tc>
      </w:tr>
      <w:tr w:rsidR="001C3E38" w:rsidRPr="001C3E38" w14:paraId="23D328BE" w14:textId="77777777" w:rsidTr="00B335AA">
        <w:trPr>
          <w:trHeight w:val="195"/>
        </w:trPr>
        <w:tc>
          <w:tcPr>
            <w:tcW w:w="205" w:type="pct"/>
            <w:tcBorders>
              <w:top w:val="single" w:sz="4" w:space="0" w:color="auto"/>
            </w:tcBorders>
          </w:tcPr>
          <w:p w14:paraId="02B4B41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32</w:t>
            </w:r>
          </w:p>
        </w:tc>
        <w:tc>
          <w:tcPr>
            <w:tcW w:w="879" w:type="pct"/>
            <w:tcBorders>
              <w:top w:val="single" w:sz="4" w:space="0" w:color="auto"/>
            </w:tcBorders>
          </w:tcPr>
          <w:p w14:paraId="696C8348"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Arrival Heights</w:t>
            </w:r>
          </w:p>
        </w:tc>
        <w:tc>
          <w:tcPr>
            <w:tcW w:w="519" w:type="pct"/>
            <w:tcBorders>
              <w:top w:val="single" w:sz="4" w:space="0" w:color="auto"/>
            </w:tcBorders>
          </w:tcPr>
          <w:p w14:paraId="02F54737"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23</w:t>
            </w:r>
          </w:p>
        </w:tc>
        <w:tc>
          <w:tcPr>
            <w:tcW w:w="519" w:type="pct"/>
            <w:tcBorders>
              <w:top w:val="single" w:sz="4" w:space="0" w:color="auto"/>
            </w:tcBorders>
          </w:tcPr>
          <w:p w14:paraId="16B9BC3C"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8</w:t>
            </w:r>
          </w:p>
        </w:tc>
        <w:tc>
          <w:tcPr>
            <w:tcW w:w="519" w:type="pct"/>
            <w:tcBorders>
              <w:top w:val="single" w:sz="4" w:space="0" w:color="auto"/>
            </w:tcBorders>
          </w:tcPr>
          <w:p w14:paraId="6E77069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20.3</w:t>
            </w:r>
          </w:p>
        </w:tc>
        <w:tc>
          <w:tcPr>
            <w:tcW w:w="237" w:type="pct"/>
            <w:tcBorders>
              <w:top w:val="single" w:sz="4" w:space="0" w:color="auto"/>
            </w:tcBorders>
          </w:tcPr>
          <w:p w14:paraId="6743BF11"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Borders>
              <w:top w:val="single" w:sz="4" w:space="0" w:color="auto"/>
            </w:tcBorders>
          </w:tcPr>
          <w:p w14:paraId="2D05D9A6"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0.1 ± 0.3</w:t>
            </w:r>
          </w:p>
        </w:tc>
        <w:tc>
          <w:tcPr>
            <w:tcW w:w="898" w:type="pct"/>
            <w:tcBorders>
              <w:top w:val="single" w:sz="4" w:space="0" w:color="auto"/>
            </w:tcBorders>
          </w:tcPr>
          <w:p w14:paraId="547B936A"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26.5 ± 20.5</w:t>
            </w:r>
          </w:p>
        </w:tc>
      </w:tr>
      <w:tr w:rsidR="001C3E38" w:rsidRPr="001C3E38" w14:paraId="3D3A23A0" w14:textId="77777777" w:rsidTr="00B335AA">
        <w:trPr>
          <w:trHeight w:val="127"/>
        </w:trPr>
        <w:tc>
          <w:tcPr>
            <w:tcW w:w="205" w:type="pct"/>
          </w:tcPr>
          <w:p w14:paraId="76CED5B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60</w:t>
            </w:r>
          </w:p>
        </w:tc>
        <w:tc>
          <w:tcPr>
            <w:tcW w:w="879" w:type="pct"/>
          </w:tcPr>
          <w:p w14:paraId="77E8CAE1"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Anchorage Island</w:t>
            </w:r>
          </w:p>
        </w:tc>
        <w:tc>
          <w:tcPr>
            <w:tcW w:w="519" w:type="pct"/>
          </w:tcPr>
          <w:p w14:paraId="38BC0303"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10</w:t>
            </w:r>
          </w:p>
        </w:tc>
        <w:tc>
          <w:tcPr>
            <w:tcW w:w="519" w:type="pct"/>
          </w:tcPr>
          <w:p w14:paraId="1FCC6BE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w:t>
            </w:r>
          </w:p>
        </w:tc>
        <w:tc>
          <w:tcPr>
            <w:tcW w:w="519" w:type="pct"/>
          </w:tcPr>
          <w:p w14:paraId="0053256E"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165.4</w:t>
            </w:r>
          </w:p>
        </w:tc>
        <w:tc>
          <w:tcPr>
            <w:tcW w:w="237" w:type="pct"/>
          </w:tcPr>
          <w:p w14:paraId="10CF9128"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060054BF"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13.60± 2.1</w:t>
            </w:r>
          </w:p>
        </w:tc>
        <w:tc>
          <w:tcPr>
            <w:tcW w:w="898" w:type="pct"/>
          </w:tcPr>
          <w:p w14:paraId="55BFE17C"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22.6 ±5.4</w:t>
            </w:r>
          </w:p>
        </w:tc>
      </w:tr>
      <w:tr w:rsidR="001C3E38" w:rsidRPr="001C3E38" w14:paraId="6A46D46B" w14:textId="77777777" w:rsidTr="00B335AA">
        <w:trPr>
          <w:trHeight w:val="201"/>
        </w:trPr>
        <w:tc>
          <w:tcPr>
            <w:tcW w:w="205" w:type="pct"/>
          </w:tcPr>
          <w:p w14:paraId="7A758B6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90</w:t>
            </w:r>
          </w:p>
        </w:tc>
        <w:tc>
          <w:tcPr>
            <w:tcW w:w="879" w:type="pct"/>
          </w:tcPr>
          <w:p w14:paraId="0A7236A1"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Cuvier Island</w:t>
            </w:r>
          </w:p>
        </w:tc>
        <w:tc>
          <w:tcPr>
            <w:tcW w:w="519" w:type="pct"/>
          </w:tcPr>
          <w:p w14:paraId="5AA67F26"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7</w:t>
            </w:r>
          </w:p>
        </w:tc>
        <w:tc>
          <w:tcPr>
            <w:tcW w:w="519" w:type="pct"/>
          </w:tcPr>
          <w:p w14:paraId="4068CBA4"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w:t>
            </w:r>
          </w:p>
        </w:tc>
        <w:tc>
          <w:tcPr>
            <w:tcW w:w="519" w:type="pct"/>
          </w:tcPr>
          <w:p w14:paraId="0F592F91"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86.7</w:t>
            </w:r>
          </w:p>
        </w:tc>
        <w:tc>
          <w:tcPr>
            <w:tcW w:w="237" w:type="pct"/>
          </w:tcPr>
          <w:p w14:paraId="6B82911C"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Pr>
          <w:p w14:paraId="0B05CB4C"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4.0 ± 2.6</w:t>
            </w:r>
          </w:p>
        </w:tc>
        <w:tc>
          <w:tcPr>
            <w:tcW w:w="898" w:type="pct"/>
          </w:tcPr>
          <w:p w14:paraId="7854DA47"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3.6 ± 5.9</w:t>
            </w:r>
          </w:p>
        </w:tc>
      </w:tr>
      <w:tr w:rsidR="001C3E38" w:rsidRPr="001C3E38" w14:paraId="59AE1FAB" w14:textId="77777777" w:rsidTr="00B335AA">
        <w:trPr>
          <w:trHeight w:val="133"/>
        </w:trPr>
        <w:tc>
          <w:tcPr>
            <w:tcW w:w="205" w:type="pct"/>
            <w:tcBorders>
              <w:bottom w:val="single" w:sz="4" w:space="0" w:color="auto"/>
            </w:tcBorders>
          </w:tcPr>
          <w:p w14:paraId="3A500C2D"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230</w:t>
            </w:r>
          </w:p>
        </w:tc>
        <w:tc>
          <w:tcPr>
            <w:tcW w:w="879" w:type="pct"/>
            <w:tcBorders>
              <w:bottom w:val="single" w:sz="4" w:space="0" w:color="auto"/>
            </w:tcBorders>
          </w:tcPr>
          <w:p w14:paraId="2BEFE521"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Atka Bank</w:t>
            </w:r>
          </w:p>
        </w:tc>
        <w:tc>
          <w:tcPr>
            <w:tcW w:w="519" w:type="pct"/>
            <w:tcBorders>
              <w:bottom w:val="single" w:sz="4" w:space="0" w:color="auto"/>
            </w:tcBorders>
          </w:tcPr>
          <w:p w14:paraId="2D35E11B"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3</w:t>
            </w:r>
          </w:p>
        </w:tc>
        <w:tc>
          <w:tcPr>
            <w:tcW w:w="519" w:type="pct"/>
            <w:tcBorders>
              <w:bottom w:val="single" w:sz="4" w:space="0" w:color="auto"/>
            </w:tcBorders>
          </w:tcPr>
          <w:p w14:paraId="0709928B"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2</w:t>
            </w:r>
          </w:p>
        </w:tc>
        <w:tc>
          <w:tcPr>
            <w:tcW w:w="519" w:type="pct"/>
            <w:tcBorders>
              <w:bottom w:val="single" w:sz="4" w:space="0" w:color="auto"/>
            </w:tcBorders>
          </w:tcPr>
          <w:p w14:paraId="154787C9"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3.6</w:t>
            </w:r>
          </w:p>
        </w:tc>
        <w:tc>
          <w:tcPr>
            <w:tcW w:w="237" w:type="pct"/>
            <w:tcBorders>
              <w:bottom w:val="single" w:sz="4" w:space="0" w:color="auto"/>
            </w:tcBorders>
          </w:tcPr>
          <w:p w14:paraId="7430E0B7"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w:t>
            </w:r>
          </w:p>
        </w:tc>
        <w:tc>
          <w:tcPr>
            <w:tcW w:w="1226" w:type="pct"/>
            <w:tcBorders>
              <w:bottom w:val="single" w:sz="4" w:space="0" w:color="auto"/>
            </w:tcBorders>
          </w:tcPr>
          <w:p w14:paraId="1229BD40"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0.04 ± 0.08</w:t>
            </w:r>
          </w:p>
        </w:tc>
        <w:tc>
          <w:tcPr>
            <w:tcW w:w="898" w:type="pct"/>
            <w:tcBorders>
              <w:bottom w:val="single" w:sz="4" w:space="0" w:color="auto"/>
            </w:tcBorders>
          </w:tcPr>
          <w:p w14:paraId="664E01F6" w14:textId="77777777" w:rsidR="001C3E38" w:rsidRPr="001C3E38" w:rsidRDefault="001C3E38" w:rsidP="00B335AA">
            <w:pPr>
              <w:pStyle w:val="Compact"/>
              <w:jc w:val="left"/>
              <w:rPr>
                <w:rFonts w:ascii="Times New Roman" w:hAnsi="Times New Roman" w:cs="Times New Roman"/>
                <w:sz w:val="18"/>
                <w:szCs w:val="18"/>
              </w:rPr>
            </w:pPr>
            <w:r w:rsidRPr="001C3E38">
              <w:rPr>
                <w:rFonts w:ascii="Times New Roman" w:hAnsi="Times New Roman" w:cs="Times New Roman"/>
                <w:sz w:val="18"/>
                <w:szCs w:val="18"/>
              </w:rPr>
              <w:t>47.0 ± 11.3</w:t>
            </w:r>
          </w:p>
        </w:tc>
      </w:tr>
    </w:tbl>
    <w:p w14:paraId="4BB66284" w14:textId="77777777" w:rsidR="001C3E38" w:rsidRDefault="001C3E38" w:rsidP="00952E9F"/>
    <w:sectPr w:rsidR="001C3E38" w:rsidSect="001C3E38">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2186" w14:textId="77777777" w:rsidR="00000000" w:rsidRDefault="001C3E38">
      <w:r>
        <w:separator/>
      </w:r>
    </w:p>
  </w:endnote>
  <w:endnote w:type="continuationSeparator" w:id="0">
    <w:p w14:paraId="66B8EF56" w14:textId="77777777" w:rsidR="00000000" w:rsidRDefault="001C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B0C4" w14:textId="77777777" w:rsidR="00FA0B9F" w:rsidRDefault="001C3E38" w:rsidP="00CF5C82">
    <w:pPr>
      <w:framePr w:wrap="around" w:vAnchor="text" w:hAnchor="margin" w:xAlign="right" w:y="1"/>
    </w:pPr>
    <w:r>
      <w:fldChar w:fldCharType="begin"/>
    </w:r>
    <w:r>
      <w:instrText xml:space="preserve">PAGE  </w:instrText>
    </w:r>
    <w:r>
      <w:fldChar w:fldCharType="separate"/>
    </w:r>
    <w:r>
      <w:fldChar w:fldCharType="end"/>
    </w:r>
  </w:p>
  <w:p w14:paraId="49462718" w14:textId="77777777" w:rsidR="00FA0B9F" w:rsidRDefault="001C3E3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245A" w14:textId="77777777" w:rsidR="00FA0B9F" w:rsidRDefault="001C3E3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6ED7B8C" w14:textId="17A93277" w:rsidR="00FA0B9F" w:rsidRDefault="001C3E3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5AF9" w14:textId="77777777" w:rsidR="00E311C9" w:rsidRDefault="001C3E3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D7C12B" w14:textId="77777777" w:rsidR="00E311C9" w:rsidRDefault="001C3E3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6A90" w14:textId="77777777" w:rsidR="00000000" w:rsidRDefault="001C3E38">
      <w:r>
        <w:separator/>
      </w:r>
    </w:p>
  </w:footnote>
  <w:footnote w:type="continuationSeparator" w:id="0">
    <w:p w14:paraId="7D33DCFF" w14:textId="77777777" w:rsidR="00000000" w:rsidRDefault="001C3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3572A" w14:paraId="3BCEEB00" w14:textId="77777777" w:rsidTr="00490760">
      <w:trPr>
        <w:trHeight w:val="344"/>
        <w:jc w:val="center"/>
      </w:trPr>
      <w:tc>
        <w:tcPr>
          <w:tcW w:w="5495" w:type="dxa"/>
        </w:tcPr>
        <w:p w14:paraId="4BCFA5BB" w14:textId="77777777" w:rsidR="00DB7C09" w:rsidRDefault="001C3E38" w:rsidP="00F968D4"/>
      </w:tc>
      <w:tc>
        <w:tcPr>
          <w:tcW w:w="4253" w:type="dxa"/>
          <w:gridSpan w:val="2"/>
        </w:tcPr>
        <w:p w14:paraId="7815E4ED" w14:textId="77777777" w:rsidR="00DB7C09" w:rsidRPr="00BD47E4" w:rsidRDefault="001C3E38" w:rsidP="002A07BC">
          <w:pPr>
            <w:jc w:val="right"/>
            <w:rPr>
              <w:b/>
              <w:sz w:val="32"/>
              <w:szCs w:val="32"/>
            </w:rPr>
          </w:pPr>
          <w:bookmarkStart w:id="2" w:name="type"/>
          <w:r w:rsidRPr="00BD47E4">
            <w:rPr>
              <w:b/>
              <w:sz w:val="32"/>
              <w:szCs w:val="32"/>
            </w:rPr>
            <w:t>IP</w:t>
          </w:r>
          <w:bookmarkEnd w:id="2"/>
        </w:p>
      </w:tc>
      <w:tc>
        <w:tcPr>
          <w:tcW w:w="1524" w:type="dxa"/>
          <w:gridSpan w:val="2"/>
        </w:tcPr>
        <w:p w14:paraId="7AFC4ACF" w14:textId="77777777" w:rsidR="00DB7C09" w:rsidRPr="00BD47E4" w:rsidRDefault="001C3E38" w:rsidP="00DB7C09">
          <w:pPr>
            <w:rPr>
              <w:b/>
              <w:sz w:val="32"/>
              <w:szCs w:val="32"/>
            </w:rPr>
          </w:pPr>
          <w:bookmarkStart w:id="3" w:name="number"/>
          <w:r w:rsidRPr="00BD47E4">
            <w:rPr>
              <w:b/>
              <w:sz w:val="32"/>
              <w:szCs w:val="32"/>
            </w:rPr>
            <w:t>24</w:t>
          </w:r>
          <w:bookmarkEnd w:id="3"/>
        </w:p>
      </w:tc>
    </w:tr>
    <w:tr w:rsidR="00B3572A" w14:paraId="407AAC3C" w14:textId="77777777" w:rsidTr="00490760">
      <w:trPr>
        <w:trHeight w:val="2165"/>
        <w:jc w:val="center"/>
      </w:trPr>
      <w:tc>
        <w:tcPr>
          <w:tcW w:w="5495" w:type="dxa"/>
        </w:tcPr>
        <w:p w14:paraId="0C1A25F6" w14:textId="77777777" w:rsidR="00490760" w:rsidRPr="00EE4D48" w:rsidRDefault="001C3E38" w:rsidP="002A07BC">
          <w:pPr>
            <w:rPr>
              <w:b/>
              <w:sz w:val="28"/>
              <w:szCs w:val="28"/>
            </w:rPr>
          </w:pPr>
          <w:r>
            <w:rPr>
              <w:noProof/>
            </w:rPr>
            <w:drawing>
              <wp:inline distT="0" distB="0" distL="0" distR="0" wp14:anchorId="133A7FB0" wp14:editId="4641312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4072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22F025E" w14:textId="77777777" w:rsidR="00490760" w:rsidRPr="00FE5146" w:rsidRDefault="001C3E38" w:rsidP="00490760">
          <w:pPr>
            <w:jc w:val="right"/>
            <w:rPr>
              <w:sz w:val="144"/>
              <w:szCs w:val="144"/>
            </w:rPr>
          </w:pPr>
          <w:r w:rsidRPr="00FE5146">
            <w:rPr>
              <w:sz w:val="144"/>
              <w:szCs w:val="144"/>
            </w:rPr>
            <w:t>ENG</w:t>
          </w:r>
        </w:p>
      </w:tc>
    </w:tr>
    <w:tr w:rsidR="00B3572A" w14:paraId="5BD71E51" w14:textId="77777777" w:rsidTr="00BD47E4">
      <w:trPr>
        <w:trHeight w:val="409"/>
        <w:jc w:val="center"/>
      </w:trPr>
      <w:tc>
        <w:tcPr>
          <w:tcW w:w="9039" w:type="dxa"/>
          <w:gridSpan w:val="2"/>
        </w:tcPr>
        <w:p w14:paraId="3D2E5CB4" w14:textId="77777777" w:rsidR="00BD47E4" w:rsidRDefault="001C3E38" w:rsidP="002C30DA">
          <w:pPr>
            <w:jc w:val="right"/>
          </w:pPr>
          <w:r>
            <w:t>Agenda Item:</w:t>
          </w:r>
        </w:p>
      </w:tc>
      <w:tc>
        <w:tcPr>
          <w:tcW w:w="1843" w:type="dxa"/>
          <w:gridSpan w:val="2"/>
        </w:tcPr>
        <w:p w14:paraId="36A7363D" w14:textId="77777777" w:rsidR="00BD47E4" w:rsidRDefault="001C3E38" w:rsidP="002C30DA">
          <w:pPr>
            <w:jc w:val="right"/>
          </w:pPr>
          <w:bookmarkStart w:id="4" w:name="agenda"/>
          <w:r>
            <w:t>CEP 10a</w:t>
          </w:r>
          <w:bookmarkEnd w:id="4"/>
        </w:p>
      </w:tc>
      <w:tc>
        <w:tcPr>
          <w:tcW w:w="390" w:type="dxa"/>
        </w:tcPr>
        <w:p w14:paraId="47D89BA0" w14:textId="77777777" w:rsidR="00BD47E4" w:rsidRDefault="001C3E38" w:rsidP="00387A65">
          <w:pPr>
            <w:jc w:val="right"/>
          </w:pPr>
        </w:p>
      </w:tc>
    </w:tr>
    <w:tr w:rsidR="00B3572A" w14:paraId="117512A0" w14:textId="77777777" w:rsidTr="00BD47E4">
      <w:trPr>
        <w:trHeight w:val="397"/>
        <w:jc w:val="center"/>
      </w:trPr>
      <w:tc>
        <w:tcPr>
          <w:tcW w:w="9039" w:type="dxa"/>
          <w:gridSpan w:val="2"/>
        </w:tcPr>
        <w:p w14:paraId="66B2F76B" w14:textId="77777777" w:rsidR="00BD47E4" w:rsidRDefault="001C3E38" w:rsidP="002C30DA">
          <w:pPr>
            <w:jc w:val="right"/>
          </w:pPr>
          <w:r>
            <w:t>Presented by:</w:t>
          </w:r>
        </w:p>
      </w:tc>
      <w:tc>
        <w:tcPr>
          <w:tcW w:w="1843" w:type="dxa"/>
          <w:gridSpan w:val="2"/>
        </w:tcPr>
        <w:p w14:paraId="7ACAB695" w14:textId="77777777" w:rsidR="00BD47E4" w:rsidRDefault="001C3E38" w:rsidP="002C30DA">
          <w:pPr>
            <w:jc w:val="right"/>
          </w:pPr>
          <w:bookmarkStart w:id="5" w:name="party"/>
          <w:r>
            <w:t>United Kingdom</w:t>
          </w:r>
          <w:bookmarkEnd w:id="5"/>
        </w:p>
      </w:tc>
      <w:tc>
        <w:tcPr>
          <w:tcW w:w="390" w:type="dxa"/>
        </w:tcPr>
        <w:p w14:paraId="4DCB75DA" w14:textId="77777777" w:rsidR="00BD47E4" w:rsidRDefault="001C3E38" w:rsidP="00387A65">
          <w:pPr>
            <w:jc w:val="right"/>
          </w:pPr>
        </w:p>
      </w:tc>
    </w:tr>
    <w:tr w:rsidR="00B3572A" w14:paraId="6D793109" w14:textId="77777777" w:rsidTr="00BD47E4">
      <w:trPr>
        <w:trHeight w:val="409"/>
        <w:jc w:val="center"/>
      </w:trPr>
      <w:tc>
        <w:tcPr>
          <w:tcW w:w="9039" w:type="dxa"/>
          <w:gridSpan w:val="2"/>
        </w:tcPr>
        <w:p w14:paraId="53584337" w14:textId="77777777" w:rsidR="00BD47E4" w:rsidRDefault="001C3E38" w:rsidP="002C30DA">
          <w:pPr>
            <w:jc w:val="right"/>
          </w:pPr>
          <w:r>
            <w:t>Original:</w:t>
          </w:r>
        </w:p>
      </w:tc>
      <w:tc>
        <w:tcPr>
          <w:tcW w:w="1843" w:type="dxa"/>
          <w:gridSpan w:val="2"/>
        </w:tcPr>
        <w:p w14:paraId="7C176C91" w14:textId="77777777" w:rsidR="00BD47E4" w:rsidRDefault="001C3E38" w:rsidP="002C30DA">
          <w:pPr>
            <w:jc w:val="right"/>
          </w:pPr>
          <w:bookmarkStart w:id="6" w:name="language"/>
          <w:r>
            <w:t>English</w:t>
          </w:r>
          <w:bookmarkEnd w:id="6"/>
        </w:p>
      </w:tc>
      <w:tc>
        <w:tcPr>
          <w:tcW w:w="390" w:type="dxa"/>
        </w:tcPr>
        <w:p w14:paraId="29AD03D8" w14:textId="77777777" w:rsidR="00BD47E4" w:rsidRDefault="001C3E38" w:rsidP="00387A65">
          <w:pPr>
            <w:jc w:val="right"/>
          </w:pPr>
        </w:p>
      </w:tc>
    </w:tr>
    <w:tr w:rsidR="00B3572A" w14:paraId="2F5FC9E7" w14:textId="77777777" w:rsidTr="00BD47E4">
      <w:trPr>
        <w:trHeight w:val="409"/>
        <w:jc w:val="center"/>
      </w:trPr>
      <w:tc>
        <w:tcPr>
          <w:tcW w:w="9039" w:type="dxa"/>
          <w:gridSpan w:val="2"/>
        </w:tcPr>
        <w:p w14:paraId="5D5B0F9E" w14:textId="77777777" w:rsidR="0097629D" w:rsidRDefault="001C3E38" w:rsidP="002C30DA">
          <w:pPr>
            <w:jc w:val="right"/>
          </w:pPr>
          <w:r>
            <w:t>Submitted:</w:t>
          </w:r>
        </w:p>
      </w:tc>
      <w:tc>
        <w:tcPr>
          <w:tcW w:w="1843" w:type="dxa"/>
          <w:gridSpan w:val="2"/>
        </w:tcPr>
        <w:p w14:paraId="0973093A" w14:textId="77777777" w:rsidR="0097629D" w:rsidRDefault="001C3E38" w:rsidP="0097629D">
          <w:pPr>
            <w:jc w:val="right"/>
          </w:pPr>
          <w:bookmarkStart w:id="7" w:name="date_submission"/>
          <w:r>
            <w:t>8/4/2022</w:t>
          </w:r>
          <w:bookmarkEnd w:id="7"/>
        </w:p>
      </w:tc>
      <w:tc>
        <w:tcPr>
          <w:tcW w:w="390" w:type="dxa"/>
        </w:tcPr>
        <w:p w14:paraId="1D35ADF8" w14:textId="77777777" w:rsidR="0097629D" w:rsidRDefault="001C3E38" w:rsidP="00387A65">
          <w:pPr>
            <w:jc w:val="right"/>
          </w:pPr>
        </w:p>
      </w:tc>
    </w:tr>
  </w:tbl>
  <w:p w14:paraId="08D16F59" w14:textId="77777777" w:rsidR="00AE5DD0" w:rsidRDefault="001C3E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3572A" w14:paraId="2C44604F" w14:textId="77777777">
      <w:trPr>
        <w:trHeight w:val="354"/>
        <w:jc w:val="center"/>
      </w:trPr>
      <w:tc>
        <w:tcPr>
          <w:tcW w:w="9694" w:type="dxa"/>
        </w:tcPr>
        <w:p w14:paraId="0F8B3CA0" w14:textId="6D59FB9E" w:rsidR="00AE5DD0" w:rsidRPr="00BD47E4" w:rsidRDefault="001C3E38" w:rsidP="00C26F2D">
          <w:pPr>
            <w:jc w:val="right"/>
            <w:rPr>
              <w:b/>
              <w:sz w:val="32"/>
              <w:szCs w:val="32"/>
            </w:rPr>
          </w:pPr>
          <w:r>
            <w:rPr>
              <w:b/>
              <w:sz w:val="32"/>
              <w:szCs w:val="32"/>
            </w:rPr>
            <w:t>IP</w:t>
          </w:r>
        </w:p>
      </w:tc>
      <w:tc>
        <w:tcPr>
          <w:tcW w:w="1332" w:type="dxa"/>
        </w:tcPr>
        <w:p w14:paraId="6BA1764D" w14:textId="0A4D3ADB" w:rsidR="00AE5DD0" w:rsidRPr="00BD47E4" w:rsidRDefault="001C3E38" w:rsidP="00080F4C">
          <w:pPr>
            <w:rPr>
              <w:b/>
              <w:sz w:val="32"/>
              <w:szCs w:val="32"/>
            </w:rPr>
          </w:pPr>
          <w:r>
            <w:rPr>
              <w:b/>
              <w:sz w:val="32"/>
              <w:szCs w:val="32"/>
            </w:rPr>
            <w:t>24</w:t>
          </w:r>
        </w:p>
      </w:tc>
    </w:tr>
  </w:tbl>
  <w:p w14:paraId="562F85BF" w14:textId="77777777" w:rsidR="00AE5DD0" w:rsidRDefault="001C3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7E04"/>
    <w:multiLevelType w:val="multilevel"/>
    <w:tmpl w:val="8A9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7816508C">
      <w:start w:val="1"/>
      <w:numFmt w:val="bullet"/>
      <w:pStyle w:val="ATSBullet1"/>
      <w:lvlText w:val=""/>
      <w:lvlJc w:val="left"/>
      <w:pPr>
        <w:tabs>
          <w:tab w:val="num" w:pos="360"/>
        </w:tabs>
        <w:ind w:left="360" w:hanging="360"/>
      </w:pPr>
      <w:rPr>
        <w:rFonts w:ascii="Symbol" w:hAnsi="Symbol" w:hint="default"/>
        <w:color w:val="auto"/>
      </w:rPr>
    </w:lvl>
    <w:lvl w:ilvl="1" w:tplc="9160A536" w:tentative="1">
      <w:start w:val="1"/>
      <w:numFmt w:val="bullet"/>
      <w:lvlText w:val="o"/>
      <w:lvlJc w:val="left"/>
      <w:pPr>
        <w:tabs>
          <w:tab w:val="num" w:pos="1440"/>
        </w:tabs>
        <w:ind w:left="1440" w:hanging="360"/>
      </w:pPr>
      <w:rPr>
        <w:rFonts w:ascii="Courier New" w:hAnsi="Courier New" w:cs="Courier New" w:hint="default"/>
      </w:rPr>
    </w:lvl>
    <w:lvl w:ilvl="2" w:tplc="B5AC2B36" w:tentative="1">
      <w:start w:val="1"/>
      <w:numFmt w:val="bullet"/>
      <w:lvlText w:val=""/>
      <w:lvlJc w:val="left"/>
      <w:pPr>
        <w:tabs>
          <w:tab w:val="num" w:pos="2160"/>
        </w:tabs>
        <w:ind w:left="2160" w:hanging="360"/>
      </w:pPr>
      <w:rPr>
        <w:rFonts w:ascii="Wingdings" w:hAnsi="Wingdings" w:hint="default"/>
      </w:rPr>
    </w:lvl>
    <w:lvl w:ilvl="3" w:tplc="1DFA597A" w:tentative="1">
      <w:start w:val="1"/>
      <w:numFmt w:val="bullet"/>
      <w:lvlText w:val=""/>
      <w:lvlJc w:val="left"/>
      <w:pPr>
        <w:tabs>
          <w:tab w:val="num" w:pos="2880"/>
        </w:tabs>
        <w:ind w:left="2880" w:hanging="360"/>
      </w:pPr>
      <w:rPr>
        <w:rFonts w:ascii="Symbol" w:hAnsi="Symbol" w:hint="default"/>
      </w:rPr>
    </w:lvl>
    <w:lvl w:ilvl="4" w:tplc="0640156A" w:tentative="1">
      <w:start w:val="1"/>
      <w:numFmt w:val="bullet"/>
      <w:lvlText w:val="o"/>
      <w:lvlJc w:val="left"/>
      <w:pPr>
        <w:tabs>
          <w:tab w:val="num" w:pos="3600"/>
        </w:tabs>
        <w:ind w:left="3600" w:hanging="360"/>
      </w:pPr>
      <w:rPr>
        <w:rFonts w:ascii="Courier New" w:hAnsi="Courier New" w:cs="Courier New" w:hint="default"/>
      </w:rPr>
    </w:lvl>
    <w:lvl w:ilvl="5" w:tplc="EF620DB0" w:tentative="1">
      <w:start w:val="1"/>
      <w:numFmt w:val="bullet"/>
      <w:lvlText w:val=""/>
      <w:lvlJc w:val="left"/>
      <w:pPr>
        <w:tabs>
          <w:tab w:val="num" w:pos="4320"/>
        </w:tabs>
        <w:ind w:left="4320" w:hanging="360"/>
      </w:pPr>
      <w:rPr>
        <w:rFonts w:ascii="Wingdings" w:hAnsi="Wingdings" w:hint="default"/>
      </w:rPr>
    </w:lvl>
    <w:lvl w:ilvl="6" w:tplc="768EA774" w:tentative="1">
      <w:start w:val="1"/>
      <w:numFmt w:val="bullet"/>
      <w:lvlText w:val=""/>
      <w:lvlJc w:val="left"/>
      <w:pPr>
        <w:tabs>
          <w:tab w:val="num" w:pos="5040"/>
        </w:tabs>
        <w:ind w:left="5040" w:hanging="360"/>
      </w:pPr>
      <w:rPr>
        <w:rFonts w:ascii="Symbol" w:hAnsi="Symbol" w:hint="default"/>
      </w:rPr>
    </w:lvl>
    <w:lvl w:ilvl="7" w:tplc="8276745C" w:tentative="1">
      <w:start w:val="1"/>
      <w:numFmt w:val="bullet"/>
      <w:lvlText w:val="o"/>
      <w:lvlJc w:val="left"/>
      <w:pPr>
        <w:tabs>
          <w:tab w:val="num" w:pos="5760"/>
        </w:tabs>
        <w:ind w:left="5760" w:hanging="360"/>
      </w:pPr>
      <w:rPr>
        <w:rFonts w:ascii="Courier New" w:hAnsi="Courier New" w:cs="Courier New" w:hint="default"/>
      </w:rPr>
    </w:lvl>
    <w:lvl w:ilvl="8" w:tplc="584A78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44FA7DAC">
      <w:start w:val="1"/>
      <w:numFmt w:val="decimal"/>
      <w:lvlText w:val="%1)"/>
      <w:lvlJc w:val="left"/>
      <w:pPr>
        <w:tabs>
          <w:tab w:val="num" w:pos="340"/>
        </w:tabs>
        <w:ind w:left="340" w:hanging="340"/>
      </w:pPr>
      <w:rPr>
        <w:rFonts w:hint="default"/>
      </w:rPr>
    </w:lvl>
    <w:lvl w:ilvl="1" w:tplc="AC269C80" w:tentative="1">
      <w:start w:val="1"/>
      <w:numFmt w:val="lowerLetter"/>
      <w:lvlText w:val="%2."/>
      <w:lvlJc w:val="left"/>
      <w:pPr>
        <w:tabs>
          <w:tab w:val="num" w:pos="1440"/>
        </w:tabs>
        <w:ind w:left="1440" w:hanging="360"/>
      </w:pPr>
    </w:lvl>
    <w:lvl w:ilvl="2" w:tplc="42785282" w:tentative="1">
      <w:start w:val="1"/>
      <w:numFmt w:val="lowerRoman"/>
      <w:lvlText w:val="%3."/>
      <w:lvlJc w:val="right"/>
      <w:pPr>
        <w:tabs>
          <w:tab w:val="num" w:pos="2160"/>
        </w:tabs>
        <w:ind w:left="2160" w:hanging="180"/>
      </w:pPr>
    </w:lvl>
    <w:lvl w:ilvl="3" w:tplc="C518B2F4" w:tentative="1">
      <w:start w:val="1"/>
      <w:numFmt w:val="decimal"/>
      <w:lvlText w:val="%4."/>
      <w:lvlJc w:val="left"/>
      <w:pPr>
        <w:tabs>
          <w:tab w:val="num" w:pos="2880"/>
        </w:tabs>
        <w:ind w:left="2880" w:hanging="360"/>
      </w:pPr>
    </w:lvl>
    <w:lvl w:ilvl="4" w:tplc="B5645D18" w:tentative="1">
      <w:start w:val="1"/>
      <w:numFmt w:val="lowerLetter"/>
      <w:lvlText w:val="%5."/>
      <w:lvlJc w:val="left"/>
      <w:pPr>
        <w:tabs>
          <w:tab w:val="num" w:pos="3600"/>
        </w:tabs>
        <w:ind w:left="3600" w:hanging="360"/>
      </w:pPr>
    </w:lvl>
    <w:lvl w:ilvl="5" w:tplc="CAD4E3A6" w:tentative="1">
      <w:start w:val="1"/>
      <w:numFmt w:val="lowerRoman"/>
      <w:lvlText w:val="%6."/>
      <w:lvlJc w:val="right"/>
      <w:pPr>
        <w:tabs>
          <w:tab w:val="num" w:pos="4320"/>
        </w:tabs>
        <w:ind w:left="4320" w:hanging="180"/>
      </w:pPr>
    </w:lvl>
    <w:lvl w:ilvl="6" w:tplc="DEF4CDB4" w:tentative="1">
      <w:start w:val="1"/>
      <w:numFmt w:val="decimal"/>
      <w:lvlText w:val="%7."/>
      <w:lvlJc w:val="left"/>
      <w:pPr>
        <w:tabs>
          <w:tab w:val="num" w:pos="5040"/>
        </w:tabs>
        <w:ind w:left="5040" w:hanging="360"/>
      </w:pPr>
    </w:lvl>
    <w:lvl w:ilvl="7" w:tplc="2E306C60" w:tentative="1">
      <w:start w:val="1"/>
      <w:numFmt w:val="lowerLetter"/>
      <w:lvlText w:val="%8."/>
      <w:lvlJc w:val="left"/>
      <w:pPr>
        <w:tabs>
          <w:tab w:val="num" w:pos="5760"/>
        </w:tabs>
        <w:ind w:left="5760" w:hanging="360"/>
      </w:pPr>
    </w:lvl>
    <w:lvl w:ilvl="8" w:tplc="2BC8F55E"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4BABD68">
      <w:start w:val="1"/>
      <w:numFmt w:val="decimal"/>
      <w:lvlText w:val="%1."/>
      <w:lvlJc w:val="left"/>
      <w:pPr>
        <w:tabs>
          <w:tab w:val="num" w:pos="1057"/>
        </w:tabs>
        <w:ind w:left="1057" w:hanging="360"/>
      </w:pPr>
      <w:rPr>
        <w:rFonts w:hint="default"/>
      </w:rPr>
    </w:lvl>
    <w:lvl w:ilvl="1" w:tplc="CBD2BC3A" w:tentative="1">
      <w:start w:val="1"/>
      <w:numFmt w:val="lowerLetter"/>
      <w:lvlText w:val="%2."/>
      <w:lvlJc w:val="left"/>
      <w:pPr>
        <w:tabs>
          <w:tab w:val="num" w:pos="2137"/>
        </w:tabs>
        <w:ind w:left="2137" w:hanging="360"/>
      </w:pPr>
    </w:lvl>
    <w:lvl w:ilvl="2" w:tplc="99DAB274" w:tentative="1">
      <w:start w:val="1"/>
      <w:numFmt w:val="lowerRoman"/>
      <w:lvlText w:val="%3."/>
      <w:lvlJc w:val="right"/>
      <w:pPr>
        <w:tabs>
          <w:tab w:val="num" w:pos="2857"/>
        </w:tabs>
        <w:ind w:left="2857" w:hanging="180"/>
      </w:pPr>
    </w:lvl>
    <w:lvl w:ilvl="3" w:tplc="BF244266" w:tentative="1">
      <w:start w:val="1"/>
      <w:numFmt w:val="decimal"/>
      <w:lvlText w:val="%4."/>
      <w:lvlJc w:val="left"/>
      <w:pPr>
        <w:tabs>
          <w:tab w:val="num" w:pos="3577"/>
        </w:tabs>
        <w:ind w:left="3577" w:hanging="360"/>
      </w:pPr>
    </w:lvl>
    <w:lvl w:ilvl="4" w:tplc="9CE81320" w:tentative="1">
      <w:start w:val="1"/>
      <w:numFmt w:val="lowerLetter"/>
      <w:lvlText w:val="%5."/>
      <w:lvlJc w:val="left"/>
      <w:pPr>
        <w:tabs>
          <w:tab w:val="num" w:pos="4297"/>
        </w:tabs>
        <w:ind w:left="4297" w:hanging="360"/>
      </w:pPr>
    </w:lvl>
    <w:lvl w:ilvl="5" w:tplc="199A695E" w:tentative="1">
      <w:start w:val="1"/>
      <w:numFmt w:val="lowerRoman"/>
      <w:lvlText w:val="%6."/>
      <w:lvlJc w:val="right"/>
      <w:pPr>
        <w:tabs>
          <w:tab w:val="num" w:pos="5017"/>
        </w:tabs>
        <w:ind w:left="5017" w:hanging="180"/>
      </w:pPr>
    </w:lvl>
    <w:lvl w:ilvl="6" w:tplc="B882FA18" w:tentative="1">
      <w:start w:val="1"/>
      <w:numFmt w:val="decimal"/>
      <w:lvlText w:val="%7."/>
      <w:lvlJc w:val="left"/>
      <w:pPr>
        <w:tabs>
          <w:tab w:val="num" w:pos="5737"/>
        </w:tabs>
        <w:ind w:left="5737" w:hanging="360"/>
      </w:pPr>
    </w:lvl>
    <w:lvl w:ilvl="7" w:tplc="0C0ECC7C" w:tentative="1">
      <w:start w:val="1"/>
      <w:numFmt w:val="lowerLetter"/>
      <w:lvlText w:val="%8."/>
      <w:lvlJc w:val="left"/>
      <w:pPr>
        <w:tabs>
          <w:tab w:val="num" w:pos="6457"/>
        </w:tabs>
        <w:ind w:left="6457" w:hanging="360"/>
      </w:pPr>
    </w:lvl>
    <w:lvl w:ilvl="8" w:tplc="6BA4CA7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390022AE">
      <w:start w:val="1"/>
      <w:numFmt w:val="decimal"/>
      <w:pStyle w:val="ATSNumber1"/>
      <w:lvlText w:val="%1)"/>
      <w:lvlJc w:val="left"/>
      <w:pPr>
        <w:tabs>
          <w:tab w:val="num" w:pos="720"/>
        </w:tabs>
        <w:ind w:left="720" w:hanging="360"/>
      </w:pPr>
    </w:lvl>
    <w:lvl w:ilvl="1" w:tplc="ECB0B082" w:tentative="1">
      <w:start w:val="1"/>
      <w:numFmt w:val="lowerLetter"/>
      <w:lvlText w:val="%2."/>
      <w:lvlJc w:val="left"/>
      <w:pPr>
        <w:tabs>
          <w:tab w:val="num" w:pos="1440"/>
        </w:tabs>
        <w:ind w:left="1440" w:hanging="360"/>
      </w:pPr>
    </w:lvl>
    <w:lvl w:ilvl="2" w:tplc="195C5BAE" w:tentative="1">
      <w:start w:val="1"/>
      <w:numFmt w:val="lowerRoman"/>
      <w:lvlText w:val="%3."/>
      <w:lvlJc w:val="right"/>
      <w:pPr>
        <w:tabs>
          <w:tab w:val="num" w:pos="2160"/>
        </w:tabs>
        <w:ind w:left="2160" w:hanging="180"/>
      </w:pPr>
    </w:lvl>
    <w:lvl w:ilvl="3" w:tplc="AA66A308" w:tentative="1">
      <w:start w:val="1"/>
      <w:numFmt w:val="decimal"/>
      <w:lvlText w:val="%4."/>
      <w:lvlJc w:val="left"/>
      <w:pPr>
        <w:tabs>
          <w:tab w:val="num" w:pos="2880"/>
        </w:tabs>
        <w:ind w:left="2880" w:hanging="360"/>
      </w:pPr>
    </w:lvl>
    <w:lvl w:ilvl="4" w:tplc="09BE2162" w:tentative="1">
      <w:start w:val="1"/>
      <w:numFmt w:val="lowerLetter"/>
      <w:lvlText w:val="%5."/>
      <w:lvlJc w:val="left"/>
      <w:pPr>
        <w:tabs>
          <w:tab w:val="num" w:pos="3600"/>
        </w:tabs>
        <w:ind w:left="3600" w:hanging="360"/>
      </w:pPr>
    </w:lvl>
    <w:lvl w:ilvl="5" w:tplc="1A408FB2" w:tentative="1">
      <w:start w:val="1"/>
      <w:numFmt w:val="lowerRoman"/>
      <w:lvlText w:val="%6."/>
      <w:lvlJc w:val="right"/>
      <w:pPr>
        <w:tabs>
          <w:tab w:val="num" w:pos="4320"/>
        </w:tabs>
        <w:ind w:left="4320" w:hanging="180"/>
      </w:pPr>
    </w:lvl>
    <w:lvl w:ilvl="6" w:tplc="47341C8E" w:tentative="1">
      <w:start w:val="1"/>
      <w:numFmt w:val="decimal"/>
      <w:lvlText w:val="%7."/>
      <w:lvlJc w:val="left"/>
      <w:pPr>
        <w:tabs>
          <w:tab w:val="num" w:pos="5040"/>
        </w:tabs>
        <w:ind w:left="5040" w:hanging="360"/>
      </w:pPr>
    </w:lvl>
    <w:lvl w:ilvl="7" w:tplc="D79AB116" w:tentative="1">
      <w:start w:val="1"/>
      <w:numFmt w:val="lowerLetter"/>
      <w:lvlText w:val="%8."/>
      <w:lvlJc w:val="left"/>
      <w:pPr>
        <w:tabs>
          <w:tab w:val="num" w:pos="5760"/>
        </w:tabs>
        <w:ind w:left="5760" w:hanging="360"/>
      </w:pPr>
    </w:lvl>
    <w:lvl w:ilvl="8" w:tplc="2D48A68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0A9A10B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CCA89C2" w:tentative="1">
      <w:start w:val="1"/>
      <w:numFmt w:val="bullet"/>
      <w:lvlText w:val="o"/>
      <w:lvlJc w:val="left"/>
      <w:pPr>
        <w:tabs>
          <w:tab w:val="num" w:pos="2517"/>
        </w:tabs>
        <w:ind w:left="2517" w:hanging="360"/>
      </w:pPr>
      <w:rPr>
        <w:rFonts w:ascii="Courier New" w:hAnsi="Courier New" w:cs="Courier New" w:hint="default"/>
      </w:rPr>
    </w:lvl>
    <w:lvl w:ilvl="2" w:tplc="3AAAF9E2" w:tentative="1">
      <w:start w:val="1"/>
      <w:numFmt w:val="bullet"/>
      <w:lvlText w:val=""/>
      <w:lvlJc w:val="left"/>
      <w:pPr>
        <w:tabs>
          <w:tab w:val="num" w:pos="3237"/>
        </w:tabs>
        <w:ind w:left="3237" w:hanging="360"/>
      </w:pPr>
      <w:rPr>
        <w:rFonts w:ascii="Wingdings" w:hAnsi="Wingdings" w:hint="default"/>
      </w:rPr>
    </w:lvl>
    <w:lvl w:ilvl="3" w:tplc="D69235CC" w:tentative="1">
      <w:start w:val="1"/>
      <w:numFmt w:val="bullet"/>
      <w:lvlText w:val=""/>
      <w:lvlJc w:val="left"/>
      <w:pPr>
        <w:tabs>
          <w:tab w:val="num" w:pos="3957"/>
        </w:tabs>
        <w:ind w:left="3957" w:hanging="360"/>
      </w:pPr>
      <w:rPr>
        <w:rFonts w:ascii="Symbol" w:hAnsi="Symbol" w:hint="default"/>
      </w:rPr>
    </w:lvl>
    <w:lvl w:ilvl="4" w:tplc="586A4F50" w:tentative="1">
      <w:start w:val="1"/>
      <w:numFmt w:val="bullet"/>
      <w:lvlText w:val="o"/>
      <w:lvlJc w:val="left"/>
      <w:pPr>
        <w:tabs>
          <w:tab w:val="num" w:pos="4677"/>
        </w:tabs>
        <w:ind w:left="4677" w:hanging="360"/>
      </w:pPr>
      <w:rPr>
        <w:rFonts w:ascii="Courier New" w:hAnsi="Courier New" w:cs="Courier New" w:hint="default"/>
      </w:rPr>
    </w:lvl>
    <w:lvl w:ilvl="5" w:tplc="11428E6C" w:tentative="1">
      <w:start w:val="1"/>
      <w:numFmt w:val="bullet"/>
      <w:lvlText w:val=""/>
      <w:lvlJc w:val="left"/>
      <w:pPr>
        <w:tabs>
          <w:tab w:val="num" w:pos="5397"/>
        </w:tabs>
        <w:ind w:left="5397" w:hanging="360"/>
      </w:pPr>
      <w:rPr>
        <w:rFonts w:ascii="Wingdings" w:hAnsi="Wingdings" w:hint="default"/>
      </w:rPr>
    </w:lvl>
    <w:lvl w:ilvl="6" w:tplc="2E90AA50" w:tentative="1">
      <w:start w:val="1"/>
      <w:numFmt w:val="bullet"/>
      <w:lvlText w:val=""/>
      <w:lvlJc w:val="left"/>
      <w:pPr>
        <w:tabs>
          <w:tab w:val="num" w:pos="6117"/>
        </w:tabs>
        <w:ind w:left="6117" w:hanging="360"/>
      </w:pPr>
      <w:rPr>
        <w:rFonts w:ascii="Symbol" w:hAnsi="Symbol" w:hint="default"/>
      </w:rPr>
    </w:lvl>
    <w:lvl w:ilvl="7" w:tplc="5A5A8736" w:tentative="1">
      <w:start w:val="1"/>
      <w:numFmt w:val="bullet"/>
      <w:lvlText w:val="o"/>
      <w:lvlJc w:val="left"/>
      <w:pPr>
        <w:tabs>
          <w:tab w:val="num" w:pos="6837"/>
        </w:tabs>
        <w:ind w:left="6837" w:hanging="360"/>
      </w:pPr>
      <w:rPr>
        <w:rFonts w:ascii="Courier New" w:hAnsi="Courier New" w:cs="Courier New" w:hint="default"/>
      </w:rPr>
    </w:lvl>
    <w:lvl w:ilvl="8" w:tplc="CB948DD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CDBAD0EE">
      <w:start w:val="1"/>
      <w:numFmt w:val="decimal"/>
      <w:pStyle w:val="ATSNumber2"/>
      <w:lvlText w:val="%1."/>
      <w:lvlJc w:val="left"/>
      <w:pPr>
        <w:tabs>
          <w:tab w:val="num" w:pos="720"/>
        </w:tabs>
        <w:ind w:left="720" w:hanging="360"/>
      </w:pPr>
      <w:rPr>
        <w:rFonts w:hint="default"/>
      </w:rPr>
    </w:lvl>
    <w:lvl w:ilvl="1" w:tplc="F03479E2" w:tentative="1">
      <w:start w:val="1"/>
      <w:numFmt w:val="lowerLetter"/>
      <w:lvlText w:val="%2."/>
      <w:lvlJc w:val="left"/>
      <w:pPr>
        <w:tabs>
          <w:tab w:val="num" w:pos="1440"/>
        </w:tabs>
        <w:ind w:left="1440" w:hanging="360"/>
      </w:pPr>
    </w:lvl>
    <w:lvl w:ilvl="2" w:tplc="62502908" w:tentative="1">
      <w:start w:val="1"/>
      <w:numFmt w:val="lowerRoman"/>
      <w:lvlText w:val="%3."/>
      <w:lvlJc w:val="right"/>
      <w:pPr>
        <w:tabs>
          <w:tab w:val="num" w:pos="2160"/>
        </w:tabs>
        <w:ind w:left="2160" w:hanging="180"/>
      </w:pPr>
    </w:lvl>
    <w:lvl w:ilvl="3" w:tplc="8EBAE944" w:tentative="1">
      <w:start w:val="1"/>
      <w:numFmt w:val="decimal"/>
      <w:lvlText w:val="%4."/>
      <w:lvlJc w:val="left"/>
      <w:pPr>
        <w:tabs>
          <w:tab w:val="num" w:pos="2880"/>
        </w:tabs>
        <w:ind w:left="2880" w:hanging="360"/>
      </w:pPr>
    </w:lvl>
    <w:lvl w:ilvl="4" w:tplc="9858F0DC" w:tentative="1">
      <w:start w:val="1"/>
      <w:numFmt w:val="lowerLetter"/>
      <w:lvlText w:val="%5."/>
      <w:lvlJc w:val="left"/>
      <w:pPr>
        <w:tabs>
          <w:tab w:val="num" w:pos="3600"/>
        </w:tabs>
        <w:ind w:left="3600" w:hanging="360"/>
      </w:pPr>
    </w:lvl>
    <w:lvl w:ilvl="5" w:tplc="C35C203C" w:tentative="1">
      <w:start w:val="1"/>
      <w:numFmt w:val="lowerRoman"/>
      <w:lvlText w:val="%6."/>
      <w:lvlJc w:val="right"/>
      <w:pPr>
        <w:tabs>
          <w:tab w:val="num" w:pos="4320"/>
        </w:tabs>
        <w:ind w:left="4320" w:hanging="180"/>
      </w:pPr>
    </w:lvl>
    <w:lvl w:ilvl="6" w:tplc="0938EAC2" w:tentative="1">
      <w:start w:val="1"/>
      <w:numFmt w:val="decimal"/>
      <w:lvlText w:val="%7."/>
      <w:lvlJc w:val="left"/>
      <w:pPr>
        <w:tabs>
          <w:tab w:val="num" w:pos="5040"/>
        </w:tabs>
        <w:ind w:left="5040" w:hanging="360"/>
      </w:pPr>
    </w:lvl>
    <w:lvl w:ilvl="7" w:tplc="C2A823BE" w:tentative="1">
      <w:start w:val="1"/>
      <w:numFmt w:val="lowerLetter"/>
      <w:lvlText w:val="%8."/>
      <w:lvlJc w:val="left"/>
      <w:pPr>
        <w:tabs>
          <w:tab w:val="num" w:pos="5760"/>
        </w:tabs>
        <w:ind w:left="5760" w:hanging="360"/>
      </w:pPr>
    </w:lvl>
    <w:lvl w:ilvl="8" w:tplc="8114826E" w:tentative="1">
      <w:start w:val="1"/>
      <w:numFmt w:val="lowerRoman"/>
      <w:lvlText w:val="%9."/>
      <w:lvlJc w:val="right"/>
      <w:pPr>
        <w:tabs>
          <w:tab w:val="num" w:pos="6480"/>
        </w:tabs>
        <w:ind w:left="6480" w:hanging="180"/>
      </w:pPr>
    </w:lvl>
  </w:abstractNum>
  <w:num w:numId="1" w16cid:durableId="1701054389">
    <w:abstractNumId w:val="9"/>
  </w:num>
  <w:num w:numId="2" w16cid:durableId="1339387394">
    <w:abstractNumId w:val="7"/>
  </w:num>
  <w:num w:numId="3" w16cid:durableId="1152067129">
    <w:abstractNumId w:val="6"/>
  </w:num>
  <w:num w:numId="4" w16cid:durableId="2074742340">
    <w:abstractNumId w:val="5"/>
  </w:num>
  <w:num w:numId="5" w16cid:durableId="1921210499">
    <w:abstractNumId w:val="4"/>
  </w:num>
  <w:num w:numId="6" w16cid:durableId="812405918">
    <w:abstractNumId w:val="8"/>
  </w:num>
  <w:num w:numId="7" w16cid:durableId="1304116677">
    <w:abstractNumId w:val="3"/>
  </w:num>
  <w:num w:numId="8" w16cid:durableId="2063362446">
    <w:abstractNumId w:val="2"/>
  </w:num>
  <w:num w:numId="9" w16cid:durableId="143552927">
    <w:abstractNumId w:val="1"/>
  </w:num>
  <w:num w:numId="10" w16cid:durableId="78259643">
    <w:abstractNumId w:val="0"/>
  </w:num>
  <w:num w:numId="11" w16cid:durableId="1217665429">
    <w:abstractNumId w:val="12"/>
  </w:num>
  <w:num w:numId="12" w16cid:durableId="626349760">
    <w:abstractNumId w:val="16"/>
  </w:num>
  <w:num w:numId="13" w16cid:durableId="1139375929">
    <w:abstractNumId w:val="15"/>
  </w:num>
  <w:num w:numId="14" w16cid:durableId="457145158">
    <w:abstractNumId w:val="13"/>
  </w:num>
  <w:num w:numId="15" w16cid:durableId="28069522">
    <w:abstractNumId w:val="14"/>
  </w:num>
  <w:num w:numId="16" w16cid:durableId="254291492">
    <w:abstractNumId w:val="11"/>
  </w:num>
  <w:num w:numId="17" w16cid:durableId="677734084">
    <w:abstractNumId w:val="12"/>
  </w:num>
  <w:num w:numId="18" w16cid:durableId="418792658">
    <w:abstractNumId w:val="16"/>
  </w:num>
  <w:num w:numId="19" w16cid:durableId="230428916">
    <w:abstractNumId w:val="15"/>
  </w:num>
  <w:num w:numId="20" w16cid:durableId="2115007983">
    <w:abstractNumId w:val="17"/>
  </w:num>
  <w:num w:numId="21" w16cid:durableId="1695574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2A"/>
    <w:rsid w:val="001C3E38"/>
    <w:rsid w:val="00B357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993C1"/>
  <w15:chartTrackingRefBased/>
  <w15:docId w15:val="{B3905060-A63F-4F2F-B1D9-2E913D05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Compact">
    <w:name w:val="Compact"/>
    <w:basedOn w:val="Textoindependiente"/>
    <w:qFormat/>
    <w:rsid w:val="001C3E38"/>
    <w:pPr>
      <w:spacing w:before="40" w:after="40"/>
      <w:contextualSpacing/>
      <w:jc w:val="both"/>
    </w:pPr>
    <w:rPr>
      <w:rFonts w:ascii="Helvetica" w:eastAsiaTheme="minorHAnsi" w:hAnsi="Helvetica" w:cstheme="minorBidi"/>
      <w:kern w:val="16"/>
      <w:sz w:val="14"/>
      <w:lang w:val="en-US"/>
      <w14:ligatures w14:val="standardContextual"/>
      <w14:numForm w14:val="oldStyle"/>
      <w14:numSpacing w14:val="tabular"/>
      <w14:cntxtAlts/>
    </w:rPr>
  </w:style>
  <w:style w:type="paragraph" w:styleId="Textoindependiente">
    <w:name w:val="Body Text"/>
    <w:basedOn w:val="Normal"/>
    <w:link w:val="TextoindependienteCar"/>
    <w:rsid w:val="001C3E38"/>
    <w:pPr>
      <w:spacing w:after="120"/>
    </w:pPr>
  </w:style>
  <w:style w:type="character" w:customStyle="1" w:styleId="TextoindependienteCar">
    <w:name w:val="Texto independiente Car"/>
    <w:basedOn w:val="Fuentedeprrafopredeter"/>
    <w:link w:val="Textoindependiente"/>
    <w:rsid w:val="001C3E38"/>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598-020-6234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1291</Words>
  <Characters>6625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2022-04-11T11:49:00Z</dcterms:modified>
</cp:coreProperties>
</file>