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0BD9" w14:textId="77777777" w:rsidR="00C26F2D" w:rsidRPr="00BF077B" w:rsidRDefault="00A2693D" w:rsidP="00BF077B">
      <w:pPr>
        <w:pStyle w:val="ATSNormal"/>
        <w:rPr>
          <w:rStyle w:val="Ttulodellibro"/>
        </w:rPr>
      </w:pPr>
    </w:p>
    <w:p w14:paraId="6DE23BA7" w14:textId="77777777" w:rsidR="002F0A13" w:rsidRDefault="00A2693D" w:rsidP="004B4A60">
      <w:pPr>
        <w:rPr>
          <w:b/>
          <w:u w:val="single"/>
          <w:lang w:val="es-ES_tradnl"/>
        </w:rPr>
      </w:pPr>
    </w:p>
    <w:p w14:paraId="1B175BDF" w14:textId="77777777" w:rsidR="002F0A13" w:rsidRDefault="00A2693D" w:rsidP="004B4A60">
      <w:pPr>
        <w:rPr>
          <w:b/>
          <w:u w:val="single"/>
          <w:lang w:val="es-ES_tradnl"/>
        </w:rPr>
      </w:pPr>
    </w:p>
    <w:p w14:paraId="6A2C4A8F" w14:textId="77777777" w:rsidR="002F0A13" w:rsidRDefault="00A2693D" w:rsidP="004B4A60">
      <w:pPr>
        <w:rPr>
          <w:b/>
          <w:u w:val="single"/>
          <w:lang w:val="es-ES_tradnl"/>
        </w:rPr>
      </w:pPr>
    </w:p>
    <w:p w14:paraId="403533E7" w14:textId="77777777" w:rsidR="002F0A13" w:rsidRDefault="00A2693D" w:rsidP="004B4A60">
      <w:pPr>
        <w:rPr>
          <w:b/>
          <w:u w:val="single"/>
          <w:lang w:val="es-ES_tradnl"/>
        </w:rPr>
      </w:pPr>
    </w:p>
    <w:p w14:paraId="54150A98" w14:textId="77777777" w:rsidR="00C26F2D" w:rsidRDefault="00A2693D" w:rsidP="004B4A60">
      <w:pPr>
        <w:rPr>
          <w:b/>
          <w:u w:val="single"/>
          <w:lang w:val="es-ES_tradnl"/>
        </w:rPr>
      </w:pPr>
    </w:p>
    <w:p w14:paraId="464455B7" w14:textId="77777777" w:rsidR="004B4A60" w:rsidRPr="0057246E" w:rsidRDefault="00A2693D" w:rsidP="001B789F">
      <w:pPr>
        <w:pStyle w:val="ATSTitle"/>
      </w:pPr>
      <w:bookmarkStart w:id="0" w:name="name"/>
      <w:r>
        <w:t>International Thwaites Glacier Collaboration: The Future of Thwaites Glacier and its Contribution to Sea-Level Rise</w:t>
      </w:r>
      <w:bookmarkEnd w:id="0"/>
    </w:p>
    <w:p w14:paraId="469927EB" w14:textId="77777777" w:rsidR="004B4A60" w:rsidRPr="0057246E" w:rsidRDefault="00A2693D" w:rsidP="00F75424">
      <w:pPr>
        <w:jc w:val="center"/>
      </w:pPr>
    </w:p>
    <w:p w14:paraId="7C9D456C" w14:textId="77777777" w:rsidR="004B4A60" w:rsidRPr="002F0A13" w:rsidRDefault="00A2693D" w:rsidP="002F0A13"/>
    <w:p w14:paraId="387D4562" w14:textId="77777777" w:rsidR="004B4A60" w:rsidRDefault="00A2693D" w:rsidP="00F75424">
      <w:pPr>
        <w:jc w:val="center"/>
      </w:pPr>
      <w:bookmarkStart w:id="1" w:name="memo"/>
      <w:bookmarkEnd w:id="1"/>
    </w:p>
    <w:p w14:paraId="38DB91E6" w14:textId="77777777" w:rsidR="0097629D" w:rsidRDefault="00A2693D" w:rsidP="00F75424">
      <w:pPr>
        <w:jc w:val="center"/>
      </w:pPr>
    </w:p>
    <w:p w14:paraId="5A790177" w14:textId="77777777" w:rsidR="0097629D" w:rsidRDefault="00A2693D" w:rsidP="00F75424">
      <w:pPr>
        <w:jc w:val="center"/>
      </w:pPr>
    </w:p>
    <w:p w14:paraId="6F3A150F" w14:textId="77777777" w:rsidR="0097629D" w:rsidRDefault="00A2693D" w:rsidP="00F75424">
      <w:pPr>
        <w:jc w:val="center"/>
      </w:pPr>
    </w:p>
    <w:p w14:paraId="2246D0B2" w14:textId="77777777" w:rsidR="0097629D" w:rsidRPr="00C26F2D" w:rsidRDefault="00A2693D" w:rsidP="00F75424">
      <w:pPr>
        <w:jc w:val="center"/>
      </w:pPr>
    </w:p>
    <w:p w14:paraId="11C0F40A" w14:textId="77777777" w:rsidR="004B4A60" w:rsidRPr="0057246E" w:rsidRDefault="00A2693D" w:rsidP="004B4A60"/>
    <w:p w14:paraId="325EE007" w14:textId="77777777" w:rsidR="00C26F2D" w:rsidRDefault="00A2693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96E061F" w14:textId="77777777" w:rsidR="00A2693D" w:rsidRDefault="00A2693D" w:rsidP="00A2693D">
      <w:pPr>
        <w:pStyle w:val="ATSHeading1"/>
        <w:rPr>
          <w:lang w:val="en-US"/>
        </w:rPr>
      </w:pPr>
      <w:r>
        <w:rPr>
          <w:lang w:val="en-US"/>
        </w:rPr>
        <w:lastRenderedPageBreak/>
        <w:t>International Thwaites Glacier Collaboration</w:t>
      </w:r>
      <w:r w:rsidRPr="000E3F18">
        <w:rPr>
          <w:lang w:val="en-US"/>
        </w:rPr>
        <w:t>: The Future of Thwaites Glacier and its Contribution to Sea-level Rise</w:t>
      </w:r>
    </w:p>
    <w:p w14:paraId="4CEDA3BC" w14:textId="77777777" w:rsidR="00A2693D" w:rsidRPr="001D11AE" w:rsidRDefault="00A2693D" w:rsidP="00A2693D">
      <w:pPr>
        <w:pStyle w:val="ATSNormal"/>
        <w:rPr>
          <w:lang w:val="en-US"/>
        </w:rPr>
      </w:pPr>
    </w:p>
    <w:p w14:paraId="53AF4048" w14:textId="77777777" w:rsidR="00A2693D" w:rsidRPr="000E3F18" w:rsidRDefault="00A2693D" w:rsidP="00A2693D">
      <w:pPr>
        <w:spacing w:after="360"/>
        <w:jc w:val="center"/>
        <w:outlineLvl w:val="0"/>
        <w:rPr>
          <w:rFonts w:ascii="Arial" w:hAnsi="Arial" w:cs="Arial"/>
          <w:b/>
          <w:sz w:val="24"/>
          <w:lang w:val="en-US"/>
        </w:rPr>
      </w:pPr>
      <w:r w:rsidRPr="000E3F18">
        <w:rPr>
          <w:rFonts w:ascii="Arial" w:hAnsi="Arial" w:cs="Arial"/>
          <w:b/>
          <w:sz w:val="24"/>
          <w:lang w:val="en-US"/>
        </w:rPr>
        <w:t>Information paper submitted by the United States and United Kingdom</w:t>
      </w:r>
    </w:p>
    <w:p w14:paraId="0541F3F5" w14:textId="77777777" w:rsidR="00A2693D" w:rsidRPr="000E3F18" w:rsidRDefault="00A2693D" w:rsidP="00A2693D">
      <w:pPr>
        <w:spacing w:before="480" w:after="120"/>
        <w:outlineLvl w:val="0"/>
        <w:rPr>
          <w:rFonts w:ascii="Arial" w:hAnsi="Arial" w:cs="Arial"/>
          <w:b/>
          <w:i/>
          <w:sz w:val="24"/>
          <w:lang w:val="en-US"/>
        </w:rPr>
      </w:pPr>
      <w:r w:rsidRPr="000E3F18">
        <w:rPr>
          <w:rFonts w:ascii="Arial" w:hAnsi="Arial" w:cs="Arial"/>
          <w:b/>
          <w:i/>
          <w:sz w:val="24"/>
          <w:lang w:val="en-US"/>
        </w:rPr>
        <w:t>Introduction</w:t>
      </w:r>
    </w:p>
    <w:p w14:paraId="4E38C3C3" w14:textId="77777777" w:rsidR="00A2693D" w:rsidRPr="000E3F18" w:rsidRDefault="00A2693D" w:rsidP="00A2693D">
      <w:pPr>
        <w:spacing w:before="120" w:after="120"/>
        <w:rPr>
          <w:i/>
          <w:szCs w:val="22"/>
          <w:lang w:val="en-US"/>
        </w:rPr>
      </w:pPr>
      <w:r w:rsidRPr="000E3F18">
        <w:rPr>
          <w:szCs w:val="22"/>
          <w:lang w:val="en-US"/>
        </w:rPr>
        <w:t xml:space="preserve">Considerable uncertainty remains in projections of </w:t>
      </w:r>
      <w:r>
        <w:rPr>
          <w:szCs w:val="22"/>
          <w:lang w:val="en-US"/>
        </w:rPr>
        <w:t xml:space="preserve">timing and magnitude of future </w:t>
      </w:r>
      <w:r w:rsidRPr="000E3F18">
        <w:rPr>
          <w:szCs w:val="22"/>
          <w:lang w:val="en-US"/>
        </w:rPr>
        <w:t xml:space="preserve">global sea-level rise, and much of this uncertainty </w:t>
      </w:r>
      <w:r>
        <w:rPr>
          <w:szCs w:val="22"/>
          <w:lang w:val="en-US"/>
        </w:rPr>
        <w:t xml:space="preserve">arises from </w:t>
      </w:r>
      <w:r w:rsidRPr="000E3F18">
        <w:rPr>
          <w:szCs w:val="22"/>
          <w:lang w:val="en-US"/>
        </w:rPr>
        <w:t>projections of ice-loss from West Antarctica</w:t>
      </w:r>
      <w:r>
        <w:rPr>
          <w:szCs w:val="22"/>
          <w:lang w:val="en-US"/>
        </w:rPr>
        <w:t xml:space="preserve">.  Thwaites Glacier would contribute ~0.65m by itself—but is thought to be a keystone to broader collapse of West Antarctica, which contains ~3m of sea-level equivalent.  Projections of the demise of Thwaites Glacier vary from millennia to just two centuries.  This uncertainty arises from gaps in data, inadequate understanding of the key processes involved, and a lack of data to test computer models. </w:t>
      </w:r>
      <w:r w:rsidRPr="000E3F18">
        <w:rPr>
          <w:szCs w:val="22"/>
          <w:lang w:val="en-US"/>
        </w:rPr>
        <w:t>Reducing this uncertainty is an international priority that was underscored by the Scientific Committee on Antarctic Research in its “Horizon Scan 2020” (</w:t>
      </w:r>
      <w:hyperlink r:id="rId11" w:history="1">
        <w:r w:rsidRPr="000E3F18">
          <w:rPr>
            <w:rStyle w:val="Hipervnculo"/>
            <w:i/>
            <w:szCs w:val="22"/>
            <w:lang w:val="en-US"/>
          </w:rPr>
          <w:t>http://www.scar.org/horizonscan</w:t>
        </w:r>
      </w:hyperlink>
      <w:r w:rsidRPr="000E3F18">
        <w:rPr>
          <w:szCs w:val="22"/>
          <w:lang w:val="en-US"/>
        </w:rPr>
        <w:t>)</w:t>
      </w:r>
      <w:r>
        <w:rPr>
          <w:szCs w:val="22"/>
          <w:lang w:val="en-US"/>
        </w:rPr>
        <w:t xml:space="preserve">.  </w:t>
      </w:r>
      <w:r w:rsidRPr="000E3F18">
        <w:rPr>
          <w:szCs w:val="22"/>
          <w:lang w:val="en-US"/>
        </w:rPr>
        <w:t xml:space="preserve">This </w:t>
      </w:r>
      <w:r>
        <w:rPr>
          <w:szCs w:val="22"/>
          <w:lang w:val="en-US"/>
        </w:rPr>
        <w:t>was</w:t>
      </w:r>
      <w:r w:rsidRPr="000E3F18">
        <w:rPr>
          <w:szCs w:val="22"/>
          <w:lang w:val="en-US"/>
        </w:rPr>
        <w:t xml:space="preserve"> also the top Antarctic research priority of the National Academies of Sciences, Engineering, and Medicine report, </w:t>
      </w:r>
      <w:r w:rsidRPr="000E3F18">
        <w:rPr>
          <w:i/>
          <w:szCs w:val="22"/>
          <w:lang w:val="en-US"/>
        </w:rPr>
        <w:t>A Strategic Vision for NSF Investments in Antarctic and Southern Ocean Research</w:t>
      </w:r>
      <w:r w:rsidRPr="000E3F18">
        <w:rPr>
          <w:szCs w:val="22"/>
          <w:lang w:val="en-US"/>
        </w:rPr>
        <w:t xml:space="preserve"> (</w:t>
      </w:r>
      <w:hyperlink r:id="rId12" w:history="1">
        <w:r w:rsidRPr="000E3F18">
          <w:rPr>
            <w:rStyle w:val="Hipervnculo"/>
            <w:i/>
            <w:szCs w:val="22"/>
            <w:lang w:val="en-US"/>
          </w:rPr>
          <w:t>https://www.nap.edu/catalog/21741/a-strategic-vision-for-nsf-investments-in-antarctic-and-southern-ocean-research</w:t>
        </w:r>
        <w:r w:rsidRPr="000E3F18">
          <w:rPr>
            <w:rStyle w:val="Hipervnculo"/>
            <w:szCs w:val="22"/>
            <w:lang w:val="en-US"/>
          </w:rPr>
          <w:t>)</w:t>
        </w:r>
      </w:hyperlink>
      <w:r w:rsidRPr="000E3F18">
        <w:rPr>
          <w:szCs w:val="22"/>
          <w:lang w:val="en-US"/>
        </w:rPr>
        <w:t>.</w:t>
      </w:r>
    </w:p>
    <w:p w14:paraId="72BAEDCC" w14:textId="77777777" w:rsidR="00A2693D" w:rsidRDefault="00A2693D" w:rsidP="00A2693D">
      <w:pPr>
        <w:spacing w:before="120" w:after="120"/>
        <w:rPr>
          <w:szCs w:val="22"/>
          <w:lang w:val="en-US"/>
        </w:rPr>
      </w:pPr>
      <w:r w:rsidRPr="000E3F18">
        <w:rPr>
          <w:szCs w:val="22"/>
          <w:lang w:val="en-US"/>
        </w:rPr>
        <w:t xml:space="preserve">Since the 1990s, satellites have shown accelerating ice loss driven by ocean change in five neighboring glacier catchments </w:t>
      </w:r>
      <w:r>
        <w:rPr>
          <w:szCs w:val="22"/>
          <w:lang w:val="en-US"/>
        </w:rPr>
        <w:t xml:space="preserve">in West Antarctica, </w:t>
      </w:r>
      <w:r w:rsidRPr="000E3F18">
        <w:rPr>
          <w:szCs w:val="22"/>
          <w:lang w:val="en-US"/>
        </w:rPr>
        <w:t xml:space="preserve">including </w:t>
      </w:r>
      <w:r>
        <w:rPr>
          <w:szCs w:val="22"/>
          <w:lang w:val="en-US"/>
        </w:rPr>
        <w:t xml:space="preserve">the massive </w:t>
      </w:r>
      <w:r w:rsidRPr="000E3F18">
        <w:rPr>
          <w:szCs w:val="22"/>
          <w:lang w:val="en-US"/>
        </w:rPr>
        <w:t>Thwaites and Pine Island glaciers (see Figure 1), which, together, drain more than one third of the West Antarctic Ice Sheet (WAIS)</w:t>
      </w:r>
      <w:r>
        <w:rPr>
          <w:szCs w:val="22"/>
          <w:lang w:val="en-US"/>
        </w:rPr>
        <w:t>.  The rate of ice loss from this region grew significantly in the period 2005-2010 and has since accounted for more than 10 per cent of global sea-level rise.  Significant net ice-loss was first observed on</w:t>
      </w:r>
      <w:r w:rsidRPr="000E3F18">
        <w:rPr>
          <w:szCs w:val="22"/>
          <w:lang w:val="en-US"/>
        </w:rPr>
        <w:t xml:space="preserve"> Pine Island Glacier, which </w:t>
      </w:r>
      <w:r>
        <w:rPr>
          <w:szCs w:val="22"/>
          <w:lang w:val="en-US"/>
        </w:rPr>
        <w:t xml:space="preserve">was </w:t>
      </w:r>
      <w:r w:rsidRPr="000E3F18">
        <w:rPr>
          <w:szCs w:val="22"/>
          <w:lang w:val="en-US"/>
        </w:rPr>
        <w:t xml:space="preserve">the focus of several recent </w:t>
      </w:r>
      <w:r>
        <w:rPr>
          <w:szCs w:val="22"/>
          <w:lang w:val="en-US"/>
        </w:rPr>
        <w:t>U.S. National Science Foundation (</w:t>
      </w:r>
      <w:r w:rsidRPr="000E3F18">
        <w:rPr>
          <w:szCs w:val="22"/>
          <w:lang w:val="en-US"/>
        </w:rPr>
        <w:t>NSF</w:t>
      </w:r>
      <w:r>
        <w:rPr>
          <w:szCs w:val="22"/>
          <w:lang w:val="en-US"/>
        </w:rPr>
        <w:t>)</w:t>
      </w:r>
      <w:r w:rsidRPr="000E3F18">
        <w:rPr>
          <w:szCs w:val="22"/>
          <w:lang w:val="en-US"/>
        </w:rPr>
        <w:t xml:space="preserve">-funded projects and the </w:t>
      </w:r>
      <w:r>
        <w:rPr>
          <w:szCs w:val="22"/>
          <w:lang w:val="en-US"/>
        </w:rPr>
        <w:t>U.K. Natural Environment Research Council (</w:t>
      </w:r>
      <w:r w:rsidRPr="000E3F18">
        <w:rPr>
          <w:szCs w:val="22"/>
          <w:lang w:val="en-US"/>
        </w:rPr>
        <w:t>NERC</w:t>
      </w:r>
      <w:r>
        <w:rPr>
          <w:szCs w:val="22"/>
          <w:lang w:val="en-US"/>
        </w:rPr>
        <w:t>)</w:t>
      </w:r>
      <w:r w:rsidRPr="000E3F18">
        <w:rPr>
          <w:szCs w:val="22"/>
          <w:lang w:val="en-US"/>
        </w:rPr>
        <w:t xml:space="preserve"> </w:t>
      </w:r>
      <w:proofErr w:type="spellStart"/>
      <w:r w:rsidRPr="000E3F18">
        <w:rPr>
          <w:szCs w:val="22"/>
          <w:lang w:val="en-US"/>
        </w:rPr>
        <w:t>iSTAR</w:t>
      </w:r>
      <w:proofErr w:type="spellEnd"/>
      <w:r w:rsidRPr="000E3F18">
        <w:rPr>
          <w:szCs w:val="22"/>
          <w:lang w:val="en-US"/>
        </w:rPr>
        <w:t xml:space="preserve"> </w:t>
      </w:r>
      <w:proofErr w:type="spellStart"/>
      <w:r w:rsidRPr="000E3F18">
        <w:rPr>
          <w:szCs w:val="22"/>
          <w:lang w:val="en-US"/>
        </w:rPr>
        <w:t>Programme</w:t>
      </w:r>
      <w:proofErr w:type="spellEnd"/>
      <w:r w:rsidRPr="000E3F18">
        <w:rPr>
          <w:szCs w:val="22"/>
          <w:lang w:val="en-US"/>
        </w:rPr>
        <w:t xml:space="preserve"> (2010-2017, </w:t>
      </w:r>
      <w:hyperlink r:id="rId13" w:history="1">
        <w:r w:rsidRPr="000E3F18">
          <w:rPr>
            <w:rStyle w:val="Hipervnculo"/>
            <w:i/>
            <w:szCs w:val="22"/>
            <w:lang w:val="en-US"/>
          </w:rPr>
          <w:t>http://www.istar.ac.uk/</w:t>
        </w:r>
      </w:hyperlink>
      <w:r w:rsidRPr="000E3F18">
        <w:rPr>
          <w:szCs w:val="22"/>
          <w:lang w:val="en-US"/>
        </w:rPr>
        <w:t>)</w:t>
      </w:r>
      <w:r>
        <w:rPr>
          <w:szCs w:val="22"/>
          <w:lang w:val="en-US"/>
        </w:rPr>
        <w:t xml:space="preserve">.  </w:t>
      </w:r>
      <w:r w:rsidRPr="000E3F18">
        <w:rPr>
          <w:szCs w:val="22"/>
          <w:lang w:val="en-US"/>
        </w:rPr>
        <w:t>However, a consistent result obtained by recent ice-sheet modeling studies is that</w:t>
      </w:r>
      <w:r>
        <w:rPr>
          <w:szCs w:val="22"/>
          <w:lang w:val="en-US"/>
        </w:rPr>
        <w:t>,</w:t>
      </w:r>
      <w:r w:rsidRPr="000E3F18">
        <w:rPr>
          <w:szCs w:val="22"/>
          <w:lang w:val="en-US"/>
        </w:rPr>
        <w:t xml:space="preserve"> on </w:t>
      </w:r>
      <w:proofErr w:type="gramStart"/>
      <w:r w:rsidRPr="000E3F18">
        <w:rPr>
          <w:szCs w:val="22"/>
          <w:lang w:val="en-US"/>
        </w:rPr>
        <w:t>societally-relevant</w:t>
      </w:r>
      <w:proofErr w:type="gramEnd"/>
      <w:r w:rsidRPr="000E3F18">
        <w:rPr>
          <w:szCs w:val="22"/>
          <w:lang w:val="en-US"/>
        </w:rPr>
        <w:t xml:space="preserve"> decade-to-century timescales, the most significant, and potentially irreversible changes in West Antarctica are likely to occur on Thwaites Glacier (</w:t>
      </w:r>
      <w:r>
        <w:rPr>
          <w:szCs w:val="22"/>
          <w:lang w:val="en-US"/>
        </w:rPr>
        <w:t xml:space="preserve">e.g., </w:t>
      </w:r>
      <w:r w:rsidRPr="000E3F18">
        <w:rPr>
          <w:szCs w:val="22"/>
          <w:lang w:val="en-US"/>
        </w:rPr>
        <w:t>National Academies of Sciences, 2015)</w:t>
      </w:r>
      <w:r>
        <w:rPr>
          <w:szCs w:val="22"/>
          <w:lang w:val="en-US"/>
        </w:rPr>
        <w:t xml:space="preserve">.  </w:t>
      </w:r>
      <w:r w:rsidRPr="000E3F18">
        <w:rPr>
          <w:szCs w:val="22"/>
          <w:lang w:val="en-US"/>
        </w:rPr>
        <w:t xml:space="preserve">Satellite studies confirm that significant changes are already underway on this glacier, </w:t>
      </w:r>
      <w:r>
        <w:rPr>
          <w:szCs w:val="22"/>
          <w:lang w:val="en-US"/>
        </w:rPr>
        <w:t>with the grounding line retreating at several hundred m/year and sub-shelf melt rates of up to 200 m/year (</w:t>
      </w:r>
      <w:proofErr w:type="spellStart"/>
      <w:r>
        <w:rPr>
          <w:szCs w:val="22"/>
          <w:lang w:val="en-US"/>
        </w:rPr>
        <w:t>Milillo</w:t>
      </w:r>
      <w:proofErr w:type="spellEnd"/>
      <w:r>
        <w:rPr>
          <w:szCs w:val="22"/>
          <w:lang w:val="en-US"/>
        </w:rPr>
        <w:t xml:space="preserve"> et al., 2019).   The ice-mass loss from Thwaites Glacier has increased six-fold over the past 25 years (Shepherd et al., 2019), </w:t>
      </w:r>
      <w:r w:rsidRPr="000E3F18">
        <w:rPr>
          <w:szCs w:val="22"/>
          <w:lang w:val="en-US"/>
        </w:rPr>
        <w:t xml:space="preserve">but </w:t>
      </w:r>
      <w:r>
        <w:rPr>
          <w:szCs w:val="22"/>
          <w:lang w:val="en-US"/>
        </w:rPr>
        <w:t>its future trajectory, and thus its</w:t>
      </w:r>
      <w:r w:rsidRPr="000E3F18">
        <w:rPr>
          <w:szCs w:val="22"/>
          <w:lang w:val="en-US"/>
        </w:rPr>
        <w:t xml:space="preserve"> potential contribution to sea-level rise</w:t>
      </w:r>
      <w:r>
        <w:rPr>
          <w:szCs w:val="22"/>
          <w:lang w:val="en-US"/>
        </w:rPr>
        <w:t>,</w:t>
      </w:r>
      <w:r w:rsidRPr="000E3F18">
        <w:rPr>
          <w:szCs w:val="22"/>
          <w:lang w:val="en-US"/>
        </w:rPr>
        <w:t xml:space="preserve"> cannot currently be assessed with certainty.</w:t>
      </w:r>
    </w:p>
    <w:p w14:paraId="0841A2C6" w14:textId="77777777" w:rsidR="00A2693D" w:rsidRPr="000E3F18" w:rsidRDefault="00A2693D" w:rsidP="00A2693D">
      <w:pPr>
        <w:spacing w:before="120" w:after="120"/>
        <w:rPr>
          <w:szCs w:val="22"/>
          <w:lang w:val="en-US"/>
        </w:rPr>
      </w:pPr>
      <w:r w:rsidRPr="000E3F18">
        <w:rPr>
          <w:szCs w:val="22"/>
          <w:lang w:val="en-US"/>
        </w:rPr>
        <w:t xml:space="preserve">Building on </w:t>
      </w:r>
      <w:r>
        <w:rPr>
          <w:szCs w:val="22"/>
          <w:lang w:val="en-US"/>
        </w:rPr>
        <w:t>shared</w:t>
      </w:r>
      <w:r w:rsidRPr="000E3F18">
        <w:rPr>
          <w:szCs w:val="22"/>
          <w:lang w:val="en-US"/>
        </w:rPr>
        <w:t xml:space="preserve"> priorit</w:t>
      </w:r>
      <w:r>
        <w:rPr>
          <w:szCs w:val="22"/>
          <w:lang w:val="en-US"/>
        </w:rPr>
        <w:t>ies</w:t>
      </w:r>
      <w:r w:rsidRPr="000E3F18">
        <w:rPr>
          <w:szCs w:val="22"/>
          <w:lang w:val="en-US"/>
        </w:rPr>
        <w:t>, and recognizing that such research is becoming an increasingly global endeavor</w:t>
      </w:r>
      <w:r>
        <w:rPr>
          <w:szCs w:val="22"/>
          <w:lang w:val="en-US"/>
        </w:rPr>
        <w:t>,</w:t>
      </w:r>
      <w:r w:rsidRPr="000E3F18">
        <w:rPr>
          <w:szCs w:val="22"/>
          <w:lang w:val="en-US"/>
        </w:rPr>
        <w:t xml:space="preserve"> with demands that exceed the capacities of any one nation,</w:t>
      </w:r>
      <w:r>
        <w:rPr>
          <w:szCs w:val="22"/>
          <w:lang w:val="en-US"/>
        </w:rPr>
        <w:t xml:space="preserve"> </w:t>
      </w:r>
      <w:r w:rsidRPr="000E3F18">
        <w:rPr>
          <w:szCs w:val="22"/>
          <w:lang w:val="en-US"/>
        </w:rPr>
        <w:t xml:space="preserve">NSF and NERC </w:t>
      </w:r>
      <w:r>
        <w:rPr>
          <w:szCs w:val="22"/>
          <w:lang w:val="en-US"/>
        </w:rPr>
        <w:t>launched a</w:t>
      </w:r>
      <w:r w:rsidRPr="000E3F18">
        <w:rPr>
          <w:szCs w:val="22"/>
          <w:lang w:val="en-US"/>
        </w:rPr>
        <w:t xml:space="preserve"> </w:t>
      </w:r>
      <w:r>
        <w:rPr>
          <w:szCs w:val="22"/>
          <w:lang w:val="en-US"/>
        </w:rPr>
        <w:t>collaborative</w:t>
      </w:r>
      <w:r w:rsidRPr="000E3F18">
        <w:rPr>
          <w:szCs w:val="22"/>
          <w:lang w:val="en-US"/>
        </w:rPr>
        <w:t xml:space="preserve"> program </w:t>
      </w:r>
      <w:r>
        <w:rPr>
          <w:szCs w:val="22"/>
          <w:lang w:val="en-US"/>
        </w:rPr>
        <w:t xml:space="preserve">in 2017 </w:t>
      </w:r>
      <w:r w:rsidRPr="000E3F18">
        <w:rPr>
          <w:szCs w:val="22"/>
          <w:lang w:val="en-US"/>
        </w:rPr>
        <w:t xml:space="preserve">with the objective to substantially improve both decadal and longer-term (century-to-multi-century) projections of ice loss and sea-level rise originating from Thwaites Glacier (NSF Program Solicitation </w:t>
      </w:r>
      <w:hyperlink r:id="rId14" w:history="1">
        <w:r w:rsidRPr="000E3F18">
          <w:rPr>
            <w:rStyle w:val="Hipervnculo"/>
            <w:i/>
            <w:szCs w:val="22"/>
            <w:lang w:val="en-US"/>
          </w:rPr>
          <w:t>https://www.nsf.gov/pubs/2017/nsf17505/nsf17505.htm</w:t>
        </w:r>
      </w:hyperlink>
      <w:r w:rsidRPr="000E3F18">
        <w:rPr>
          <w:szCs w:val="22"/>
          <w:lang w:val="en-US"/>
        </w:rPr>
        <w:t>)</w:t>
      </w:r>
      <w:r>
        <w:rPr>
          <w:szCs w:val="22"/>
          <w:lang w:val="en-US"/>
        </w:rPr>
        <w:t xml:space="preserve">. </w:t>
      </w:r>
    </w:p>
    <w:p w14:paraId="590E3C8D" w14:textId="77777777" w:rsidR="00A2693D" w:rsidRDefault="00A2693D" w:rsidP="00A2693D">
      <w:pPr>
        <w:pStyle w:val="NormalWeb"/>
        <w:shd w:val="clear" w:color="auto" w:fill="FEFEFE"/>
        <w:spacing w:before="120" w:beforeAutospacing="0" w:after="120" w:afterAutospacing="0"/>
        <w:jc w:val="left"/>
        <w:rPr>
          <w:sz w:val="22"/>
          <w:szCs w:val="22"/>
          <w:lang w:val="en-US"/>
        </w:rPr>
      </w:pPr>
      <w:r>
        <w:rPr>
          <w:sz w:val="22"/>
          <w:szCs w:val="22"/>
          <w:lang w:val="en-US"/>
        </w:rPr>
        <w:t>Grants to</w:t>
      </w:r>
      <w:r w:rsidRPr="000E3F18">
        <w:rPr>
          <w:sz w:val="22"/>
          <w:szCs w:val="22"/>
          <w:lang w:val="en-US"/>
        </w:rPr>
        <w:t xml:space="preserve"> science teams, each </w:t>
      </w:r>
      <w:r>
        <w:rPr>
          <w:sz w:val="22"/>
          <w:szCs w:val="22"/>
          <w:lang w:val="en-US"/>
        </w:rPr>
        <w:t>involving a core of</w:t>
      </w:r>
      <w:r w:rsidRPr="000E3F18">
        <w:rPr>
          <w:sz w:val="22"/>
          <w:szCs w:val="22"/>
          <w:lang w:val="en-US"/>
        </w:rPr>
        <w:t xml:space="preserve"> U.S</w:t>
      </w:r>
      <w:r>
        <w:rPr>
          <w:sz w:val="22"/>
          <w:szCs w:val="22"/>
          <w:lang w:val="en-US"/>
        </w:rPr>
        <w:t xml:space="preserve">. </w:t>
      </w:r>
      <w:r w:rsidRPr="000E3F18">
        <w:rPr>
          <w:sz w:val="22"/>
          <w:szCs w:val="22"/>
          <w:lang w:val="en-US"/>
        </w:rPr>
        <w:t>and U</w:t>
      </w:r>
      <w:r>
        <w:rPr>
          <w:sz w:val="22"/>
          <w:szCs w:val="22"/>
          <w:lang w:val="en-US"/>
        </w:rPr>
        <w:t>.</w:t>
      </w:r>
      <w:r w:rsidRPr="000E3F18">
        <w:rPr>
          <w:sz w:val="22"/>
          <w:szCs w:val="22"/>
          <w:lang w:val="en-US"/>
        </w:rPr>
        <w:t>K</w:t>
      </w:r>
      <w:r>
        <w:rPr>
          <w:sz w:val="22"/>
          <w:szCs w:val="22"/>
          <w:lang w:val="en-US"/>
        </w:rPr>
        <w:t>.</w:t>
      </w:r>
      <w:r w:rsidRPr="000E3F18">
        <w:rPr>
          <w:sz w:val="22"/>
          <w:szCs w:val="22"/>
          <w:lang w:val="en-US"/>
        </w:rPr>
        <w:t xml:space="preserve"> participants, were </w:t>
      </w:r>
      <w:r>
        <w:rPr>
          <w:sz w:val="22"/>
          <w:szCs w:val="22"/>
          <w:lang w:val="en-US"/>
        </w:rPr>
        <w:t xml:space="preserve">awarded in April 2018 (see </w:t>
      </w:r>
      <w:hyperlink r:id="rId15" w:history="1">
        <w:r w:rsidRPr="00FF4ED8">
          <w:rPr>
            <w:rStyle w:val="Hipervnculo"/>
            <w:sz w:val="22"/>
            <w:szCs w:val="22"/>
            <w:lang w:val="en-US"/>
          </w:rPr>
          <w:t>https://thwaitesglacier.org</w:t>
        </w:r>
      </w:hyperlink>
      <w:r>
        <w:rPr>
          <w:sz w:val="22"/>
          <w:szCs w:val="22"/>
          <w:lang w:val="en-US"/>
        </w:rPr>
        <w:t>).  Together, t</w:t>
      </w:r>
      <w:r w:rsidRPr="000E3F18">
        <w:rPr>
          <w:sz w:val="22"/>
          <w:szCs w:val="22"/>
          <w:lang w:val="en-US"/>
        </w:rPr>
        <w:t>he</w:t>
      </w:r>
      <w:r>
        <w:rPr>
          <w:sz w:val="22"/>
          <w:szCs w:val="22"/>
          <w:lang w:val="en-US"/>
        </w:rPr>
        <w:t>se</w:t>
      </w:r>
      <w:r w:rsidRPr="000E3F18">
        <w:rPr>
          <w:sz w:val="22"/>
          <w:szCs w:val="22"/>
          <w:lang w:val="en-US"/>
        </w:rPr>
        <w:t xml:space="preserve"> </w:t>
      </w:r>
      <w:r>
        <w:rPr>
          <w:sz w:val="22"/>
          <w:szCs w:val="22"/>
          <w:lang w:val="en-US"/>
        </w:rPr>
        <w:t>projects</w:t>
      </w:r>
      <w:r w:rsidRPr="000E3F18">
        <w:rPr>
          <w:sz w:val="22"/>
          <w:szCs w:val="22"/>
          <w:lang w:val="en-US"/>
        </w:rPr>
        <w:t xml:space="preserve"> form </w:t>
      </w:r>
      <w:r>
        <w:rPr>
          <w:sz w:val="22"/>
          <w:szCs w:val="22"/>
          <w:lang w:val="en-US"/>
        </w:rPr>
        <w:t xml:space="preserve">the International Thwaites Glacier Collaboration (ITGC), which </w:t>
      </w:r>
      <w:r w:rsidRPr="000E3F18">
        <w:rPr>
          <w:sz w:val="22"/>
          <w:szCs w:val="22"/>
          <w:lang w:val="en-US"/>
        </w:rPr>
        <w:t>is intended to produce a direct and significant improvement in understanding of the stability of marine ice sheets and specifically the West Antarctic Ice Sheet in the vicinity of Thwaites Glacier</w:t>
      </w:r>
      <w:r>
        <w:rPr>
          <w:sz w:val="22"/>
          <w:szCs w:val="22"/>
          <w:lang w:val="en-US"/>
        </w:rPr>
        <w:t xml:space="preserve">.  </w:t>
      </w:r>
      <w:r w:rsidRPr="00AC735D">
        <w:rPr>
          <w:sz w:val="22"/>
          <w:szCs w:val="22"/>
          <w:lang w:val="en-US"/>
        </w:rPr>
        <w:t xml:space="preserve">The eight ITGC science projects collectively address boundary conditions, external drivers of change, processes leading to collapse, past change, and forecasts of future change.  </w:t>
      </w:r>
      <w:r>
        <w:rPr>
          <w:sz w:val="22"/>
          <w:szCs w:val="22"/>
          <w:lang w:val="en-US"/>
        </w:rPr>
        <w:t>The program</w:t>
      </w:r>
      <w:r w:rsidRPr="000E3F18">
        <w:rPr>
          <w:sz w:val="22"/>
          <w:szCs w:val="22"/>
          <w:lang w:val="en-US"/>
        </w:rPr>
        <w:t xml:space="preserve"> will improve </w:t>
      </w:r>
      <w:r>
        <w:rPr>
          <w:sz w:val="22"/>
          <w:szCs w:val="22"/>
          <w:lang w:val="en-US"/>
        </w:rPr>
        <w:t>understanding of the key processes that are leading to ice-sheet change, and the</w:t>
      </w:r>
      <w:r w:rsidRPr="000E3F18">
        <w:rPr>
          <w:sz w:val="22"/>
          <w:szCs w:val="22"/>
          <w:lang w:val="en-US"/>
        </w:rPr>
        <w:t xml:space="preserve"> ice-sheet modeling community’s capability to simulate ice sheets and thus reduc</w:t>
      </w:r>
      <w:r>
        <w:rPr>
          <w:sz w:val="22"/>
          <w:szCs w:val="22"/>
          <w:lang w:val="en-US"/>
        </w:rPr>
        <w:t>e</w:t>
      </w:r>
      <w:r w:rsidRPr="000E3F18">
        <w:rPr>
          <w:sz w:val="22"/>
          <w:szCs w:val="22"/>
          <w:lang w:val="en-US"/>
        </w:rPr>
        <w:t xml:space="preserve"> the uncertainties in sea-level projections</w:t>
      </w:r>
      <w:r>
        <w:rPr>
          <w:sz w:val="22"/>
          <w:szCs w:val="22"/>
          <w:lang w:val="en-US"/>
        </w:rPr>
        <w:t xml:space="preserve">.  </w:t>
      </w:r>
      <w:r w:rsidRPr="000E3F18">
        <w:rPr>
          <w:sz w:val="22"/>
          <w:szCs w:val="22"/>
          <w:lang w:val="en-US"/>
        </w:rPr>
        <w:t>In addition, the program will contribute to improving risk assessments that coastal communities need for decisions about adaptation and long-</w:t>
      </w:r>
      <w:r>
        <w:rPr>
          <w:sz w:val="22"/>
          <w:szCs w:val="22"/>
          <w:lang w:val="en-US"/>
        </w:rPr>
        <w:t>term</w:t>
      </w:r>
      <w:r w:rsidRPr="000E3F18">
        <w:rPr>
          <w:sz w:val="22"/>
          <w:szCs w:val="22"/>
          <w:lang w:val="en-US"/>
        </w:rPr>
        <w:t xml:space="preserve"> planning.</w:t>
      </w:r>
    </w:p>
    <w:p w14:paraId="1235D706" w14:textId="77777777" w:rsidR="00A2693D" w:rsidRPr="000E3F18" w:rsidRDefault="00A2693D" w:rsidP="00A2693D">
      <w:pPr>
        <w:pStyle w:val="NormalWeb"/>
        <w:shd w:val="clear" w:color="auto" w:fill="FEFEFE"/>
        <w:spacing w:before="120" w:beforeAutospacing="0" w:after="120" w:afterAutospacing="0"/>
        <w:jc w:val="left"/>
        <w:rPr>
          <w:sz w:val="22"/>
          <w:szCs w:val="22"/>
          <w:lang w:val="en-US"/>
        </w:rPr>
      </w:pPr>
    </w:p>
    <w:p w14:paraId="3686C6F0" w14:textId="77777777" w:rsidR="00A2693D" w:rsidRPr="000E3F18" w:rsidRDefault="00A2693D" w:rsidP="00A2693D">
      <w:pPr>
        <w:spacing w:before="480" w:after="120"/>
        <w:outlineLvl w:val="0"/>
        <w:rPr>
          <w:rFonts w:ascii="Arial" w:hAnsi="Arial" w:cs="Arial"/>
          <w:b/>
          <w:i/>
          <w:sz w:val="24"/>
          <w:lang w:val="en-US"/>
        </w:rPr>
      </w:pPr>
      <w:r>
        <w:rPr>
          <w:rFonts w:ascii="Arial" w:hAnsi="Arial" w:cs="Arial"/>
          <w:b/>
          <w:i/>
          <w:sz w:val="24"/>
          <w:lang w:val="en-US"/>
        </w:rPr>
        <w:lastRenderedPageBreak/>
        <w:t>An integrated and collaborative research program</w:t>
      </w:r>
    </w:p>
    <w:p w14:paraId="6B8AC325" w14:textId="77777777" w:rsidR="00A2693D" w:rsidRPr="000E3F18" w:rsidRDefault="00A2693D" w:rsidP="00A2693D">
      <w:pPr>
        <w:spacing w:before="120" w:after="120"/>
        <w:rPr>
          <w:szCs w:val="22"/>
          <w:lang w:val="en-US" w:eastAsia="en-AU"/>
        </w:rPr>
      </w:pPr>
      <w:r>
        <w:rPr>
          <w:szCs w:val="22"/>
          <w:lang w:val="en-US" w:eastAsia="en-AU"/>
        </w:rPr>
        <w:t>ITGC</w:t>
      </w:r>
      <w:r w:rsidRPr="000E3F18">
        <w:rPr>
          <w:szCs w:val="22"/>
          <w:lang w:val="en-US" w:eastAsia="en-AU"/>
        </w:rPr>
        <w:t xml:space="preserve"> </w:t>
      </w:r>
      <w:r>
        <w:rPr>
          <w:szCs w:val="22"/>
          <w:lang w:val="en-US" w:eastAsia="en-AU"/>
        </w:rPr>
        <w:t>is</w:t>
      </w:r>
      <w:r w:rsidRPr="000E3F18">
        <w:rPr>
          <w:szCs w:val="22"/>
          <w:lang w:val="en-US" w:eastAsia="en-AU"/>
        </w:rPr>
        <w:t xml:space="preserve"> support</w:t>
      </w:r>
      <w:r>
        <w:rPr>
          <w:szCs w:val="22"/>
          <w:lang w:val="en-US" w:eastAsia="en-AU"/>
        </w:rPr>
        <w:t>ing</w:t>
      </w:r>
      <w:r w:rsidRPr="000E3F18">
        <w:rPr>
          <w:szCs w:val="22"/>
          <w:lang w:val="en-US" w:eastAsia="en-AU"/>
        </w:rPr>
        <w:t xml:space="preserve"> observational campaign</w:t>
      </w:r>
      <w:r>
        <w:rPr>
          <w:szCs w:val="22"/>
          <w:lang w:val="en-US" w:eastAsia="en-AU"/>
        </w:rPr>
        <w:t>s on</w:t>
      </w:r>
      <w:r w:rsidRPr="000E3F18">
        <w:rPr>
          <w:szCs w:val="22"/>
          <w:lang w:val="en-US" w:eastAsia="en-AU"/>
        </w:rPr>
        <w:t xml:space="preserve"> the </w:t>
      </w:r>
      <w:r>
        <w:rPr>
          <w:szCs w:val="22"/>
          <w:lang w:val="en-US" w:eastAsia="en-AU"/>
        </w:rPr>
        <w:t xml:space="preserve">Thwaites Glacier (TG) </w:t>
      </w:r>
      <w:r w:rsidRPr="000E3F18">
        <w:rPr>
          <w:szCs w:val="22"/>
          <w:lang w:val="en-US" w:eastAsia="en-AU"/>
        </w:rPr>
        <w:t>and</w:t>
      </w:r>
      <w:r>
        <w:rPr>
          <w:szCs w:val="22"/>
          <w:lang w:val="en-US" w:eastAsia="en-AU"/>
        </w:rPr>
        <w:t xml:space="preserve"> the neighboring Amundsen Sea</w:t>
      </w:r>
      <w:r w:rsidRPr="000E3F18">
        <w:rPr>
          <w:szCs w:val="22"/>
          <w:lang w:val="en-US" w:eastAsia="en-AU"/>
        </w:rPr>
        <w:t xml:space="preserve"> to understand the changes taking place and the processes driving these changes</w:t>
      </w:r>
      <w:r>
        <w:rPr>
          <w:szCs w:val="22"/>
          <w:lang w:val="en-US" w:eastAsia="en-AU"/>
        </w:rPr>
        <w:t>.  At the same time, m</w:t>
      </w:r>
      <w:r w:rsidRPr="000E3F18">
        <w:rPr>
          <w:szCs w:val="22"/>
          <w:lang w:val="en-US" w:eastAsia="en-AU"/>
        </w:rPr>
        <w:t xml:space="preserve">odeling </w:t>
      </w:r>
      <w:r>
        <w:rPr>
          <w:szCs w:val="22"/>
          <w:lang w:val="en-US" w:eastAsia="en-AU"/>
        </w:rPr>
        <w:t xml:space="preserve">work will </w:t>
      </w:r>
      <w:r w:rsidRPr="000E3F18">
        <w:rPr>
          <w:szCs w:val="22"/>
          <w:lang w:val="en-US" w:eastAsia="en-AU"/>
        </w:rPr>
        <w:t xml:space="preserve">help optimize </w:t>
      </w:r>
      <w:r>
        <w:rPr>
          <w:szCs w:val="22"/>
          <w:lang w:val="en-US" w:eastAsia="en-AU"/>
        </w:rPr>
        <w:t>observational</w:t>
      </w:r>
      <w:r w:rsidRPr="000E3F18">
        <w:rPr>
          <w:szCs w:val="22"/>
          <w:lang w:val="en-US" w:eastAsia="en-AU"/>
        </w:rPr>
        <w:t xml:space="preserve"> strategies, decipher external drivers, and, ultimately, </w:t>
      </w:r>
      <w:r>
        <w:rPr>
          <w:szCs w:val="22"/>
          <w:lang w:val="en-US" w:eastAsia="en-AU"/>
        </w:rPr>
        <w:t>deliver</w:t>
      </w:r>
      <w:r w:rsidRPr="000E3F18">
        <w:rPr>
          <w:szCs w:val="22"/>
          <w:lang w:val="en-US" w:eastAsia="en-AU"/>
        </w:rPr>
        <w:t xml:space="preserve"> improved projections of sea-level rise</w:t>
      </w:r>
      <w:r>
        <w:rPr>
          <w:szCs w:val="22"/>
          <w:lang w:val="en-US" w:eastAsia="en-AU"/>
        </w:rPr>
        <w:t xml:space="preserve">.  </w:t>
      </w:r>
      <w:r w:rsidRPr="000E3F18">
        <w:rPr>
          <w:szCs w:val="22"/>
          <w:lang w:val="en-US" w:eastAsia="en-AU"/>
        </w:rPr>
        <w:t xml:space="preserve">Observational evidence </w:t>
      </w:r>
      <w:r>
        <w:rPr>
          <w:szCs w:val="22"/>
          <w:lang w:val="en-US" w:eastAsia="en-AU"/>
        </w:rPr>
        <w:t>collected on three science cruises and from mountains flanking the Thwaites basin will</w:t>
      </w:r>
      <w:r w:rsidRPr="000E3F18">
        <w:rPr>
          <w:szCs w:val="22"/>
          <w:lang w:val="en-US" w:eastAsia="en-AU"/>
        </w:rPr>
        <w:t xml:space="preserve"> constrain the extent and timing of past deglaciation of TG</w:t>
      </w:r>
      <w:r>
        <w:rPr>
          <w:szCs w:val="22"/>
          <w:lang w:val="en-US" w:eastAsia="en-AU"/>
        </w:rPr>
        <w:t xml:space="preserve">.  </w:t>
      </w:r>
      <w:r w:rsidRPr="000E3F18">
        <w:rPr>
          <w:szCs w:val="22"/>
          <w:lang w:val="en-US" w:eastAsia="en-AU"/>
        </w:rPr>
        <w:t xml:space="preserve">This </w:t>
      </w:r>
      <w:r>
        <w:rPr>
          <w:szCs w:val="22"/>
          <w:lang w:val="en-US" w:eastAsia="en-AU"/>
        </w:rPr>
        <w:t>will</w:t>
      </w:r>
      <w:r w:rsidRPr="000E3F18">
        <w:rPr>
          <w:szCs w:val="22"/>
          <w:lang w:val="en-US" w:eastAsia="en-AU"/>
        </w:rPr>
        <w:t xml:space="preserve"> provide a key opportunity to test hypotheses regarding the instability of marine ice sheets.</w:t>
      </w:r>
      <w:r w:rsidRPr="00BD2FFE">
        <w:rPr>
          <w:szCs w:val="22"/>
          <w:lang w:val="en-US" w:eastAsia="en-AU"/>
        </w:rPr>
        <w:t xml:space="preserve"> </w:t>
      </w:r>
    </w:p>
    <w:p w14:paraId="456D5A1A" w14:textId="77777777" w:rsidR="00A2693D" w:rsidRDefault="00A2693D" w:rsidP="00A2693D">
      <w:pPr>
        <w:spacing w:before="120" w:after="120"/>
        <w:rPr>
          <w:szCs w:val="22"/>
          <w:lang w:val="en-US" w:eastAsia="en-AU"/>
        </w:rPr>
      </w:pPr>
      <w:r>
        <w:rPr>
          <w:szCs w:val="22"/>
          <w:lang w:val="en-US" w:eastAsia="en-AU"/>
        </w:rPr>
        <w:t xml:space="preserve">A Science Coordination Office facilitates collaboration; science synthesis; data management; education and outreach; integration of early career scientists; action on inclusion, diversity, equity, and accessibility; and media engagement for the </w:t>
      </w:r>
      <w:proofErr w:type="gramStart"/>
      <w:r>
        <w:rPr>
          <w:szCs w:val="22"/>
          <w:lang w:val="en-US" w:eastAsia="en-AU"/>
        </w:rPr>
        <w:t>ITGC as a whole</w:t>
      </w:r>
      <w:proofErr w:type="gramEnd"/>
      <w:r>
        <w:rPr>
          <w:szCs w:val="22"/>
          <w:lang w:val="en-US" w:eastAsia="en-AU"/>
        </w:rPr>
        <w:t xml:space="preserve">.  Each project includes U.S. and U.K. researchers from a total of 39 institutions, with scientific and logistical collaboration with partners in South Korea, Sweden, Germany, Norway, Finland, France, New Zealand, and Abu Dhabi. </w:t>
      </w:r>
    </w:p>
    <w:p w14:paraId="0F26746F" w14:textId="77777777" w:rsidR="00A2693D" w:rsidRPr="000E3F18" w:rsidRDefault="00A2693D" w:rsidP="00A2693D">
      <w:pPr>
        <w:spacing w:before="480" w:after="120"/>
        <w:outlineLvl w:val="0"/>
        <w:rPr>
          <w:rFonts w:ascii="Arial" w:hAnsi="Arial" w:cs="Arial"/>
          <w:b/>
          <w:i/>
          <w:sz w:val="24"/>
          <w:lang w:val="en-US"/>
        </w:rPr>
      </w:pPr>
      <w:r w:rsidRPr="000E3F18">
        <w:rPr>
          <w:rFonts w:ascii="Arial" w:hAnsi="Arial" w:cs="Arial"/>
          <w:b/>
          <w:i/>
          <w:sz w:val="24"/>
          <w:lang w:val="en-US"/>
        </w:rPr>
        <w:t>Field seasons</w:t>
      </w:r>
    </w:p>
    <w:p w14:paraId="514D89C2" w14:textId="77777777" w:rsidR="00A2693D" w:rsidRDefault="00A2693D" w:rsidP="00A2693D">
      <w:pPr>
        <w:pStyle w:val="ATSNormal"/>
        <w:rPr>
          <w:szCs w:val="22"/>
          <w:lang w:val="en-US" w:eastAsia="en-US"/>
        </w:rPr>
      </w:pPr>
      <w:r>
        <w:rPr>
          <w:szCs w:val="22"/>
          <w:lang w:val="en-US" w:eastAsia="en-US"/>
        </w:rPr>
        <w:t>The Collaboration was initially planned to include four major field seasons starting in 2018/19. That</w:t>
      </w:r>
      <w:r w:rsidRPr="000E3F18">
        <w:rPr>
          <w:szCs w:val="22"/>
          <w:lang w:val="en-US" w:eastAsia="en-US"/>
        </w:rPr>
        <w:t xml:space="preserve"> </w:t>
      </w:r>
      <w:r>
        <w:rPr>
          <w:szCs w:val="22"/>
          <w:lang w:val="en-US" w:eastAsia="en-US"/>
        </w:rPr>
        <w:t xml:space="preserve">first field season focused on marine science, and, on the ice, on logistics staging and scoping of field sites, as well as initial </w:t>
      </w:r>
      <w:proofErr w:type="spellStart"/>
      <w:r>
        <w:rPr>
          <w:szCs w:val="22"/>
          <w:lang w:val="en-US" w:eastAsia="en-US"/>
        </w:rPr>
        <w:t>aerogeophysical</w:t>
      </w:r>
      <w:proofErr w:type="spellEnd"/>
      <w:r>
        <w:rPr>
          <w:szCs w:val="22"/>
          <w:lang w:val="en-US" w:eastAsia="en-US"/>
        </w:rPr>
        <w:t xml:space="preserve"> surveys.  The major overland field </w:t>
      </w:r>
      <w:r w:rsidRPr="000E3F18">
        <w:rPr>
          <w:szCs w:val="22"/>
          <w:lang w:val="en-US" w:eastAsia="en-US"/>
        </w:rPr>
        <w:t xml:space="preserve">component </w:t>
      </w:r>
      <w:r>
        <w:rPr>
          <w:szCs w:val="22"/>
          <w:lang w:val="en-US" w:eastAsia="en-US"/>
        </w:rPr>
        <w:t xml:space="preserve">began successfully in 2019/20 with deployment of glaciological and oceanographic instruments on the Thwaites Eastern Ice Shelf and its grounding zone, operation of an underwater robot in the Thwaites ocean cavity, coring of sub-shelf marine sediments, deployment of instrumentation along the eastern shear margin and at Dotson Ice Shelf, surface and subglacial geological sampling to determine ice-sheet thinning history at Mount Murphy, and further </w:t>
      </w:r>
      <w:proofErr w:type="spellStart"/>
      <w:r>
        <w:rPr>
          <w:szCs w:val="22"/>
          <w:lang w:val="en-US" w:eastAsia="en-US"/>
        </w:rPr>
        <w:t>aerogeophysical</w:t>
      </w:r>
      <w:proofErr w:type="spellEnd"/>
      <w:r>
        <w:rPr>
          <w:szCs w:val="22"/>
          <w:lang w:val="en-US" w:eastAsia="en-US"/>
        </w:rPr>
        <w:t xml:space="preserve"> surveys.  A second science cruise aboard the Nathaniel B Palmer (in January 2020) focused on the marine sedimentary record, marine mapping, seal tagging, deployment of gliders, testing of an autonomous underwater vehicle, and mooring visits.  </w:t>
      </w:r>
    </w:p>
    <w:p w14:paraId="26AAC39A" w14:textId="77777777" w:rsidR="00A2693D" w:rsidRDefault="00A2693D" w:rsidP="00A2693D">
      <w:pPr>
        <w:pStyle w:val="ATSNormal"/>
        <w:rPr>
          <w:szCs w:val="22"/>
          <w:lang w:val="en-US" w:eastAsia="en-US"/>
        </w:rPr>
      </w:pPr>
      <w:r>
        <w:rPr>
          <w:szCs w:val="22"/>
          <w:lang w:val="en-US" w:eastAsia="en-US"/>
        </w:rPr>
        <w:t xml:space="preserve">The 2020/21 field season was heavily curtailed due to COVID constraints.  Technicians were able to download data and remove glaciological instrumentation on the Thwaites Eastern Ice Shelf and to visit sites on the eastern shear margin. Slightly more activity was possible in the COVID-affected 2021/22 season, with successful removal of instrumentation from the eastern shear margin and Dotson Ice Shelf, and data download and instrument repair on the eastern shelf. The third and final cruise successfully completed its work in March 2022, having been able to intensively study ocean circulation under and in front of Dotson Ice Shelf with autonomous vehicles, gliders, profiles, and tagged seals.  Further sediment cores were retrieved for ice-sheet history.  Collaborators on the Korean vessel </w:t>
      </w:r>
      <w:proofErr w:type="spellStart"/>
      <w:r>
        <w:rPr>
          <w:szCs w:val="22"/>
          <w:lang w:val="en-US" w:eastAsia="en-US"/>
        </w:rPr>
        <w:t>Araon</w:t>
      </w:r>
      <w:proofErr w:type="spellEnd"/>
      <w:r>
        <w:rPr>
          <w:szCs w:val="22"/>
          <w:lang w:val="en-US" w:eastAsia="en-US"/>
        </w:rPr>
        <w:t xml:space="preserve"> installed a mooring under the Dotson Ice Shelf and deployed ocean profiling instruments through openings in thick sea ice near Thwaites Glacier.</w:t>
      </w:r>
    </w:p>
    <w:p w14:paraId="001EA28C" w14:textId="77777777" w:rsidR="00A2693D" w:rsidRPr="00AC735D" w:rsidRDefault="00A2693D" w:rsidP="00A2693D">
      <w:pPr>
        <w:pStyle w:val="ATSNormal"/>
        <w:rPr>
          <w:szCs w:val="22"/>
          <w:lang w:val="en-US" w:eastAsia="en-US"/>
        </w:rPr>
      </w:pPr>
      <w:r w:rsidRPr="00AC735D">
        <w:rPr>
          <w:szCs w:val="22"/>
          <w:lang w:val="en-US" w:eastAsia="en-US"/>
        </w:rPr>
        <w:t xml:space="preserve">Preparation </w:t>
      </w:r>
      <w:r>
        <w:rPr>
          <w:szCs w:val="22"/>
          <w:lang w:val="en-US" w:eastAsia="en-US"/>
        </w:rPr>
        <w:t xml:space="preserve">is now underway for </w:t>
      </w:r>
      <w:r w:rsidRPr="00AC735D">
        <w:rPr>
          <w:szCs w:val="22"/>
          <w:lang w:val="en-US" w:eastAsia="en-US"/>
        </w:rPr>
        <w:t xml:space="preserve">another ambitious </w:t>
      </w:r>
      <w:r>
        <w:rPr>
          <w:szCs w:val="22"/>
          <w:lang w:val="en-US" w:eastAsia="en-US"/>
        </w:rPr>
        <w:t xml:space="preserve">over-snow </w:t>
      </w:r>
      <w:r w:rsidRPr="00AC735D">
        <w:rPr>
          <w:szCs w:val="22"/>
          <w:lang w:val="en-US" w:eastAsia="en-US"/>
        </w:rPr>
        <w:t xml:space="preserve">field </w:t>
      </w:r>
      <w:r>
        <w:rPr>
          <w:szCs w:val="22"/>
          <w:lang w:val="en-US" w:eastAsia="en-US"/>
        </w:rPr>
        <w:t xml:space="preserve">campaign in </w:t>
      </w:r>
      <w:r w:rsidRPr="00AC735D">
        <w:rPr>
          <w:szCs w:val="22"/>
          <w:lang w:val="en-US" w:eastAsia="en-US"/>
        </w:rPr>
        <w:t>202</w:t>
      </w:r>
      <w:r>
        <w:rPr>
          <w:szCs w:val="22"/>
          <w:lang w:val="en-US" w:eastAsia="en-US"/>
        </w:rPr>
        <w:t>2/23, with a final major over-snow campaign in 2023/24</w:t>
      </w:r>
      <w:r w:rsidRPr="00AC735D">
        <w:rPr>
          <w:szCs w:val="22"/>
          <w:lang w:val="en-US" w:eastAsia="en-US"/>
        </w:rPr>
        <w:t xml:space="preserve">.  </w:t>
      </w:r>
      <w:r>
        <w:rPr>
          <w:szCs w:val="22"/>
          <w:lang w:val="en-US" w:eastAsia="en-US"/>
        </w:rPr>
        <w:t xml:space="preserve">In the meantime, insights from the Collaboration are entering the literature (see </w:t>
      </w:r>
      <w:hyperlink r:id="rId16" w:history="1">
        <w:r w:rsidRPr="00AC0214">
          <w:rPr>
            <w:rStyle w:val="Hipervnculo"/>
            <w:szCs w:val="22"/>
            <w:lang w:val="en-US" w:eastAsia="en-US"/>
          </w:rPr>
          <w:t>https://thwaitesglacier.org/resources/publications</w:t>
        </w:r>
      </w:hyperlink>
      <w:r>
        <w:rPr>
          <w:szCs w:val="22"/>
          <w:lang w:val="en-US" w:eastAsia="en-US"/>
        </w:rPr>
        <w:t>).</w:t>
      </w:r>
    </w:p>
    <w:p w14:paraId="324E7FCB" w14:textId="77777777" w:rsidR="00A2693D" w:rsidRPr="000E3F18" w:rsidRDefault="00A2693D" w:rsidP="00A2693D">
      <w:pPr>
        <w:spacing w:before="480" w:after="120"/>
        <w:outlineLvl w:val="0"/>
        <w:rPr>
          <w:rFonts w:ascii="Arial" w:hAnsi="Arial" w:cs="Arial"/>
          <w:b/>
          <w:i/>
          <w:sz w:val="24"/>
          <w:lang w:val="en-US"/>
        </w:rPr>
      </w:pPr>
      <w:r w:rsidRPr="000E3F18">
        <w:rPr>
          <w:rFonts w:ascii="Arial" w:hAnsi="Arial" w:cs="Arial"/>
          <w:b/>
          <w:i/>
          <w:sz w:val="24"/>
          <w:lang w:val="en-US"/>
        </w:rPr>
        <w:t>Contacts for international collaboration and cooperation</w:t>
      </w:r>
    </w:p>
    <w:p w14:paraId="08896BAA" w14:textId="77777777" w:rsidR="00A2693D" w:rsidRPr="000E3F18" w:rsidRDefault="00A2693D" w:rsidP="00A2693D">
      <w:pPr>
        <w:rPr>
          <w:szCs w:val="22"/>
          <w:lang w:val="en-US"/>
        </w:rPr>
      </w:pPr>
      <w:r>
        <w:rPr>
          <w:szCs w:val="22"/>
          <w:lang w:val="en-US"/>
        </w:rPr>
        <w:t>Additional i</w:t>
      </w:r>
      <w:r w:rsidRPr="000E3F18">
        <w:rPr>
          <w:szCs w:val="22"/>
          <w:lang w:val="en-US"/>
        </w:rPr>
        <w:t xml:space="preserve">nternational collaboration </w:t>
      </w:r>
      <w:r>
        <w:rPr>
          <w:szCs w:val="22"/>
          <w:lang w:val="en-US"/>
        </w:rPr>
        <w:t>would be</w:t>
      </w:r>
      <w:r w:rsidRPr="000E3F18">
        <w:rPr>
          <w:szCs w:val="22"/>
          <w:lang w:val="en-US"/>
        </w:rPr>
        <w:t xml:space="preserve"> welcomed</w:t>
      </w:r>
      <w:r>
        <w:rPr>
          <w:szCs w:val="22"/>
          <w:lang w:val="en-US"/>
        </w:rPr>
        <w:t xml:space="preserve">.  </w:t>
      </w:r>
      <w:r w:rsidRPr="000E3F18">
        <w:rPr>
          <w:szCs w:val="22"/>
          <w:lang w:val="en-US"/>
        </w:rPr>
        <w:t>The contacts listed below are interested in learning of other nations who are or intend to be engaged in research in this region over this time frame</w:t>
      </w:r>
      <w:r>
        <w:rPr>
          <w:szCs w:val="22"/>
          <w:lang w:val="en-US"/>
        </w:rPr>
        <w:t xml:space="preserve">, with the hope </w:t>
      </w:r>
      <w:r w:rsidRPr="000E3F18">
        <w:rPr>
          <w:szCs w:val="22"/>
          <w:lang w:val="en-US"/>
        </w:rPr>
        <w:t>that synergistic activities might be developed</w:t>
      </w:r>
      <w:r>
        <w:rPr>
          <w:szCs w:val="22"/>
          <w:lang w:val="en-US"/>
        </w:rPr>
        <w:t xml:space="preserve">.  </w:t>
      </w:r>
      <w:r w:rsidRPr="000E3F18">
        <w:rPr>
          <w:szCs w:val="22"/>
          <w:lang w:val="en-US"/>
        </w:rPr>
        <w:t>The primary contacts are:</w:t>
      </w:r>
    </w:p>
    <w:p w14:paraId="1AF3FD40" w14:textId="77777777" w:rsidR="00A2693D" w:rsidRPr="000E3F18" w:rsidRDefault="00A2693D" w:rsidP="00A2693D">
      <w:pPr>
        <w:rPr>
          <w:szCs w:val="22"/>
          <w:lang w:val="en-US"/>
        </w:rPr>
      </w:pPr>
    </w:p>
    <w:p w14:paraId="1D474556" w14:textId="77777777" w:rsidR="00A2693D" w:rsidRPr="000E3F18" w:rsidRDefault="00A2693D" w:rsidP="00A2693D">
      <w:pPr>
        <w:rPr>
          <w:szCs w:val="22"/>
          <w:lang w:val="en-US"/>
        </w:rPr>
      </w:pPr>
      <w:r w:rsidRPr="000E3F18">
        <w:rPr>
          <w:szCs w:val="22"/>
          <w:lang w:val="en-US"/>
        </w:rPr>
        <w:t>NSF and NERC:</w:t>
      </w:r>
    </w:p>
    <w:p w14:paraId="523BB9DA" w14:textId="77777777" w:rsidR="00A2693D" w:rsidRPr="000E3F18" w:rsidRDefault="00A2693D" w:rsidP="00A2693D">
      <w:pPr>
        <w:ind w:left="288" w:firstLine="162"/>
        <w:outlineLvl w:val="0"/>
        <w:rPr>
          <w:szCs w:val="22"/>
          <w:lang w:val="en-US"/>
        </w:rPr>
      </w:pPr>
      <w:r w:rsidRPr="000E3F18">
        <w:rPr>
          <w:szCs w:val="22"/>
          <w:lang w:val="en-US"/>
        </w:rPr>
        <w:t xml:space="preserve">Paul Cutler, NSF; telephone: +1 (703) 292-4961, email: </w:t>
      </w:r>
      <w:hyperlink r:id="rId17" w:history="1">
        <w:r w:rsidRPr="000E3F18">
          <w:rPr>
            <w:rStyle w:val="Hipervnculo"/>
            <w:szCs w:val="22"/>
            <w:u w:val="none"/>
            <w:lang w:val="en-US"/>
          </w:rPr>
          <w:t>pcutler@nsf.gov</w:t>
        </w:r>
      </w:hyperlink>
    </w:p>
    <w:p w14:paraId="5855B038" w14:textId="77777777" w:rsidR="00A2693D" w:rsidRPr="000E3F18" w:rsidRDefault="00A2693D" w:rsidP="00A2693D">
      <w:pPr>
        <w:ind w:left="288" w:firstLine="162"/>
        <w:rPr>
          <w:szCs w:val="22"/>
          <w:lang w:val="en-US"/>
        </w:rPr>
      </w:pPr>
      <w:r>
        <w:rPr>
          <w:szCs w:val="22"/>
          <w:lang w:val="en-US"/>
        </w:rPr>
        <w:t>Lizzie Garratt</w:t>
      </w:r>
      <w:r w:rsidRPr="000E3F18">
        <w:rPr>
          <w:szCs w:val="22"/>
          <w:lang w:val="en-US"/>
        </w:rPr>
        <w:t xml:space="preserve">, NERC; telephone: +44 (0)1793 411600, email: </w:t>
      </w:r>
      <w:r w:rsidRPr="00725D39">
        <w:rPr>
          <w:rStyle w:val="Hipervnculo"/>
          <w:szCs w:val="22"/>
          <w:u w:val="none"/>
          <w:lang w:val="en-US"/>
        </w:rPr>
        <w:t>lizzie.garratt@nerc.ukri.org</w:t>
      </w:r>
    </w:p>
    <w:p w14:paraId="6A562DE1" w14:textId="77777777" w:rsidR="00A2693D" w:rsidRDefault="00A2693D" w:rsidP="00A2693D">
      <w:pPr>
        <w:rPr>
          <w:szCs w:val="22"/>
          <w:lang w:val="en-US"/>
        </w:rPr>
      </w:pPr>
    </w:p>
    <w:p w14:paraId="072B1344" w14:textId="77777777" w:rsidR="00A2693D" w:rsidRDefault="00A2693D" w:rsidP="00A2693D">
      <w:pPr>
        <w:rPr>
          <w:szCs w:val="22"/>
          <w:lang w:val="en-US"/>
        </w:rPr>
      </w:pPr>
      <w:r>
        <w:rPr>
          <w:szCs w:val="22"/>
          <w:lang w:val="en-US"/>
        </w:rPr>
        <w:t>Science Coordination Office:</w:t>
      </w:r>
    </w:p>
    <w:p w14:paraId="1A8EDB37" w14:textId="77777777" w:rsidR="00A2693D" w:rsidRDefault="00A2693D" w:rsidP="00A2693D">
      <w:pPr>
        <w:ind w:left="700"/>
        <w:rPr>
          <w:szCs w:val="22"/>
          <w:lang w:val="en-US"/>
        </w:rPr>
      </w:pPr>
      <w:r>
        <w:rPr>
          <w:szCs w:val="22"/>
          <w:lang w:val="en-US"/>
        </w:rPr>
        <w:t xml:space="preserve">Ted </w:t>
      </w:r>
      <w:proofErr w:type="spellStart"/>
      <w:r>
        <w:rPr>
          <w:szCs w:val="22"/>
          <w:lang w:val="en-US"/>
        </w:rPr>
        <w:t>Scambos</w:t>
      </w:r>
      <w:proofErr w:type="spellEnd"/>
      <w:r>
        <w:rPr>
          <w:szCs w:val="22"/>
          <w:lang w:val="en-US"/>
        </w:rPr>
        <w:t>, University of Colorado; telephone: +1 (303) 492-1113, email: tascambos@colorado.edu</w:t>
      </w:r>
    </w:p>
    <w:p w14:paraId="757C99B4" w14:textId="77777777" w:rsidR="00A2693D" w:rsidRPr="00A246B9" w:rsidRDefault="00A2693D" w:rsidP="00A2693D">
      <w:pPr>
        <w:rPr>
          <w:szCs w:val="22"/>
          <w:lang w:val="en-US"/>
        </w:rPr>
      </w:pPr>
      <w:r>
        <w:rPr>
          <w:szCs w:val="22"/>
          <w:lang w:val="en-US"/>
        </w:rPr>
        <w:tab/>
        <w:t xml:space="preserve">Rob </w:t>
      </w:r>
      <w:proofErr w:type="spellStart"/>
      <w:r>
        <w:rPr>
          <w:szCs w:val="22"/>
          <w:lang w:val="en-US"/>
        </w:rPr>
        <w:t>Larter</w:t>
      </w:r>
      <w:proofErr w:type="spellEnd"/>
      <w:r>
        <w:rPr>
          <w:szCs w:val="22"/>
          <w:lang w:val="en-US"/>
        </w:rPr>
        <w:t>, British Antarctic Survey; telephone: +44 (0)</w:t>
      </w:r>
      <w:r w:rsidRPr="00A246B9">
        <w:rPr>
          <w:rFonts w:ascii="-webkit-standard" w:hAnsi="-webkit-standard"/>
          <w:color w:val="000000"/>
          <w:sz w:val="27"/>
          <w:szCs w:val="27"/>
          <w:lang w:val="en-US"/>
        </w:rPr>
        <w:t xml:space="preserve"> </w:t>
      </w:r>
      <w:r w:rsidRPr="00671BE3">
        <w:rPr>
          <w:szCs w:val="22"/>
          <w:lang w:val="en-US"/>
        </w:rPr>
        <w:t>1</w:t>
      </w:r>
      <w:r w:rsidRPr="00A246B9">
        <w:rPr>
          <w:szCs w:val="22"/>
          <w:lang w:val="en-US"/>
        </w:rPr>
        <w:t>223</w:t>
      </w:r>
      <w:r>
        <w:rPr>
          <w:szCs w:val="22"/>
          <w:lang w:val="en-US"/>
        </w:rPr>
        <w:t>-</w:t>
      </w:r>
      <w:r w:rsidRPr="00244FC7">
        <w:rPr>
          <w:sz w:val="24"/>
          <w:lang w:val="en-US"/>
        </w:rPr>
        <w:t xml:space="preserve"> </w:t>
      </w:r>
      <w:r w:rsidRPr="00244FC7">
        <w:rPr>
          <w:szCs w:val="22"/>
          <w:lang w:val="en-US"/>
        </w:rPr>
        <w:t>221573</w:t>
      </w:r>
      <w:r>
        <w:rPr>
          <w:szCs w:val="22"/>
          <w:lang w:val="en-US"/>
        </w:rPr>
        <w:t>, email: rdla@bas.ac.uk</w:t>
      </w:r>
    </w:p>
    <w:p w14:paraId="48218E98" w14:textId="77777777" w:rsidR="00A2693D" w:rsidRPr="000E3F18" w:rsidRDefault="00A2693D" w:rsidP="00A2693D">
      <w:pPr>
        <w:rPr>
          <w:szCs w:val="22"/>
          <w:lang w:val="en-US"/>
        </w:rPr>
      </w:pPr>
    </w:p>
    <w:p w14:paraId="4A682EF7" w14:textId="77777777" w:rsidR="00A2693D" w:rsidRDefault="00A2693D" w:rsidP="00A2693D">
      <w:pPr>
        <w:rPr>
          <w:szCs w:val="22"/>
          <w:lang w:val="en-US"/>
        </w:rPr>
      </w:pPr>
    </w:p>
    <w:p w14:paraId="19DE9A17" w14:textId="77777777" w:rsidR="00A2693D" w:rsidRPr="000E3F18" w:rsidRDefault="00A2693D" w:rsidP="00A2693D">
      <w:pPr>
        <w:rPr>
          <w:szCs w:val="22"/>
          <w:lang w:val="en-US"/>
        </w:rPr>
      </w:pPr>
    </w:p>
    <w:p w14:paraId="0BCA2E77" w14:textId="77777777" w:rsidR="00A2693D" w:rsidRPr="000E3F18" w:rsidRDefault="00A2693D" w:rsidP="00A2693D">
      <w:pPr>
        <w:spacing w:before="120" w:after="120"/>
        <w:ind w:left="432"/>
        <w:rPr>
          <w:i/>
          <w:szCs w:val="22"/>
          <w:lang w:val="en-US"/>
        </w:rPr>
      </w:pPr>
      <w:r w:rsidRPr="000E3F18">
        <w:rPr>
          <w:i/>
          <w:szCs w:val="22"/>
          <w:lang w:val="en-US"/>
        </w:rPr>
        <w:t>Figure 1 – Location map for Thwaites and Pine Island glaciers</w:t>
      </w:r>
      <w:r>
        <w:rPr>
          <w:i/>
          <w:szCs w:val="22"/>
          <w:lang w:val="en-US"/>
        </w:rPr>
        <w:t xml:space="preserve">.  </w:t>
      </w:r>
      <w:r w:rsidRPr="000E3F18">
        <w:rPr>
          <w:i/>
          <w:szCs w:val="22"/>
          <w:lang w:val="en-US"/>
        </w:rPr>
        <w:t>The background image shows the ice-loss 2010-2013 measured using data from ESA’s Cryosat-2 satellite (McMillan et al</w:t>
      </w:r>
      <w:r>
        <w:rPr>
          <w:i/>
          <w:szCs w:val="22"/>
          <w:lang w:val="en-US"/>
        </w:rPr>
        <w:t xml:space="preserve">.  </w:t>
      </w:r>
      <w:r w:rsidRPr="000E3F18">
        <w:rPr>
          <w:i/>
          <w:szCs w:val="22"/>
          <w:lang w:val="en-US"/>
        </w:rPr>
        <w:t>2014).</w:t>
      </w:r>
      <w:r>
        <w:rPr>
          <w:i/>
          <w:szCs w:val="22"/>
          <w:lang w:val="en-US"/>
        </w:rPr>
        <w:t xml:space="preserve"> </w:t>
      </w:r>
    </w:p>
    <w:p w14:paraId="666530FE" w14:textId="77777777" w:rsidR="00A2693D" w:rsidRPr="000E3F18" w:rsidRDefault="00A2693D" w:rsidP="00A2693D">
      <w:pPr>
        <w:jc w:val="center"/>
        <w:rPr>
          <w:szCs w:val="22"/>
          <w:lang w:val="en-US"/>
        </w:rPr>
      </w:pPr>
      <w:r w:rsidRPr="000E3F18">
        <w:rPr>
          <w:noProof/>
          <w:szCs w:val="22"/>
          <w:lang w:eastAsia="en-GB"/>
        </w:rPr>
        <w:drawing>
          <wp:inline distT="0" distB="0" distL="0" distR="0" wp14:anchorId="779782F5" wp14:editId="0A87F21C">
            <wp:extent cx="3714750" cy="4018280"/>
            <wp:effectExtent l="0" t="0" r="0" b="0"/>
            <wp:docPr id="2" name="Picture 5" descr="C:\Users\DGV.NERC\AppData\Local\Microsoft\Windows\Temporary Internet Files\Content.Word\West Antarctica elevation chan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GV.NERC\AppData\Local\Microsoft\Windows\Temporary Internet Files\Content.Word\West Antarctica elevation change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4750" cy="4018280"/>
                    </a:xfrm>
                    <a:prstGeom prst="rect">
                      <a:avLst/>
                    </a:prstGeom>
                    <a:noFill/>
                    <a:ln>
                      <a:noFill/>
                    </a:ln>
                  </pic:spPr>
                </pic:pic>
              </a:graphicData>
            </a:graphic>
          </wp:inline>
        </w:drawing>
      </w:r>
    </w:p>
    <w:p w14:paraId="53156F17" w14:textId="77777777" w:rsidR="00A2693D" w:rsidRPr="000E3F18" w:rsidRDefault="00A2693D" w:rsidP="00A2693D">
      <w:pPr>
        <w:spacing w:before="480" w:after="120"/>
        <w:outlineLvl w:val="0"/>
        <w:rPr>
          <w:rFonts w:ascii="Arial" w:hAnsi="Arial" w:cs="Arial"/>
          <w:b/>
          <w:i/>
          <w:sz w:val="24"/>
          <w:lang w:val="en-US"/>
        </w:rPr>
      </w:pPr>
      <w:r w:rsidRPr="000E3F18">
        <w:rPr>
          <w:rFonts w:ascii="Arial" w:hAnsi="Arial" w:cs="Arial"/>
          <w:b/>
          <w:i/>
          <w:sz w:val="24"/>
          <w:lang w:val="en-US"/>
        </w:rPr>
        <w:t>References</w:t>
      </w:r>
    </w:p>
    <w:p w14:paraId="7853B7FE" w14:textId="77777777" w:rsidR="00A2693D" w:rsidRPr="000E3F18" w:rsidRDefault="00A2693D" w:rsidP="00A2693D">
      <w:pPr>
        <w:spacing w:before="120" w:after="120"/>
        <w:rPr>
          <w:szCs w:val="22"/>
          <w:lang w:val="en-US"/>
        </w:rPr>
      </w:pPr>
      <w:r w:rsidRPr="000E3F18">
        <w:rPr>
          <w:szCs w:val="22"/>
          <w:lang w:val="en-US"/>
        </w:rPr>
        <w:t xml:space="preserve">McMillan, M., Shepherd, A., </w:t>
      </w:r>
      <w:proofErr w:type="spellStart"/>
      <w:r w:rsidRPr="000E3F18">
        <w:rPr>
          <w:szCs w:val="22"/>
          <w:lang w:val="en-US"/>
        </w:rPr>
        <w:t>Sundal</w:t>
      </w:r>
      <w:proofErr w:type="spellEnd"/>
      <w:r w:rsidRPr="000E3F18">
        <w:rPr>
          <w:szCs w:val="22"/>
          <w:lang w:val="en-US"/>
        </w:rPr>
        <w:t xml:space="preserve">, A., Briggs, K., Muir, A., </w:t>
      </w:r>
      <w:proofErr w:type="spellStart"/>
      <w:r w:rsidRPr="000E3F18">
        <w:rPr>
          <w:szCs w:val="22"/>
          <w:lang w:val="en-US"/>
        </w:rPr>
        <w:t>Ridout</w:t>
      </w:r>
      <w:proofErr w:type="spellEnd"/>
      <w:r w:rsidRPr="000E3F18">
        <w:rPr>
          <w:szCs w:val="22"/>
          <w:lang w:val="en-US"/>
        </w:rPr>
        <w:t xml:space="preserve">, A., Hogg, A., &amp; </w:t>
      </w:r>
      <w:proofErr w:type="spellStart"/>
      <w:r w:rsidRPr="000E3F18">
        <w:rPr>
          <w:szCs w:val="22"/>
          <w:lang w:val="en-US"/>
        </w:rPr>
        <w:t>Wingham</w:t>
      </w:r>
      <w:proofErr w:type="spellEnd"/>
      <w:r w:rsidRPr="000E3F18">
        <w:rPr>
          <w:szCs w:val="22"/>
          <w:lang w:val="en-US"/>
        </w:rPr>
        <w:t>, D</w:t>
      </w:r>
      <w:r>
        <w:rPr>
          <w:szCs w:val="22"/>
          <w:lang w:val="en-US"/>
        </w:rPr>
        <w:t xml:space="preserve">.  </w:t>
      </w:r>
      <w:r w:rsidRPr="000E3F18">
        <w:rPr>
          <w:szCs w:val="22"/>
          <w:lang w:val="en-US"/>
        </w:rPr>
        <w:t>(2014)</w:t>
      </w:r>
      <w:r>
        <w:rPr>
          <w:szCs w:val="22"/>
          <w:lang w:val="en-US"/>
        </w:rPr>
        <w:t xml:space="preserve">.  </w:t>
      </w:r>
      <w:r w:rsidRPr="000E3F18">
        <w:rPr>
          <w:szCs w:val="22"/>
          <w:lang w:val="en-US"/>
        </w:rPr>
        <w:t>Increased ice losses from Antarctica detected by CryoSat</w:t>
      </w:r>
      <w:r w:rsidRPr="000E3F18">
        <w:rPr>
          <w:rFonts w:ascii="Calibri" w:eastAsia="Calibri" w:hAnsi="Calibri" w:cs="Calibri"/>
          <w:szCs w:val="22"/>
          <w:lang w:val="en-US"/>
        </w:rPr>
        <w:t>‐</w:t>
      </w:r>
      <w:r w:rsidRPr="000E3F18">
        <w:rPr>
          <w:szCs w:val="22"/>
          <w:lang w:val="en-US"/>
        </w:rPr>
        <w:t>2</w:t>
      </w:r>
      <w:r>
        <w:rPr>
          <w:szCs w:val="22"/>
          <w:lang w:val="en-US"/>
        </w:rPr>
        <w:t xml:space="preserve">.  </w:t>
      </w:r>
      <w:r w:rsidRPr="000E3F18">
        <w:rPr>
          <w:i/>
          <w:iCs/>
          <w:szCs w:val="22"/>
          <w:lang w:val="en-US"/>
        </w:rPr>
        <w:t>Geophysical Research Letters</w:t>
      </w:r>
      <w:r w:rsidRPr="000E3F18">
        <w:rPr>
          <w:szCs w:val="22"/>
          <w:lang w:val="en-US"/>
        </w:rPr>
        <w:t>, </w:t>
      </w:r>
      <w:r w:rsidRPr="000E3F18">
        <w:rPr>
          <w:i/>
          <w:iCs/>
          <w:szCs w:val="22"/>
          <w:lang w:val="en-US"/>
        </w:rPr>
        <w:t>41</w:t>
      </w:r>
      <w:r w:rsidRPr="000E3F18">
        <w:rPr>
          <w:szCs w:val="22"/>
          <w:lang w:val="en-US"/>
        </w:rPr>
        <w:t>(11), 3899-3905</w:t>
      </w:r>
      <w:r>
        <w:rPr>
          <w:szCs w:val="22"/>
          <w:lang w:val="en-US"/>
        </w:rPr>
        <w:t xml:space="preserve">.  </w:t>
      </w:r>
      <w:hyperlink r:id="rId19" w:history="1">
        <w:r w:rsidRPr="000E3F18">
          <w:rPr>
            <w:rStyle w:val="Hipervnculo"/>
            <w:i/>
            <w:szCs w:val="22"/>
            <w:lang w:val="en-US"/>
          </w:rPr>
          <w:t>http://onlinelibrary.wiley.com/doi/10.1002/2014GL060111/full</w:t>
        </w:r>
      </w:hyperlink>
    </w:p>
    <w:p w14:paraId="3EC68808" w14:textId="77777777" w:rsidR="00A2693D" w:rsidRDefault="00A2693D" w:rsidP="00A2693D">
      <w:pPr>
        <w:spacing w:before="120" w:after="120"/>
        <w:rPr>
          <w:szCs w:val="22"/>
          <w:lang w:val="en-US"/>
        </w:rPr>
      </w:pPr>
      <w:proofErr w:type="spellStart"/>
      <w:r>
        <w:rPr>
          <w:szCs w:val="22"/>
          <w:lang w:val="en-US"/>
        </w:rPr>
        <w:t>Milillo</w:t>
      </w:r>
      <w:proofErr w:type="spellEnd"/>
      <w:r>
        <w:rPr>
          <w:szCs w:val="22"/>
          <w:lang w:val="en-US"/>
        </w:rPr>
        <w:t xml:space="preserve">, P., </w:t>
      </w:r>
      <w:proofErr w:type="spellStart"/>
      <w:r>
        <w:rPr>
          <w:szCs w:val="22"/>
          <w:lang w:val="en-US"/>
        </w:rPr>
        <w:t>Rignot</w:t>
      </w:r>
      <w:proofErr w:type="spellEnd"/>
      <w:r>
        <w:rPr>
          <w:szCs w:val="22"/>
          <w:lang w:val="en-US"/>
        </w:rPr>
        <w:t xml:space="preserve">, E., Rizzoli, P., </w:t>
      </w:r>
      <w:proofErr w:type="spellStart"/>
      <w:r>
        <w:rPr>
          <w:szCs w:val="22"/>
          <w:lang w:val="en-US"/>
        </w:rPr>
        <w:t>Scheuchl</w:t>
      </w:r>
      <w:proofErr w:type="spellEnd"/>
      <w:r>
        <w:rPr>
          <w:szCs w:val="22"/>
          <w:lang w:val="en-US"/>
        </w:rPr>
        <w:t xml:space="preserve">, B., </w:t>
      </w:r>
      <w:proofErr w:type="spellStart"/>
      <w:r>
        <w:rPr>
          <w:szCs w:val="22"/>
          <w:lang w:val="en-US"/>
        </w:rPr>
        <w:t>Mouginot</w:t>
      </w:r>
      <w:proofErr w:type="spellEnd"/>
      <w:r>
        <w:rPr>
          <w:szCs w:val="22"/>
          <w:lang w:val="en-US"/>
        </w:rPr>
        <w:t xml:space="preserve">, J., </w:t>
      </w:r>
      <w:proofErr w:type="spellStart"/>
      <w:r>
        <w:rPr>
          <w:szCs w:val="22"/>
          <w:lang w:val="en-US"/>
        </w:rPr>
        <w:t>Bueso</w:t>
      </w:r>
      <w:proofErr w:type="spellEnd"/>
      <w:r>
        <w:rPr>
          <w:szCs w:val="22"/>
          <w:lang w:val="en-US"/>
        </w:rPr>
        <w:t>-Bello, J., &amp; Prats-</w:t>
      </w:r>
      <w:proofErr w:type="spellStart"/>
      <w:r>
        <w:rPr>
          <w:szCs w:val="22"/>
          <w:lang w:val="en-US"/>
        </w:rPr>
        <w:t>Iraola</w:t>
      </w:r>
      <w:proofErr w:type="spellEnd"/>
      <w:r>
        <w:rPr>
          <w:szCs w:val="22"/>
          <w:lang w:val="en-US"/>
        </w:rPr>
        <w:t xml:space="preserve">, P. (2019). Heterogeneous retreat and ice melt of Thwaites Glacier, West Antarctica.  </w:t>
      </w:r>
      <w:r w:rsidRPr="005C6200">
        <w:rPr>
          <w:i/>
          <w:iCs/>
          <w:szCs w:val="22"/>
          <w:lang w:val="en-US"/>
        </w:rPr>
        <w:t>Science Advances</w:t>
      </w:r>
      <w:r>
        <w:rPr>
          <w:szCs w:val="22"/>
          <w:lang w:val="en-US"/>
        </w:rPr>
        <w:t xml:space="preserve"> 5.  </w:t>
      </w:r>
      <w:r w:rsidRPr="005C6200">
        <w:rPr>
          <w:i/>
          <w:iCs/>
          <w:szCs w:val="22"/>
          <w:lang w:val="en-US"/>
        </w:rPr>
        <w:t>https://advances.sciencemag.org/content/5/1/eaau3433</w:t>
      </w:r>
    </w:p>
    <w:p w14:paraId="615D5F04" w14:textId="77777777" w:rsidR="00A2693D" w:rsidRPr="000E3F18" w:rsidRDefault="00A2693D" w:rsidP="00A2693D">
      <w:pPr>
        <w:spacing w:before="120" w:after="120"/>
        <w:rPr>
          <w:i/>
          <w:szCs w:val="22"/>
          <w:lang w:val="en-US"/>
        </w:rPr>
      </w:pPr>
      <w:r w:rsidRPr="000E3F18">
        <w:rPr>
          <w:szCs w:val="22"/>
          <w:lang w:val="en-US"/>
        </w:rPr>
        <w:t>National Academies of Sciences, Engineering, and Medicine</w:t>
      </w:r>
      <w:r>
        <w:rPr>
          <w:szCs w:val="22"/>
          <w:lang w:val="en-US"/>
        </w:rPr>
        <w:t xml:space="preserve">. </w:t>
      </w:r>
      <w:r w:rsidRPr="000E3F18">
        <w:rPr>
          <w:szCs w:val="22"/>
          <w:lang w:val="en-US"/>
        </w:rPr>
        <w:t>(2015)</w:t>
      </w:r>
      <w:r>
        <w:rPr>
          <w:szCs w:val="22"/>
          <w:lang w:val="en-US"/>
        </w:rPr>
        <w:t xml:space="preserve">.  </w:t>
      </w:r>
      <w:r w:rsidRPr="000E3F18">
        <w:rPr>
          <w:szCs w:val="22"/>
          <w:lang w:val="en-US"/>
        </w:rPr>
        <w:t>A Strategic Vision for NSF Investments in Antarctic and Southern Ocean Research</w:t>
      </w:r>
      <w:r>
        <w:rPr>
          <w:szCs w:val="22"/>
          <w:lang w:val="en-US"/>
        </w:rPr>
        <w:t xml:space="preserve">.  </w:t>
      </w:r>
      <w:r w:rsidRPr="000E3F18">
        <w:rPr>
          <w:szCs w:val="22"/>
          <w:lang w:val="en-US"/>
        </w:rPr>
        <w:t>Washington, DC: National Academies Press</w:t>
      </w:r>
      <w:r>
        <w:rPr>
          <w:szCs w:val="22"/>
          <w:lang w:val="en-US"/>
        </w:rPr>
        <w:t xml:space="preserve">.  </w:t>
      </w:r>
      <w:hyperlink r:id="rId20" w:history="1">
        <w:r w:rsidRPr="000E3F18">
          <w:rPr>
            <w:rStyle w:val="Hipervnculo"/>
            <w:i/>
            <w:szCs w:val="22"/>
            <w:lang w:val="en-US"/>
          </w:rPr>
          <w:t>https://www.nap.edu/catalog/21741/a-strategic-vision-for-nsf-investments-in-antarctic-and-southern-ocean-research</w:t>
        </w:r>
      </w:hyperlink>
    </w:p>
    <w:p w14:paraId="5612FA90" w14:textId="77777777" w:rsidR="00A2693D" w:rsidRPr="005C6200" w:rsidRDefault="00A2693D" w:rsidP="00A2693D">
      <w:pPr>
        <w:rPr>
          <w:szCs w:val="22"/>
          <w:lang w:val="en-US"/>
        </w:rPr>
      </w:pPr>
      <w:r w:rsidRPr="00097BB0">
        <w:rPr>
          <w:szCs w:val="22"/>
          <w:lang w:val="en-US"/>
        </w:rPr>
        <w:t>Shepherd, A., Gilbert, L., Muir, A. S.,</w:t>
      </w:r>
      <w:r>
        <w:rPr>
          <w:szCs w:val="22"/>
          <w:lang w:val="en-US"/>
        </w:rPr>
        <w:t xml:space="preserve"> </w:t>
      </w:r>
      <w:r w:rsidRPr="00097BB0">
        <w:rPr>
          <w:szCs w:val="22"/>
          <w:lang w:val="en-US"/>
        </w:rPr>
        <w:t>Konrad, H., McMillan, M., Slater, T.,</w:t>
      </w:r>
      <w:r>
        <w:rPr>
          <w:szCs w:val="22"/>
          <w:lang w:val="en-US"/>
        </w:rPr>
        <w:t xml:space="preserve"> </w:t>
      </w:r>
      <w:r w:rsidRPr="00097BB0">
        <w:rPr>
          <w:szCs w:val="22"/>
          <w:lang w:val="en-US"/>
        </w:rPr>
        <w:t>et al. (2019). Trends in Antarctic Ice</w:t>
      </w:r>
      <w:r>
        <w:rPr>
          <w:szCs w:val="22"/>
          <w:lang w:val="en-US"/>
        </w:rPr>
        <w:t xml:space="preserve"> </w:t>
      </w:r>
      <w:r w:rsidRPr="00097BB0">
        <w:rPr>
          <w:szCs w:val="22"/>
          <w:lang w:val="en-US"/>
        </w:rPr>
        <w:t xml:space="preserve">Sheet elevation and mass. </w:t>
      </w:r>
      <w:r w:rsidRPr="005C6200">
        <w:rPr>
          <w:i/>
          <w:iCs/>
          <w:szCs w:val="22"/>
          <w:lang w:val="en-US"/>
        </w:rPr>
        <w:t>Geophysical Research Letters</w:t>
      </w:r>
      <w:r w:rsidRPr="00097BB0">
        <w:rPr>
          <w:szCs w:val="22"/>
          <w:lang w:val="en-US"/>
        </w:rPr>
        <w:t xml:space="preserve">, 46, 8174–8183. </w:t>
      </w:r>
      <w:r w:rsidRPr="005C6200">
        <w:rPr>
          <w:i/>
          <w:iCs/>
          <w:szCs w:val="22"/>
          <w:lang w:val="en-US"/>
        </w:rPr>
        <w:t>https://doi.org/10.1029/2019GL082182</w:t>
      </w:r>
    </w:p>
    <w:p w14:paraId="3123458C" w14:textId="77777777" w:rsidR="00A2693D" w:rsidRDefault="00A2693D" w:rsidP="00A2693D"/>
    <w:p w14:paraId="312FE088" w14:textId="77777777" w:rsidR="00A2693D" w:rsidRDefault="00A2693D" w:rsidP="00A2693D"/>
    <w:p w14:paraId="14C57EA0" w14:textId="77777777" w:rsidR="00A2693D" w:rsidRDefault="00A2693D" w:rsidP="00A2693D"/>
    <w:p w14:paraId="7CC52F73" w14:textId="77777777" w:rsidR="004B4A60" w:rsidRDefault="00A2693D" w:rsidP="00952E9F"/>
    <w:sectPr w:rsidR="004B4A60" w:rsidSect="00C26F2D">
      <w:headerReference w:type="default" r:id="rId21"/>
      <w:footerReference w:type="default" r:id="rId2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1C5C" w14:textId="77777777" w:rsidR="00000000" w:rsidRDefault="00A2693D">
      <w:r>
        <w:separator/>
      </w:r>
    </w:p>
  </w:endnote>
  <w:endnote w:type="continuationSeparator" w:id="0">
    <w:p w14:paraId="211A7F0D" w14:textId="77777777" w:rsidR="00000000" w:rsidRDefault="00A2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419E" w14:textId="77777777" w:rsidR="00FA0B9F" w:rsidRDefault="00A2693D" w:rsidP="00CF5C82">
    <w:pPr>
      <w:framePr w:wrap="around" w:vAnchor="text" w:hAnchor="margin" w:xAlign="right" w:y="1"/>
    </w:pPr>
    <w:r>
      <w:fldChar w:fldCharType="begin"/>
    </w:r>
    <w:r>
      <w:instrText xml:space="preserve">PAGE  </w:instrText>
    </w:r>
    <w:r>
      <w:fldChar w:fldCharType="separate"/>
    </w:r>
    <w:r>
      <w:fldChar w:fldCharType="end"/>
    </w:r>
  </w:p>
  <w:p w14:paraId="462C0F2F" w14:textId="77777777" w:rsidR="00FA0B9F" w:rsidRDefault="00A2693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CE7E" w14:textId="77777777" w:rsidR="00FA0B9F" w:rsidRDefault="00A2693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DC8FD0" w14:textId="5EB81651" w:rsidR="00FA0B9F" w:rsidRDefault="00A2693D"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EB42" w14:textId="77777777" w:rsidR="00E311C9" w:rsidRPr="00AB1005" w:rsidRDefault="00A2693D" w:rsidP="00E311C9">
    <w:pP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56D9" w14:textId="77777777" w:rsidR="00000000" w:rsidRDefault="00A2693D">
      <w:r>
        <w:separator/>
      </w:r>
    </w:p>
  </w:footnote>
  <w:footnote w:type="continuationSeparator" w:id="0">
    <w:p w14:paraId="0E924D79" w14:textId="77777777" w:rsidR="00000000" w:rsidRDefault="00A26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C52B0" w14:paraId="74220BD8" w14:textId="77777777" w:rsidTr="00490760">
      <w:trPr>
        <w:trHeight w:val="344"/>
        <w:jc w:val="center"/>
      </w:trPr>
      <w:tc>
        <w:tcPr>
          <w:tcW w:w="5495" w:type="dxa"/>
        </w:tcPr>
        <w:p w14:paraId="6F7DE2F1" w14:textId="77777777" w:rsidR="00DB7C09" w:rsidRDefault="00A2693D" w:rsidP="00F968D4"/>
      </w:tc>
      <w:tc>
        <w:tcPr>
          <w:tcW w:w="4253" w:type="dxa"/>
          <w:gridSpan w:val="2"/>
        </w:tcPr>
        <w:p w14:paraId="4B781B5B" w14:textId="77777777" w:rsidR="00DB7C09" w:rsidRPr="00BD47E4" w:rsidRDefault="00A2693D" w:rsidP="002A07BC">
          <w:pPr>
            <w:jc w:val="right"/>
            <w:rPr>
              <w:b/>
              <w:sz w:val="32"/>
              <w:szCs w:val="32"/>
            </w:rPr>
          </w:pPr>
          <w:bookmarkStart w:id="2" w:name="type"/>
          <w:r w:rsidRPr="00BD47E4">
            <w:rPr>
              <w:b/>
              <w:sz w:val="32"/>
              <w:szCs w:val="32"/>
            </w:rPr>
            <w:t>IP</w:t>
          </w:r>
          <w:bookmarkEnd w:id="2"/>
        </w:p>
      </w:tc>
      <w:tc>
        <w:tcPr>
          <w:tcW w:w="1524" w:type="dxa"/>
          <w:gridSpan w:val="2"/>
        </w:tcPr>
        <w:p w14:paraId="59BE49CC" w14:textId="77777777" w:rsidR="00DB7C09" w:rsidRPr="00BD47E4" w:rsidRDefault="00A2693D" w:rsidP="00DB7C09">
          <w:pPr>
            <w:rPr>
              <w:b/>
              <w:sz w:val="32"/>
              <w:szCs w:val="32"/>
            </w:rPr>
          </w:pPr>
          <w:bookmarkStart w:id="3" w:name="number"/>
          <w:r w:rsidRPr="00BD47E4">
            <w:rPr>
              <w:b/>
              <w:sz w:val="32"/>
              <w:szCs w:val="32"/>
            </w:rPr>
            <w:t>26</w:t>
          </w:r>
          <w:bookmarkEnd w:id="3"/>
        </w:p>
      </w:tc>
    </w:tr>
    <w:tr w:rsidR="008C52B0" w14:paraId="3B652103" w14:textId="77777777" w:rsidTr="00490760">
      <w:trPr>
        <w:trHeight w:val="2165"/>
        <w:jc w:val="center"/>
      </w:trPr>
      <w:tc>
        <w:tcPr>
          <w:tcW w:w="5495" w:type="dxa"/>
        </w:tcPr>
        <w:p w14:paraId="592D5D85" w14:textId="77777777" w:rsidR="00490760" w:rsidRPr="00EE4D48" w:rsidRDefault="00A2693D" w:rsidP="002A07BC">
          <w:pPr>
            <w:rPr>
              <w:b/>
              <w:sz w:val="28"/>
              <w:szCs w:val="28"/>
            </w:rPr>
          </w:pPr>
          <w:r>
            <w:rPr>
              <w:noProof/>
            </w:rPr>
            <w:drawing>
              <wp:inline distT="0" distB="0" distL="0" distR="0" wp14:anchorId="4975166D" wp14:editId="2BEA3FB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003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C69A17E" w14:textId="77777777" w:rsidR="00490760" w:rsidRPr="00FE5146" w:rsidRDefault="00A2693D" w:rsidP="00490760">
          <w:pPr>
            <w:jc w:val="right"/>
            <w:rPr>
              <w:sz w:val="144"/>
              <w:szCs w:val="144"/>
            </w:rPr>
          </w:pPr>
          <w:r w:rsidRPr="00FE5146">
            <w:rPr>
              <w:sz w:val="144"/>
              <w:szCs w:val="144"/>
            </w:rPr>
            <w:t>ENG</w:t>
          </w:r>
        </w:p>
      </w:tc>
    </w:tr>
    <w:tr w:rsidR="008C52B0" w14:paraId="49F5B0A4" w14:textId="77777777" w:rsidTr="00BD47E4">
      <w:trPr>
        <w:trHeight w:val="409"/>
        <w:jc w:val="center"/>
      </w:trPr>
      <w:tc>
        <w:tcPr>
          <w:tcW w:w="9039" w:type="dxa"/>
          <w:gridSpan w:val="2"/>
        </w:tcPr>
        <w:p w14:paraId="31B03972" w14:textId="77777777" w:rsidR="00BD47E4" w:rsidRDefault="00A2693D" w:rsidP="002C30DA">
          <w:pPr>
            <w:jc w:val="right"/>
          </w:pPr>
          <w:r>
            <w:t>Agenda Item:</w:t>
          </w:r>
        </w:p>
      </w:tc>
      <w:tc>
        <w:tcPr>
          <w:tcW w:w="1843" w:type="dxa"/>
          <w:gridSpan w:val="2"/>
        </w:tcPr>
        <w:p w14:paraId="6C344A04" w14:textId="77777777" w:rsidR="00A2693D" w:rsidRDefault="00A2693D" w:rsidP="002C30DA">
          <w:pPr>
            <w:jc w:val="right"/>
          </w:pPr>
          <w:bookmarkStart w:id="4" w:name="agenda"/>
          <w:r>
            <w:t xml:space="preserve">ATCM 15, </w:t>
          </w:r>
        </w:p>
        <w:p w14:paraId="50989D95" w14:textId="4CFEF61B" w:rsidR="00BD47E4" w:rsidRDefault="00A2693D" w:rsidP="002C30DA">
          <w:pPr>
            <w:jc w:val="right"/>
          </w:pPr>
          <w:r>
            <w:t>CEP 7a</w:t>
          </w:r>
          <w:bookmarkEnd w:id="4"/>
        </w:p>
      </w:tc>
      <w:tc>
        <w:tcPr>
          <w:tcW w:w="390" w:type="dxa"/>
        </w:tcPr>
        <w:p w14:paraId="09E24ECC" w14:textId="77777777" w:rsidR="00BD47E4" w:rsidRDefault="00A2693D" w:rsidP="00387A65">
          <w:pPr>
            <w:jc w:val="right"/>
          </w:pPr>
        </w:p>
      </w:tc>
    </w:tr>
    <w:tr w:rsidR="008C52B0" w14:paraId="67C3D496" w14:textId="77777777" w:rsidTr="00BD47E4">
      <w:trPr>
        <w:trHeight w:val="397"/>
        <w:jc w:val="center"/>
      </w:trPr>
      <w:tc>
        <w:tcPr>
          <w:tcW w:w="9039" w:type="dxa"/>
          <w:gridSpan w:val="2"/>
        </w:tcPr>
        <w:p w14:paraId="718656D2" w14:textId="77777777" w:rsidR="00BD47E4" w:rsidRDefault="00A2693D" w:rsidP="002C30DA">
          <w:pPr>
            <w:jc w:val="right"/>
          </w:pPr>
          <w:r>
            <w:t>Presented by:</w:t>
          </w:r>
        </w:p>
      </w:tc>
      <w:tc>
        <w:tcPr>
          <w:tcW w:w="1843" w:type="dxa"/>
          <w:gridSpan w:val="2"/>
        </w:tcPr>
        <w:p w14:paraId="49BDAEEC" w14:textId="77777777" w:rsidR="00BD47E4" w:rsidRDefault="00A2693D" w:rsidP="002C30DA">
          <w:pPr>
            <w:jc w:val="right"/>
          </w:pPr>
          <w:bookmarkStart w:id="5" w:name="party"/>
          <w:r>
            <w:t>United States, United Kingdom</w:t>
          </w:r>
          <w:bookmarkEnd w:id="5"/>
        </w:p>
      </w:tc>
      <w:tc>
        <w:tcPr>
          <w:tcW w:w="390" w:type="dxa"/>
        </w:tcPr>
        <w:p w14:paraId="0CEC7EA9" w14:textId="77777777" w:rsidR="00BD47E4" w:rsidRDefault="00A2693D" w:rsidP="00387A65">
          <w:pPr>
            <w:jc w:val="right"/>
          </w:pPr>
        </w:p>
      </w:tc>
    </w:tr>
    <w:tr w:rsidR="008C52B0" w14:paraId="3CB2F0D7" w14:textId="77777777" w:rsidTr="00BD47E4">
      <w:trPr>
        <w:trHeight w:val="409"/>
        <w:jc w:val="center"/>
      </w:trPr>
      <w:tc>
        <w:tcPr>
          <w:tcW w:w="9039" w:type="dxa"/>
          <w:gridSpan w:val="2"/>
        </w:tcPr>
        <w:p w14:paraId="5EBF6B5D" w14:textId="77777777" w:rsidR="00BD47E4" w:rsidRDefault="00A2693D" w:rsidP="002C30DA">
          <w:pPr>
            <w:jc w:val="right"/>
          </w:pPr>
          <w:r>
            <w:t>Original:</w:t>
          </w:r>
        </w:p>
      </w:tc>
      <w:tc>
        <w:tcPr>
          <w:tcW w:w="1843" w:type="dxa"/>
          <w:gridSpan w:val="2"/>
        </w:tcPr>
        <w:p w14:paraId="7086A5B3" w14:textId="77777777" w:rsidR="00BD47E4" w:rsidRDefault="00A2693D" w:rsidP="002C30DA">
          <w:pPr>
            <w:jc w:val="right"/>
          </w:pPr>
          <w:bookmarkStart w:id="6" w:name="language"/>
          <w:r>
            <w:t>English</w:t>
          </w:r>
          <w:bookmarkEnd w:id="6"/>
        </w:p>
      </w:tc>
      <w:tc>
        <w:tcPr>
          <w:tcW w:w="390" w:type="dxa"/>
        </w:tcPr>
        <w:p w14:paraId="788FB8D6" w14:textId="77777777" w:rsidR="00BD47E4" w:rsidRDefault="00A2693D" w:rsidP="00387A65">
          <w:pPr>
            <w:jc w:val="right"/>
          </w:pPr>
        </w:p>
      </w:tc>
    </w:tr>
    <w:tr w:rsidR="008C52B0" w14:paraId="76DF617E" w14:textId="77777777" w:rsidTr="00BD47E4">
      <w:trPr>
        <w:trHeight w:val="409"/>
        <w:jc w:val="center"/>
      </w:trPr>
      <w:tc>
        <w:tcPr>
          <w:tcW w:w="9039" w:type="dxa"/>
          <w:gridSpan w:val="2"/>
        </w:tcPr>
        <w:p w14:paraId="37CE2EC4" w14:textId="77777777" w:rsidR="0097629D" w:rsidRDefault="00A2693D" w:rsidP="002C30DA">
          <w:pPr>
            <w:jc w:val="right"/>
          </w:pPr>
          <w:r>
            <w:t>Submitted:</w:t>
          </w:r>
        </w:p>
      </w:tc>
      <w:tc>
        <w:tcPr>
          <w:tcW w:w="1843" w:type="dxa"/>
          <w:gridSpan w:val="2"/>
        </w:tcPr>
        <w:p w14:paraId="7BE4D3B1" w14:textId="77777777" w:rsidR="0097629D" w:rsidRDefault="00A2693D" w:rsidP="0097629D">
          <w:pPr>
            <w:jc w:val="right"/>
          </w:pPr>
          <w:bookmarkStart w:id="7" w:name="date_submission"/>
          <w:r>
            <w:t>8/4/2022</w:t>
          </w:r>
          <w:bookmarkEnd w:id="7"/>
        </w:p>
      </w:tc>
      <w:tc>
        <w:tcPr>
          <w:tcW w:w="390" w:type="dxa"/>
        </w:tcPr>
        <w:p w14:paraId="149A19E0" w14:textId="77777777" w:rsidR="0097629D" w:rsidRDefault="00A2693D" w:rsidP="00387A65">
          <w:pPr>
            <w:jc w:val="right"/>
          </w:pPr>
        </w:p>
      </w:tc>
    </w:tr>
  </w:tbl>
  <w:p w14:paraId="72AC04AC" w14:textId="77777777" w:rsidR="00AE5DD0" w:rsidRDefault="00A269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1FCF85F6" w14:textId="77777777">
      <w:trPr>
        <w:trHeight w:val="354"/>
        <w:jc w:val="center"/>
      </w:trPr>
      <w:tc>
        <w:tcPr>
          <w:tcW w:w="9694" w:type="dxa"/>
        </w:tcPr>
        <w:p w14:paraId="1C5FCE74" w14:textId="77777777" w:rsidR="00AE5DD0" w:rsidRPr="00BD47E4" w:rsidRDefault="00A2693D" w:rsidP="00C26F2D">
          <w:pPr>
            <w:jc w:val="right"/>
            <w:rPr>
              <w:b/>
              <w:sz w:val="32"/>
              <w:szCs w:val="32"/>
            </w:rPr>
          </w:pPr>
          <w:r>
            <w:rPr>
              <w:b/>
              <w:sz w:val="32"/>
              <w:szCs w:val="32"/>
            </w:rPr>
            <w:t>IP</w:t>
          </w:r>
        </w:p>
      </w:tc>
      <w:tc>
        <w:tcPr>
          <w:tcW w:w="1332" w:type="dxa"/>
        </w:tcPr>
        <w:p w14:paraId="227FE70C" w14:textId="54B339A6" w:rsidR="00AE5DD0" w:rsidRPr="00BD47E4" w:rsidRDefault="00A2693D" w:rsidP="00080F4C">
          <w:pPr>
            <w:rPr>
              <w:b/>
              <w:sz w:val="32"/>
              <w:szCs w:val="32"/>
            </w:rPr>
          </w:pPr>
          <w:r>
            <w:rPr>
              <w:b/>
              <w:sz w:val="32"/>
              <w:szCs w:val="32"/>
            </w:rPr>
            <w:t>26</w:t>
          </w:r>
        </w:p>
      </w:tc>
    </w:tr>
  </w:tbl>
  <w:p w14:paraId="7752F698" w14:textId="77777777" w:rsidR="00AE5DD0" w:rsidRDefault="00A26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C12F116">
      <w:start w:val="1"/>
      <w:numFmt w:val="bullet"/>
      <w:pStyle w:val="ATSBullet1"/>
      <w:lvlText w:val=""/>
      <w:lvlJc w:val="left"/>
      <w:pPr>
        <w:tabs>
          <w:tab w:val="num" w:pos="360"/>
        </w:tabs>
        <w:ind w:left="360" w:hanging="360"/>
      </w:pPr>
      <w:rPr>
        <w:rFonts w:ascii="Symbol" w:hAnsi="Symbol" w:hint="default"/>
        <w:color w:val="auto"/>
      </w:rPr>
    </w:lvl>
    <w:lvl w:ilvl="1" w:tplc="664E3794" w:tentative="1">
      <w:start w:val="1"/>
      <w:numFmt w:val="bullet"/>
      <w:lvlText w:val="o"/>
      <w:lvlJc w:val="left"/>
      <w:pPr>
        <w:tabs>
          <w:tab w:val="num" w:pos="1440"/>
        </w:tabs>
        <w:ind w:left="1440" w:hanging="360"/>
      </w:pPr>
      <w:rPr>
        <w:rFonts w:ascii="Courier New" w:hAnsi="Courier New" w:cs="Courier New" w:hint="default"/>
      </w:rPr>
    </w:lvl>
    <w:lvl w:ilvl="2" w:tplc="93EEA4CC" w:tentative="1">
      <w:start w:val="1"/>
      <w:numFmt w:val="bullet"/>
      <w:lvlText w:val=""/>
      <w:lvlJc w:val="left"/>
      <w:pPr>
        <w:tabs>
          <w:tab w:val="num" w:pos="2160"/>
        </w:tabs>
        <w:ind w:left="2160" w:hanging="360"/>
      </w:pPr>
      <w:rPr>
        <w:rFonts w:ascii="Wingdings" w:hAnsi="Wingdings" w:hint="default"/>
      </w:rPr>
    </w:lvl>
    <w:lvl w:ilvl="3" w:tplc="B6C07D6C" w:tentative="1">
      <w:start w:val="1"/>
      <w:numFmt w:val="bullet"/>
      <w:lvlText w:val=""/>
      <w:lvlJc w:val="left"/>
      <w:pPr>
        <w:tabs>
          <w:tab w:val="num" w:pos="2880"/>
        </w:tabs>
        <w:ind w:left="2880" w:hanging="360"/>
      </w:pPr>
      <w:rPr>
        <w:rFonts w:ascii="Symbol" w:hAnsi="Symbol" w:hint="default"/>
      </w:rPr>
    </w:lvl>
    <w:lvl w:ilvl="4" w:tplc="297E1034" w:tentative="1">
      <w:start w:val="1"/>
      <w:numFmt w:val="bullet"/>
      <w:lvlText w:val="o"/>
      <w:lvlJc w:val="left"/>
      <w:pPr>
        <w:tabs>
          <w:tab w:val="num" w:pos="3600"/>
        </w:tabs>
        <w:ind w:left="3600" w:hanging="360"/>
      </w:pPr>
      <w:rPr>
        <w:rFonts w:ascii="Courier New" w:hAnsi="Courier New" w:cs="Courier New" w:hint="default"/>
      </w:rPr>
    </w:lvl>
    <w:lvl w:ilvl="5" w:tplc="EEE2DCE6" w:tentative="1">
      <w:start w:val="1"/>
      <w:numFmt w:val="bullet"/>
      <w:lvlText w:val=""/>
      <w:lvlJc w:val="left"/>
      <w:pPr>
        <w:tabs>
          <w:tab w:val="num" w:pos="4320"/>
        </w:tabs>
        <w:ind w:left="4320" w:hanging="360"/>
      </w:pPr>
      <w:rPr>
        <w:rFonts w:ascii="Wingdings" w:hAnsi="Wingdings" w:hint="default"/>
      </w:rPr>
    </w:lvl>
    <w:lvl w:ilvl="6" w:tplc="E4065274" w:tentative="1">
      <w:start w:val="1"/>
      <w:numFmt w:val="bullet"/>
      <w:lvlText w:val=""/>
      <w:lvlJc w:val="left"/>
      <w:pPr>
        <w:tabs>
          <w:tab w:val="num" w:pos="5040"/>
        </w:tabs>
        <w:ind w:left="5040" w:hanging="360"/>
      </w:pPr>
      <w:rPr>
        <w:rFonts w:ascii="Symbol" w:hAnsi="Symbol" w:hint="default"/>
      </w:rPr>
    </w:lvl>
    <w:lvl w:ilvl="7" w:tplc="BADE473A" w:tentative="1">
      <w:start w:val="1"/>
      <w:numFmt w:val="bullet"/>
      <w:lvlText w:val="o"/>
      <w:lvlJc w:val="left"/>
      <w:pPr>
        <w:tabs>
          <w:tab w:val="num" w:pos="5760"/>
        </w:tabs>
        <w:ind w:left="5760" w:hanging="360"/>
      </w:pPr>
      <w:rPr>
        <w:rFonts w:ascii="Courier New" w:hAnsi="Courier New" w:cs="Courier New" w:hint="default"/>
      </w:rPr>
    </w:lvl>
    <w:lvl w:ilvl="8" w:tplc="070E13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10618D6">
      <w:start w:val="1"/>
      <w:numFmt w:val="decimal"/>
      <w:lvlText w:val="%1)"/>
      <w:lvlJc w:val="left"/>
      <w:pPr>
        <w:tabs>
          <w:tab w:val="num" w:pos="340"/>
        </w:tabs>
        <w:ind w:left="340" w:hanging="340"/>
      </w:pPr>
      <w:rPr>
        <w:rFonts w:hint="default"/>
      </w:rPr>
    </w:lvl>
    <w:lvl w:ilvl="1" w:tplc="2B42CE24" w:tentative="1">
      <w:start w:val="1"/>
      <w:numFmt w:val="lowerLetter"/>
      <w:lvlText w:val="%2."/>
      <w:lvlJc w:val="left"/>
      <w:pPr>
        <w:tabs>
          <w:tab w:val="num" w:pos="1440"/>
        </w:tabs>
        <w:ind w:left="1440" w:hanging="360"/>
      </w:pPr>
    </w:lvl>
    <w:lvl w:ilvl="2" w:tplc="F9F4CBC8" w:tentative="1">
      <w:start w:val="1"/>
      <w:numFmt w:val="lowerRoman"/>
      <w:lvlText w:val="%3."/>
      <w:lvlJc w:val="right"/>
      <w:pPr>
        <w:tabs>
          <w:tab w:val="num" w:pos="2160"/>
        </w:tabs>
        <w:ind w:left="2160" w:hanging="180"/>
      </w:pPr>
    </w:lvl>
    <w:lvl w:ilvl="3" w:tplc="43E06198" w:tentative="1">
      <w:start w:val="1"/>
      <w:numFmt w:val="decimal"/>
      <w:lvlText w:val="%4."/>
      <w:lvlJc w:val="left"/>
      <w:pPr>
        <w:tabs>
          <w:tab w:val="num" w:pos="2880"/>
        </w:tabs>
        <w:ind w:left="2880" w:hanging="360"/>
      </w:pPr>
    </w:lvl>
    <w:lvl w:ilvl="4" w:tplc="83B417E8" w:tentative="1">
      <w:start w:val="1"/>
      <w:numFmt w:val="lowerLetter"/>
      <w:lvlText w:val="%5."/>
      <w:lvlJc w:val="left"/>
      <w:pPr>
        <w:tabs>
          <w:tab w:val="num" w:pos="3600"/>
        </w:tabs>
        <w:ind w:left="3600" w:hanging="360"/>
      </w:pPr>
    </w:lvl>
    <w:lvl w:ilvl="5" w:tplc="8F7CEAEA" w:tentative="1">
      <w:start w:val="1"/>
      <w:numFmt w:val="lowerRoman"/>
      <w:lvlText w:val="%6."/>
      <w:lvlJc w:val="right"/>
      <w:pPr>
        <w:tabs>
          <w:tab w:val="num" w:pos="4320"/>
        </w:tabs>
        <w:ind w:left="4320" w:hanging="180"/>
      </w:pPr>
    </w:lvl>
    <w:lvl w:ilvl="6" w:tplc="B2DE6A38" w:tentative="1">
      <w:start w:val="1"/>
      <w:numFmt w:val="decimal"/>
      <w:lvlText w:val="%7."/>
      <w:lvlJc w:val="left"/>
      <w:pPr>
        <w:tabs>
          <w:tab w:val="num" w:pos="5040"/>
        </w:tabs>
        <w:ind w:left="5040" w:hanging="360"/>
      </w:pPr>
    </w:lvl>
    <w:lvl w:ilvl="7" w:tplc="694CEB7A" w:tentative="1">
      <w:start w:val="1"/>
      <w:numFmt w:val="lowerLetter"/>
      <w:lvlText w:val="%8."/>
      <w:lvlJc w:val="left"/>
      <w:pPr>
        <w:tabs>
          <w:tab w:val="num" w:pos="5760"/>
        </w:tabs>
        <w:ind w:left="5760" w:hanging="360"/>
      </w:pPr>
    </w:lvl>
    <w:lvl w:ilvl="8" w:tplc="6C7C290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E646DE2">
      <w:start w:val="1"/>
      <w:numFmt w:val="decimal"/>
      <w:lvlText w:val="%1."/>
      <w:lvlJc w:val="left"/>
      <w:pPr>
        <w:tabs>
          <w:tab w:val="num" w:pos="1057"/>
        </w:tabs>
        <w:ind w:left="1057" w:hanging="360"/>
      </w:pPr>
      <w:rPr>
        <w:rFonts w:hint="default"/>
      </w:rPr>
    </w:lvl>
    <w:lvl w:ilvl="1" w:tplc="D8DC2132" w:tentative="1">
      <w:start w:val="1"/>
      <w:numFmt w:val="lowerLetter"/>
      <w:lvlText w:val="%2."/>
      <w:lvlJc w:val="left"/>
      <w:pPr>
        <w:tabs>
          <w:tab w:val="num" w:pos="2137"/>
        </w:tabs>
        <w:ind w:left="2137" w:hanging="360"/>
      </w:pPr>
    </w:lvl>
    <w:lvl w:ilvl="2" w:tplc="CC823D30" w:tentative="1">
      <w:start w:val="1"/>
      <w:numFmt w:val="lowerRoman"/>
      <w:lvlText w:val="%3."/>
      <w:lvlJc w:val="right"/>
      <w:pPr>
        <w:tabs>
          <w:tab w:val="num" w:pos="2857"/>
        </w:tabs>
        <w:ind w:left="2857" w:hanging="180"/>
      </w:pPr>
    </w:lvl>
    <w:lvl w:ilvl="3" w:tplc="BACA7F84" w:tentative="1">
      <w:start w:val="1"/>
      <w:numFmt w:val="decimal"/>
      <w:lvlText w:val="%4."/>
      <w:lvlJc w:val="left"/>
      <w:pPr>
        <w:tabs>
          <w:tab w:val="num" w:pos="3577"/>
        </w:tabs>
        <w:ind w:left="3577" w:hanging="360"/>
      </w:pPr>
    </w:lvl>
    <w:lvl w:ilvl="4" w:tplc="503A5AD2" w:tentative="1">
      <w:start w:val="1"/>
      <w:numFmt w:val="lowerLetter"/>
      <w:lvlText w:val="%5."/>
      <w:lvlJc w:val="left"/>
      <w:pPr>
        <w:tabs>
          <w:tab w:val="num" w:pos="4297"/>
        </w:tabs>
        <w:ind w:left="4297" w:hanging="360"/>
      </w:pPr>
    </w:lvl>
    <w:lvl w:ilvl="5" w:tplc="C4FEE61C" w:tentative="1">
      <w:start w:val="1"/>
      <w:numFmt w:val="lowerRoman"/>
      <w:lvlText w:val="%6."/>
      <w:lvlJc w:val="right"/>
      <w:pPr>
        <w:tabs>
          <w:tab w:val="num" w:pos="5017"/>
        </w:tabs>
        <w:ind w:left="5017" w:hanging="180"/>
      </w:pPr>
    </w:lvl>
    <w:lvl w:ilvl="6" w:tplc="802C93EA" w:tentative="1">
      <w:start w:val="1"/>
      <w:numFmt w:val="decimal"/>
      <w:lvlText w:val="%7."/>
      <w:lvlJc w:val="left"/>
      <w:pPr>
        <w:tabs>
          <w:tab w:val="num" w:pos="5737"/>
        </w:tabs>
        <w:ind w:left="5737" w:hanging="360"/>
      </w:pPr>
    </w:lvl>
    <w:lvl w:ilvl="7" w:tplc="211A4508" w:tentative="1">
      <w:start w:val="1"/>
      <w:numFmt w:val="lowerLetter"/>
      <w:lvlText w:val="%8."/>
      <w:lvlJc w:val="left"/>
      <w:pPr>
        <w:tabs>
          <w:tab w:val="num" w:pos="6457"/>
        </w:tabs>
        <w:ind w:left="6457" w:hanging="360"/>
      </w:pPr>
    </w:lvl>
    <w:lvl w:ilvl="8" w:tplc="B84CEFD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740666E">
      <w:start w:val="1"/>
      <w:numFmt w:val="decimal"/>
      <w:pStyle w:val="ATSNumber1"/>
      <w:lvlText w:val="%1)"/>
      <w:lvlJc w:val="left"/>
      <w:pPr>
        <w:tabs>
          <w:tab w:val="num" w:pos="720"/>
        </w:tabs>
        <w:ind w:left="720" w:hanging="360"/>
      </w:pPr>
    </w:lvl>
    <w:lvl w:ilvl="1" w:tplc="0756AB2E" w:tentative="1">
      <w:start w:val="1"/>
      <w:numFmt w:val="lowerLetter"/>
      <w:lvlText w:val="%2."/>
      <w:lvlJc w:val="left"/>
      <w:pPr>
        <w:tabs>
          <w:tab w:val="num" w:pos="1440"/>
        </w:tabs>
        <w:ind w:left="1440" w:hanging="360"/>
      </w:pPr>
    </w:lvl>
    <w:lvl w:ilvl="2" w:tplc="79645C1C" w:tentative="1">
      <w:start w:val="1"/>
      <w:numFmt w:val="lowerRoman"/>
      <w:lvlText w:val="%3."/>
      <w:lvlJc w:val="right"/>
      <w:pPr>
        <w:tabs>
          <w:tab w:val="num" w:pos="2160"/>
        </w:tabs>
        <w:ind w:left="2160" w:hanging="180"/>
      </w:pPr>
    </w:lvl>
    <w:lvl w:ilvl="3" w:tplc="065C5B86" w:tentative="1">
      <w:start w:val="1"/>
      <w:numFmt w:val="decimal"/>
      <w:lvlText w:val="%4."/>
      <w:lvlJc w:val="left"/>
      <w:pPr>
        <w:tabs>
          <w:tab w:val="num" w:pos="2880"/>
        </w:tabs>
        <w:ind w:left="2880" w:hanging="360"/>
      </w:pPr>
    </w:lvl>
    <w:lvl w:ilvl="4" w:tplc="C11E1558" w:tentative="1">
      <w:start w:val="1"/>
      <w:numFmt w:val="lowerLetter"/>
      <w:lvlText w:val="%5."/>
      <w:lvlJc w:val="left"/>
      <w:pPr>
        <w:tabs>
          <w:tab w:val="num" w:pos="3600"/>
        </w:tabs>
        <w:ind w:left="3600" w:hanging="360"/>
      </w:pPr>
    </w:lvl>
    <w:lvl w:ilvl="5" w:tplc="1FD46C3E" w:tentative="1">
      <w:start w:val="1"/>
      <w:numFmt w:val="lowerRoman"/>
      <w:lvlText w:val="%6."/>
      <w:lvlJc w:val="right"/>
      <w:pPr>
        <w:tabs>
          <w:tab w:val="num" w:pos="4320"/>
        </w:tabs>
        <w:ind w:left="4320" w:hanging="180"/>
      </w:pPr>
    </w:lvl>
    <w:lvl w:ilvl="6" w:tplc="EE2E0B4E" w:tentative="1">
      <w:start w:val="1"/>
      <w:numFmt w:val="decimal"/>
      <w:lvlText w:val="%7."/>
      <w:lvlJc w:val="left"/>
      <w:pPr>
        <w:tabs>
          <w:tab w:val="num" w:pos="5040"/>
        </w:tabs>
        <w:ind w:left="5040" w:hanging="360"/>
      </w:pPr>
    </w:lvl>
    <w:lvl w:ilvl="7" w:tplc="01C069CC" w:tentative="1">
      <w:start w:val="1"/>
      <w:numFmt w:val="lowerLetter"/>
      <w:lvlText w:val="%8."/>
      <w:lvlJc w:val="left"/>
      <w:pPr>
        <w:tabs>
          <w:tab w:val="num" w:pos="5760"/>
        </w:tabs>
        <w:ind w:left="5760" w:hanging="360"/>
      </w:pPr>
    </w:lvl>
    <w:lvl w:ilvl="8" w:tplc="4B28956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9709B4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1B62D7C" w:tentative="1">
      <w:start w:val="1"/>
      <w:numFmt w:val="bullet"/>
      <w:lvlText w:val="o"/>
      <w:lvlJc w:val="left"/>
      <w:pPr>
        <w:tabs>
          <w:tab w:val="num" w:pos="2517"/>
        </w:tabs>
        <w:ind w:left="2517" w:hanging="360"/>
      </w:pPr>
      <w:rPr>
        <w:rFonts w:ascii="Courier New" w:hAnsi="Courier New" w:cs="Courier New" w:hint="default"/>
      </w:rPr>
    </w:lvl>
    <w:lvl w:ilvl="2" w:tplc="36CA55B0" w:tentative="1">
      <w:start w:val="1"/>
      <w:numFmt w:val="bullet"/>
      <w:lvlText w:val=""/>
      <w:lvlJc w:val="left"/>
      <w:pPr>
        <w:tabs>
          <w:tab w:val="num" w:pos="3237"/>
        </w:tabs>
        <w:ind w:left="3237" w:hanging="360"/>
      </w:pPr>
      <w:rPr>
        <w:rFonts w:ascii="Wingdings" w:hAnsi="Wingdings" w:hint="default"/>
      </w:rPr>
    </w:lvl>
    <w:lvl w:ilvl="3" w:tplc="CFEC2DE6" w:tentative="1">
      <w:start w:val="1"/>
      <w:numFmt w:val="bullet"/>
      <w:lvlText w:val=""/>
      <w:lvlJc w:val="left"/>
      <w:pPr>
        <w:tabs>
          <w:tab w:val="num" w:pos="3957"/>
        </w:tabs>
        <w:ind w:left="3957" w:hanging="360"/>
      </w:pPr>
      <w:rPr>
        <w:rFonts w:ascii="Symbol" w:hAnsi="Symbol" w:hint="default"/>
      </w:rPr>
    </w:lvl>
    <w:lvl w:ilvl="4" w:tplc="2E9A1D82" w:tentative="1">
      <w:start w:val="1"/>
      <w:numFmt w:val="bullet"/>
      <w:lvlText w:val="o"/>
      <w:lvlJc w:val="left"/>
      <w:pPr>
        <w:tabs>
          <w:tab w:val="num" w:pos="4677"/>
        </w:tabs>
        <w:ind w:left="4677" w:hanging="360"/>
      </w:pPr>
      <w:rPr>
        <w:rFonts w:ascii="Courier New" w:hAnsi="Courier New" w:cs="Courier New" w:hint="default"/>
      </w:rPr>
    </w:lvl>
    <w:lvl w:ilvl="5" w:tplc="655E305E" w:tentative="1">
      <w:start w:val="1"/>
      <w:numFmt w:val="bullet"/>
      <w:lvlText w:val=""/>
      <w:lvlJc w:val="left"/>
      <w:pPr>
        <w:tabs>
          <w:tab w:val="num" w:pos="5397"/>
        </w:tabs>
        <w:ind w:left="5397" w:hanging="360"/>
      </w:pPr>
      <w:rPr>
        <w:rFonts w:ascii="Wingdings" w:hAnsi="Wingdings" w:hint="default"/>
      </w:rPr>
    </w:lvl>
    <w:lvl w:ilvl="6" w:tplc="D58AAD4C" w:tentative="1">
      <w:start w:val="1"/>
      <w:numFmt w:val="bullet"/>
      <w:lvlText w:val=""/>
      <w:lvlJc w:val="left"/>
      <w:pPr>
        <w:tabs>
          <w:tab w:val="num" w:pos="6117"/>
        </w:tabs>
        <w:ind w:left="6117" w:hanging="360"/>
      </w:pPr>
      <w:rPr>
        <w:rFonts w:ascii="Symbol" w:hAnsi="Symbol" w:hint="default"/>
      </w:rPr>
    </w:lvl>
    <w:lvl w:ilvl="7" w:tplc="DA464768" w:tentative="1">
      <w:start w:val="1"/>
      <w:numFmt w:val="bullet"/>
      <w:lvlText w:val="o"/>
      <w:lvlJc w:val="left"/>
      <w:pPr>
        <w:tabs>
          <w:tab w:val="num" w:pos="6837"/>
        </w:tabs>
        <w:ind w:left="6837" w:hanging="360"/>
      </w:pPr>
      <w:rPr>
        <w:rFonts w:ascii="Courier New" w:hAnsi="Courier New" w:cs="Courier New" w:hint="default"/>
      </w:rPr>
    </w:lvl>
    <w:lvl w:ilvl="8" w:tplc="B30C5CB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87CA6AE">
      <w:start w:val="1"/>
      <w:numFmt w:val="decimal"/>
      <w:pStyle w:val="ATSNumber2"/>
      <w:lvlText w:val="%1."/>
      <w:lvlJc w:val="left"/>
      <w:pPr>
        <w:tabs>
          <w:tab w:val="num" w:pos="720"/>
        </w:tabs>
        <w:ind w:left="720" w:hanging="360"/>
      </w:pPr>
      <w:rPr>
        <w:rFonts w:hint="default"/>
      </w:rPr>
    </w:lvl>
    <w:lvl w:ilvl="1" w:tplc="D10C40D2" w:tentative="1">
      <w:start w:val="1"/>
      <w:numFmt w:val="lowerLetter"/>
      <w:lvlText w:val="%2."/>
      <w:lvlJc w:val="left"/>
      <w:pPr>
        <w:tabs>
          <w:tab w:val="num" w:pos="1440"/>
        </w:tabs>
        <w:ind w:left="1440" w:hanging="360"/>
      </w:pPr>
    </w:lvl>
    <w:lvl w:ilvl="2" w:tplc="18C20BAA" w:tentative="1">
      <w:start w:val="1"/>
      <w:numFmt w:val="lowerRoman"/>
      <w:lvlText w:val="%3."/>
      <w:lvlJc w:val="right"/>
      <w:pPr>
        <w:tabs>
          <w:tab w:val="num" w:pos="2160"/>
        </w:tabs>
        <w:ind w:left="2160" w:hanging="180"/>
      </w:pPr>
    </w:lvl>
    <w:lvl w:ilvl="3" w:tplc="F51CE3A4" w:tentative="1">
      <w:start w:val="1"/>
      <w:numFmt w:val="decimal"/>
      <w:lvlText w:val="%4."/>
      <w:lvlJc w:val="left"/>
      <w:pPr>
        <w:tabs>
          <w:tab w:val="num" w:pos="2880"/>
        </w:tabs>
        <w:ind w:left="2880" w:hanging="360"/>
      </w:pPr>
    </w:lvl>
    <w:lvl w:ilvl="4" w:tplc="93EE926A" w:tentative="1">
      <w:start w:val="1"/>
      <w:numFmt w:val="lowerLetter"/>
      <w:lvlText w:val="%5."/>
      <w:lvlJc w:val="left"/>
      <w:pPr>
        <w:tabs>
          <w:tab w:val="num" w:pos="3600"/>
        </w:tabs>
        <w:ind w:left="3600" w:hanging="360"/>
      </w:pPr>
    </w:lvl>
    <w:lvl w:ilvl="5" w:tplc="5A1688C4" w:tentative="1">
      <w:start w:val="1"/>
      <w:numFmt w:val="lowerRoman"/>
      <w:lvlText w:val="%6."/>
      <w:lvlJc w:val="right"/>
      <w:pPr>
        <w:tabs>
          <w:tab w:val="num" w:pos="4320"/>
        </w:tabs>
        <w:ind w:left="4320" w:hanging="180"/>
      </w:pPr>
    </w:lvl>
    <w:lvl w:ilvl="6" w:tplc="26C24414" w:tentative="1">
      <w:start w:val="1"/>
      <w:numFmt w:val="decimal"/>
      <w:lvlText w:val="%7."/>
      <w:lvlJc w:val="left"/>
      <w:pPr>
        <w:tabs>
          <w:tab w:val="num" w:pos="5040"/>
        </w:tabs>
        <w:ind w:left="5040" w:hanging="360"/>
      </w:pPr>
    </w:lvl>
    <w:lvl w:ilvl="7" w:tplc="02EC8E5E" w:tentative="1">
      <w:start w:val="1"/>
      <w:numFmt w:val="lowerLetter"/>
      <w:lvlText w:val="%8."/>
      <w:lvlJc w:val="left"/>
      <w:pPr>
        <w:tabs>
          <w:tab w:val="num" w:pos="5760"/>
        </w:tabs>
        <w:ind w:left="5760" w:hanging="360"/>
      </w:pPr>
    </w:lvl>
    <w:lvl w:ilvl="8" w:tplc="3338605C" w:tentative="1">
      <w:start w:val="1"/>
      <w:numFmt w:val="lowerRoman"/>
      <w:lvlText w:val="%9."/>
      <w:lvlJc w:val="right"/>
      <w:pPr>
        <w:tabs>
          <w:tab w:val="num" w:pos="6480"/>
        </w:tabs>
        <w:ind w:left="6480" w:hanging="180"/>
      </w:pPr>
    </w:lvl>
  </w:abstractNum>
  <w:num w:numId="1" w16cid:durableId="1134564517">
    <w:abstractNumId w:val="9"/>
  </w:num>
  <w:num w:numId="2" w16cid:durableId="1777629176">
    <w:abstractNumId w:val="7"/>
  </w:num>
  <w:num w:numId="3" w16cid:durableId="998074074">
    <w:abstractNumId w:val="6"/>
  </w:num>
  <w:num w:numId="4" w16cid:durableId="1777947429">
    <w:abstractNumId w:val="5"/>
  </w:num>
  <w:num w:numId="5" w16cid:durableId="881861803">
    <w:abstractNumId w:val="4"/>
  </w:num>
  <w:num w:numId="6" w16cid:durableId="372341704">
    <w:abstractNumId w:val="8"/>
  </w:num>
  <w:num w:numId="7" w16cid:durableId="1167985970">
    <w:abstractNumId w:val="3"/>
  </w:num>
  <w:num w:numId="8" w16cid:durableId="1371412939">
    <w:abstractNumId w:val="2"/>
  </w:num>
  <w:num w:numId="9" w16cid:durableId="456602133">
    <w:abstractNumId w:val="1"/>
  </w:num>
  <w:num w:numId="10" w16cid:durableId="713426727">
    <w:abstractNumId w:val="0"/>
  </w:num>
  <w:num w:numId="11" w16cid:durableId="523060800">
    <w:abstractNumId w:val="11"/>
  </w:num>
  <w:num w:numId="12" w16cid:durableId="1439449227">
    <w:abstractNumId w:val="15"/>
  </w:num>
  <w:num w:numId="13" w16cid:durableId="1641424203">
    <w:abstractNumId w:val="14"/>
  </w:num>
  <w:num w:numId="14" w16cid:durableId="1144127555">
    <w:abstractNumId w:val="12"/>
  </w:num>
  <w:num w:numId="15" w16cid:durableId="1989673904">
    <w:abstractNumId w:val="13"/>
  </w:num>
  <w:num w:numId="16" w16cid:durableId="894243060">
    <w:abstractNumId w:val="10"/>
  </w:num>
  <w:num w:numId="17" w16cid:durableId="1400445524">
    <w:abstractNumId w:val="11"/>
  </w:num>
  <w:num w:numId="18" w16cid:durableId="1787113128">
    <w:abstractNumId w:val="15"/>
  </w:num>
  <w:num w:numId="19" w16cid:durableId="164824178">
    <w:abstractNumId w:val="14"/>
  </w:num>
  <w:num w:numId="20" w16cid:durableId="13839397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B0"/>
    <w:rsid w:val="008C52B0"/>
    <w:rsid w:val="00A269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AD722"/>
  <w15:chartTrackingRefBased/>
  <w15:docId w15:val="{FEE32F94-AD13-483F-B283-101159AE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star.ac.uk/"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ap.edu/catalog/21741/a-strategic-vision-for-nsf-investments-in-antarctic-and-southern-ocean-research)" TargetMode="External"/><Relationship Id="rId17" Type="http://schemas.openxmlformats.org/officeDocument/2006/relationships/hyperlink" Target="mailto:pcutler@nsf.gov" TargetMode="External"/><Relationship Id="rId2" Type="http://schemas.openxmlformats.org/officeDocument/2006/relationships/numbering" Target="numbering.xml"/><Relationship Id="rId16" Type="http://schemas.openxmlformats.org/officeDocument/2006/relationships/hyperlink" Target="https://thwaitesglacier.org/resources/publications" TargetMode="External"/><Relationship Id="rId20" Type="http://schemas.openxmlformats.org/officeDocument/2006/relationships/hyperlink" Target="https://www.nap.edu/catalog/21741/a-strategic-vision-for-nsf-investments-in-antarctic-and-southern-ocean-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r.org/horizonsc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waitesglacier.or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onlinelibrary.wiley.com/doi/10.1002/2014GL060111/fu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sf.gov/pubs/2017/nsf17505/nsf17505.htm"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1335</Words>
  <Characters>9157</Characters>
  <Application>Microsoft Office Word</Application>
  <DocSecurity>0</DocSecurity>
  <Lines>76</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2022-04-11T12:45:00Z</dcterms:modified>
</cp:coreProperties>
</file>