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753B7" w14:textId="77777777" w:rsidR="00C26F2D" w:rsidRPr="00BF077B" w:rsidRDefault="00172706" w:rsidP="00BF077B">
      <w:pPr>
        <w:pStyle w:val="ATSNormal"/>
        <w:rPr>
          <w:rStyle w:val="Ttulodellibro"/>
        </w:rPr>
      </w:pPr>
    </w:p>
    <w:p w14:paraId="53137EED" w14:textId="77777777" w:rsidR="002F0A13" w:rsidRDefault="00172706" w:rsidP="004B4A60">
      <w:pPr>
        <w:rPr>
          <w:b/>
          <w:u w:val="single"/>
          <w:lang w:val="es-ES_tradnl"/>
        </w:rPr>
      </w:pPr>
    </w:p>
    <w:p w14:paraId="2DF93612" w14:textId="77777777" w:rsidR="002F0A13" w:rsidRDefault="00172706" w:rsidP="004B4A60">
      <w:pPr>
        <w:rPr>
          <w:b/>
          <w:u w:val="single"/>
          <w:lang w:val="es-ES_tradnl"/>
        </w:rPr>
      </w:pPr>
    </w:p>
    <w:p w14:paraId="4C9C2090" w14:textId="77777777" w:rsidR="002F0A13" w:rsidRDefault="00172706" w:rsidP="004B4A60">
      <w:pPr>
        <w:rPr>
          <w:b/>
          <w:u w:val="single"/>
          <w:lang w:val="es-ES_tradnl"/>
        </w:rPr>
      </w:pPr>
    </w:p>
    <w:p w14:paraId="1C9A0DDB" w14:textId="77777777" w:rsidR="002F0A13" w:rsidRDefault="00172706" w:rsidP="004B4A60">
      <w:pPr>
        <w:rPr>
          <w:b/>
          <w:u w:val="single"/>
          <w:lang w:val="es-ES_tradnl"/>
        </w:rPr>
      </w:pPr>
    </w:p>
    <w:p w14:paraId="5D12405B" w14:textId="77777777" w:rsidR="00C26F2D" w:rsidRDefault="00172706" w:rsidP="004B4A60">
      <w:pPr>
        <w:rPr>
          <w:b/>
          <w:u w:val="single"/>
          <w:lang w:val="es-ES_tradnl"/>
        </w:rPr>
      </w:pPr>
    </w:p>
    <w:p w14:paraId="203BCCEF" w14:textId="77777777" w:rsidR="004B4A60" w:rsidRPr="0057246E" w:rsidRDefault="00172706" w:rsidP="001B789F">
      <w:pPr>
        <w:pStyle w:val="ATSTitle"/>
      </w:pPr>
      <w:bookmarkStart w:id="0" w:name="name"/>
      <w:r>
        <w:t>Davis Aerodrome Project: Decision by Australia not to proceed, and knowledge gained of the Vestfold Hills environment</w:t>
      </w:r>
      <w:bookmarkEnd w:id="0"/>
    </w:p>
    <w:p w14:paraId="3131B98D" w14:textId="77777777" w:rsidR="004B4A60" w:rsidRPr="0057246E" w:rsidRDefault="00172706" w:rsidP="00F75424">
      <w:pPr>
        <w:jc w:val="center"/>
      </w:pPr>
    </w:p>
    <w:p w14:paraId="5BA8300F" w14:textId="77777777" w:rsidR="004B4A60" w:rsidRPr="002F0A13" w:rsidRDefault="00172706" w:rsidP="002F0A13"/>
    <w:p w14:paraId="5E48A77C" w14:textId="77777777" w:rsidR="004B4A60" w:rsidRDefault="00172706" w:rsidP="00F75424">
      <w:pPr>
        <w:jc w:val="center"/>
      </w:pPr>
      <w:bookmarkStart w:id="1" w:name="memo"/>
      <w:bookmarkEnd w:id="1"/>
    </w:p>
    <w:p w14:paraId="244E1970" w14:textId="77777777" w:rsidR="0097629D" w:rsidRDefault="00172706" w:rsidP="00F75424">
      <w:pPr>
        <w:jc w:val="center"/>
      </w:pPr>
    </w:p>
    <w:p w14:paraId="6332ABE9" w14:textId="77777777" w:rsidR="0097629D" w:rsidRDefault="00172706" w:rsidP="00F75424">
      <w:pPr>
        <w:jc w:val="center"/>
      </w:pPr>
    </w:p>
    <w:p w14:paraId="29F9FBC3" w14:textId="77777777" w:rsidR="0097629D" w:rsidRDefault="00172706" w:rsidP="00F75424">
      <w:pPr>
        <w:jc w:val="center"/>
      </w:pPr>
    </w:p>
    <w:p w14:paraId="763C33D0" w14:textId="77777777" w:rsidR="0097629D" w:rsidRPr="00C26F2D" w:rsidRDefault="00172706" w:rsidP="00F75424">
      <w:pPr>
        <w:jc w:val="center"/>
      </w:pPr>
    </w:p>
    <w:p w14:paraId="7E9CB9CE" w14:textId="77777777" w:rsidR="004B4A60" w:rsidRPr="0057246E" w:rsidRDefault="00172706" w:rsidP="004B4A60"/>
    <w:p w14:paraId="5D910ECB" w14:textId="77777777" w:rsidR="00C26F2D" w:rsidRDefault="00172706"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10A0360B" w14:textId="77777777" w:rsidR="00172706" w:rsidRPr="00FD48C9" w:rsidRDefault="00172706" w:rsidP="00172706">
      <w:pPr>
        <w:pStyle w:val="ATSHeading1"/>
      </w:pPr>
      <w:r w:rsidRPr="00FD48C9">
        <w:lastRenderedPageBreak/>
        <w:t>Davis Aerodrome Project</w:t>
      </w:r>
      <w:r>
        <w:t xml:space="preserve">: Decision by Australia </w:t>
      </w:r>
      <w:r>
        <w:rPr>
          <w:noProof/>
        </w:rPr>
        <w:t>not to proceed, and knowledge gained of the Vestfold Hills environment</w:t>
      </w:r>
    </w:p>
    <w:p w14:paraId="6D460A6D" w14:textId="77777777" w:rsidR="00172706" w:rsidRPr="00FD48C9" w:rsidRDefault="00172706" w:rsidP="00172706">
      <w:pPr>
        <w:pStyle w:val="ATSNormal"/>
        <w:jc w:val="center"/>
        <w:rPr>
          <w:b/>
        </w:rPr>
      </w:pPr>
      <w:r w:rsidRPr="00FD48C9">
        <w:rPr>
          <w:b/>
        </w:rPr>
        <w:t>Information Paper submitted by Australia</w:t>
      </w:r>
    </w:p>
    <w:p w14:paraId="330AEDE9" w14:textId="77777777" w:rsidR="00172706" w:rsidRPr="00FD48C9" w:rsidRDefault="00172706" w:rsidP="00172706">
      <w:pPr>
        <w:pStyle w:val="ATSHeading2"/>
      </w:pPr>
      <w:r w:rsidRPr="00FD48C9">
        <w:t>Summary</w:t>
      </w:r>
    </w:p>
    <w:p w14:paraId="4555D64A" w14:textId="77777777" w:rsidR="00172706" w:rsidRDefault="00172706" w:rsidP="00172706">
      <w:pPr>
        <w:pStyle w:val="ATSNormal"/>
        <w:rPr>
          <w:rFonts w:cs="Arial"/>
        </w:rPr>
      </w:pPr>
      <w:r>
        <w:t xml:space="preserve">Australia has decided not to proceed with a proposal to construct and operate a paved runway near Davis research station in the Vestfold Hills, East Antarctica (the Davis Aerodrome Project), following careful consideration of the likely environmental impact, </w:t>
      </w:r>
      <w:proofErr w:type="gramStart"/>
      <w:r>
        <w:t>cost</w:t>
      </w:r>
      <w:proofErr w:type="gramEnd"/>
      <w:r>
        <w:t xml:space="preserve"> and complexity of the project</w:t>
      </w:r>
      <w:r>
        <w:rPr>
          <w:rFonts w:cs="Arial"/>
        </w:rPr>
        <w:t>. Consequently, Australia will not complete a draft Comprehensive Environmental Evaluation for circulation to Parties and the Committee for Environmental Protection. Significant progress had been made on assessing the environmental values of the Vestfold Hills and potential impacts of the proposal, informed by a range of subject matter experts and several seasons of detailed field investigations. The enhanced knowledge of the environment at the project site and surrounding region developed through these efforts will support Australia’s commitment to best practice environmental stewardship in Antarctica, including through the rigorous planning, assessment and conduct of future activities, and consideration of options for ongoing and enhanced environmental protection and management in the region.</w:t>
      </w:r>
    </w:p>
    <w:p w14:paraId="090ABC23" w14:textId="77777777" w:rsidR="00172706" w:rsidRPr="00590C73" w:rsidRDefault="00172706" w:rsidP="00172706">
      <w:pPr>
        <w:pStyle w:val="ATSHeading2"/>
      </w:pPr>
      <w:r w:rsidRPr="00590C73">
        <w:t>Background</w:t>
      </w:r>
    </w:p>
    <w:p w14:paraId="7BE049BA" w14:textId="77777777" w:rsidR="00172706" w:rsidRDefault="00172706" w:rsidP="00172706">
      <w:pPr>
        <w:pStyle w:val="ATSNormal"/>
      </w:pPr>
      <w:r w:rsidRPr="00590C73">
        <w:t xml:space="preserve">The 2016 </w:t>
      </w:r>
      <w:r w:rsidRPr="00590C73">
        <w:rPr>
          <w:i/>
        </w:rPr>
        <w:t>Australian Antarctic Strategy and 20 Year Action Plan</w:t>
      </w:r>
      <w:r w:rsidRPr="00590C73">
        <w:t xml:space="preserve"> include</w:t>
      </w:r>
      <w:r>
        <w:t>d</w:t>
      </w:r>
      <w:r w:rsidRPr="00590C73">
        <w:t xml:space="preserve"> a commitment to investigate year</w:t>
      </w:r>
      <w:r w:rsidRPr="00590C73">
        <w:noBreakHyphen/>
        <w:t xml:space="preserve">round </w:t>
      </w:r>
      <w:r>
        <w:t>aviation</w:t>
      </w:r>
      <w:r w:rsidRPr="00590C73">
        <w:t xml:space="preserve"> access between Australia and Antarctica</w:t>
      </w:r>
      <w:r w:rsidRPr="00CD26A6">
        <w:rPr>
          <w:rStyle w:val="Refdenotaalpie"/>
        </w:rPr>
        <w:footnoteReference w:id="1"/>
      </w:r>
      <w:r w:rsidRPr="00CD26A6">
        <w:t xml:space="preserve">. </w:t>
      </w:r>
      <w:r>
        <w:t xml:space="preserve">At ATCM XLII (2019) </w:t>
      </w:r>
      <w:r w:rsidRPr="00AD7D27">
        <w:t xml:space="preserve">Australia </w:t>
      </w:r>
      <w:r>
        <w:t>informed Parties about plans</w:t>
      </w:r>
      <w:r w:rsidRPr="00AD7D27">
        <w:t xml:space="preserve"> to construct</w:t>
      </w:r>
      <w:r w:rsidRPr="00CD26A6">
        <w:t xml:space="preserve"> a paved runway near Davis research station</w:t>
      </w:r>
      <w:r w:rsidRPr="00590C73">
        <w:t xml:space="preserve"> in the Vestfold Hills, East</w:t>
      </w:r>
      <w:r>
        <w:t> </w:t>
      </w:r>
      <w:r w:rsidRPr="00590C73">
        <w:t>Antarctica</w:t>
      </w:r>
      <w:r>
        <w:t xml:space="preserve"> (Figure 1)</w:t>
      </w:r>
      <w:r w:rsidRPr="00590C73">
        <w:t>, subject to environmental and other approvals</w:t>
      </w:r>
      <w:r w:rsidRPr="00CD26A6">
        <w:rPr>
          <w:rStyle w:val="Refdenotaalpie"/>
        </w:rPr>
        <w:footnoteReference w:id="2"/>
      </w:r>
      <w:r w:rsidRPr="00CD26A6">
        <w:t>.</w:t>
      </w:r>
      <w:r>
        <w:t xml:space="preserve"> The proposal recognised that the </w:t>
      </w:r>
      <w:r w:rsidRPr="00590C73">
        <w:t>A</w:t>
      </w:r>
      <w:r>
        <w:t xml:space="preserve">ustralian </w:t>
      </w:r>
      <w:r w:rsidRPr="00590C73">
        <w:t>A</w:t>
      </w:r>
      <w:r>
        <w:t xml:space="preserve">ntarctic </w:t>
      </w:r>
      <w:r w:rsidRPr="00590C73">
        <w:t>P</w:t>
      </w:r>
      <w:r>
        <w:t xml:space="preserve">rogram (AAP) </w:t>
      </w:r>
      <w:r w:rsidRPr="00590C73">
        <w:t xml:space="preserve">and other national Antarctic programs have increasingly </w:t>
      </w:r>
      <w:r>
        <w:t>used</w:t>
      </w:r>
      <w:r w:rsidRPr="00590C73">
        <w:t xml:space="preserve"> aviation capabilities to support their own and joint scientific and logistics operation</w:t>
      </w:r>
      <w:r>
        <w:t xml:space="preserve">s, and that year-round aviation access </w:t>
      </w:r>
      <w:r w:rsidRPr="00590C73">
        <w:t xml:space="preserve">would </w:t>
      </w:r>
      <w:r>
        <w:t>considerably enhance</w:t>
      </w:r>
      <w:r w:rsidRPr="00590C73">
        <w:t xml:space="preserve"> the aviation capability available to the AAP and other national Antarctic programs that Australia works closely with in East Antarctica. </w:t>
      </w:r>
    </w:p>
    <w:p w14:paraId="66795B8E" w14:textId="77777777" w:rsidR="00172706" w:rsidRDefault="00172706" w:rsidP="00172706">
      <w:pPr>
        <w:pStyle w:val="ATSNormal"/>
      </w:pPr>
      <w:r>
        <w:t xml:space="preserve">At CEP XXIII (2021) Australia submitted ATCM XLIII/IP102 </w:t>
      </w:r>
      <w:r w:rsidRPr="009A0750">
        <w:rPr>
          <w:i/>
        </w:rPr>
        <w:t>Preparation of a Comprehensive Environmental Evaluation for the proposed construction and operation of an aerodrome near Australia’s Davis research station (the Davis Aerodrome Project)</w:t>
      </w:r>
      <w:r>
        <w:t xml:space="preserve">. The paper reported that the </w:t>
      </w:r>
      <w:r w:rsidRPr="00CD26A6">
        <w:t xml:space="preserve">Australian </w:t>
      </w:r>
      <w:r w:rsidRPr="00590C73">
        <w:t>Antarctic Division</w:t>
      </w:r>
      <w:r>
        <w:t xml:space="preserve"> (AAD)</w:t>
      </w:r>
      <w:r w:rsidRPr="00590C73">
        <w:t xml:space="preserve"> </w:t>
      </w:r>
      <w:r>
        <w:t>was</w:t>
      </w:r>
      <w:r w:rsidRPr="00590C73">
        <w:t xml:space="preserve"> undertaking planning activities for a proposal to construct and operate </w:t>
      </w:r>
      <w:r>
        <w:t xml:space="preserve">a paved, all-weather runway in Antarctica, </w:t>
      </w:r>
      <w:r w:rsidRPr="00590C73">
        <w:t xml:space="preserve">near Davis research station </w:t>
      </w:r>
      <w:r>
        <w:t xml:space="preserve">(the Davis Aerodrome Project). It further noted that the </w:t>
      </w:r>
      <w:r w:rsidRPr="00590C73">
        <w:t>proposa</w:t>
      </w:r>
      <w:r>
        <w:t xml:space="preserve">l would be </w:t>
      </w:r>
      <w:r w:rsidRPr="00590C73">
        <w:t>subject to the highest level of environmental scrutiny, including through the preparation and circulation of a Comprehensive Environmental Evaluation (CEE) in accordance with the requirements of the Protocol on Environmental Protection to the Antarctic Treaty.</w:t>
      </w:r>
    </w:p>
    <w:p w14:paraId="58BA4182" w14:textId="77777777" w:rsidR="00172706" w:rsidRDefault="00172706" w:rsidP="00172706">
      <w:pPr>
        <w:jc w:val="center"/>
      </w:pPr>
      <w:r>
        <w:rPr>
          <w:noProof/>
          <w:lang w:val="en-AU" w:eastAsia="en-AU"/>
        </w:rPr>
        <w:lastRenderedPageBreak/>
        <w:drawing>
          <wp:inline distT="0" distB="0" distL="0" distR="0" wp14:anchorId="326A9DBF" wp14:editId="3F326DB2">
            <wp:extent cx="3893185" cy="2311400"/>
            <wp:effectExtent l="0" t="0" r="0" b="0"/>
            <wp:docPr id="2" name="Picture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a&#10;&#10;Descripción generada automáticamente"/>
                    <pic:cNvPicPr/>
                  </pic:nvPicPr>
                  <pic:blipFill rotWithShape="1">
                    <a:blip r:embed="rId11">
                      <a:extLst>
                        <a:ext uri="{28A0092B-C50C-407E-A947-70E740481C1C}">
                          <a14:useLocalDpi xmlns:a14="http://schemas.microsoft.com/office/drawing/2010/main" val="0"/>
                        </a:ext>
                      </a:extLst>
                    </a:blip>
                    <a:srcRect b="51012"/>
                    <a:stretch/>
                  </pic:blipFill>
                  <pic:spPr bwMode="auto">
                    <a:xfrm>
                      <a:off x="0" y="0"/>
                      <a:ext cx="3893185" cy="2311400"/>
                    </a:xfrm>
                    <a:prstGeom prst="rect">
                      <a:avLst/>
                    </a:prstGeom>
                    <a:ln>
                      <a:noFill/>
                    </a:ln>
                    <a:extLst>
                      <a:ext uri="{53640926-AAD7-44D8-BBD7-CCE9431645EC}">
                        <a14:shadowObscured xmlns:a14="http://schemas.microsoft.com/office/drawing/2010/main"/>
                      </a:ext>
                    </a:extLst>
                  </pic:spPr>
                </pic:pic>
              </a:graphicData>
            </a:graphic>
          </wp:inline>
        </w:drawing>
      </w:r>
    </w:p>
    <w:p w14:paraId="7C6FF9C8" w14:textId="77777777" w:rsidR="00172706" w:rsidRDefault="00172706" w:rsidP="00172706">
      <w:pPr>
        <w:jc w:val="center"/>
      </w:pPr>
    </w:p>
    <w:p w14:paraId="6ECE5A86" w14:textId="77777777" w:rsidR="00172706" w:rsidRDefault="00172706" w:rsidP="00172706">
      <w:pPr>
        <w:jc w:val="center"/>
      </w:pPr>
      <w:r>
        <w:rPr>
          <w:b/>
        </w:rPr>
        <w:t xml:space="preserve">Figure </w:t>
      </w:r>
      <w:r w:rsidRPr="00D05D79">
        <w:rPr>
          <w:b/>
        </w:rPr>
        <w:t xml:space="preserve">1. Location of </w:t>
      </w:r>
      <w:r>
        <w:rPr>
          <w:b/>
        </w:rPr>
        <w:t xml:space="preserve">Australia’s Davis research station, </w:t>
      </w:r>
      <w:r w:rsidRPr="00D05D79">
        <w:rPr>
          <w:b/>
        </w:rPr>
        <w:t>Vestfold Hills, East Antarctica</w:t>
      </w:r>
    </w:p>
    <w:p w14:paraId="7D73C408" w14:textId="77777777" w:rsidR="00172706" w:rsidRPr="00087B64" w:rsidRDefault="00172706" w:rsidP="00172706">
      <w:pPr>
        <w:pStyle w:val="ATSHeading2"/>
      </w:pPr>
      <w:r w:rsidRPr="00087B64">
        <w:t>Decision not to proceed with the Davis Aerodrome Project</w:t>
      </w:r>
    </w:p>
    <w:p w14:paraId="5D3462C3" w14:textId="77777777" w:rsidR="00172706" w:rsidRPr="00850139" w:rsidRDefault="00172706" w:rsidP="00172706">
      <w:pPr>
        <w:pStyle w:val="ATSNormal"/>
      </w:pPr>
      <w:r w:rsidRPr="00E02060">
        <w:t>In November 202</w:t>
      </w:r>
      <w:r>
        <w:t>1</w:t>
      </w:r>
      <w:r w:rsidRPr="00E02060">
        <w:t xml:space="preserve"> Australia </w:t>
      </w:r>
      <w:r>
        <w:t xml:space="preserve">decided not to </w:t>
      </w:r>
      <w:r w:rsidRPr="00E02060">
        <w:t xml:space="preserve">proceed with the Davis Aerodrome Project, following careful consideration of the </w:t>
      </w:r>
      <w:r>
        <w:t>likely environmental impact, cost, and complexity of the lengthy construction process</w:t>
      </w:r>
      <w:r w:rsidRPr="00E02060">
        <w:t xml:space="preserve">. </w:t>
      </w:r>
      <w:r w:rsidRPr="00DE64A0">
        <w:t xml:space="preserve">Year-round access to Antarctica remains a worthy goal, but its value must be assessed against other opportunities to support Australia’s Antarctic engagement. </w:t>
      </w:r>
      <w:r>
        <w:t>While</w:t>
      </w:r>
      <w:r w:rsidRPr="00E02060">
        <w:t xml:space="preserve"> significant progress had been made on the environmental impact assessment process</w:t>
      </w:r>
      <w:r>
        <w:t xml:space="preserve"> for the Davis Aerodrome Project</w:t>
      </w:r>
      <w:r w:rsidRPr="00E02060">
        <w:t>, Australia will not complete the preparation of a draft CEE for circulation</w:t>
      </w:r>
      <w:r>
        <w:t xml:space="preserve"> to Parties and the Committee for Environmental Protection.</w:t>
      </w:r>
    </w:p>
    <w:p w14:paraId="3DBDB66C" w14:textId="77777777" w:rsidR="00172706" w:rsidRPr="00590C73" w:rsidRDefault="00172706" w:rsidP="00172706">
      <w:pPr>
        <w:pStyle w:val="ATSHeading2"/>
      </w:pPr>
      <w:r>
        <w:t>Enhanced knowledge of the Vestfold Hills environment</w:t>
      </w:r>
    </w:p>
    <w:p w14:paraId="320C1012" w14:textId="77777777" w:rsidR="00172706" w:rsidRDefault="00172706" w:rsidP="00172706">
      <w:pPr>
        <w:pStyle w:val="ATSNormal"/>
      </w:pPr>
      <w:r>
        <w:t xml:space="preserve">In keeping with </w:t>
      </w:r>
      <w:r w:rsidRPr="00590C73">
        <w:t>Australia</w:t>
      </w:r>
      <w:r>
        <w:t xml:space="preserve">’s </w:t>
      </w:r>
      <w:r w:rsidRPr="00590C73">
        <w:t>commit</w:t>
      </w:r>
      <w:r>
        <w:t>ment</w:t>
      </w:r>
      <w:r w:rsidRPr="00590C73">
        <w:t xml:space="preserve"> to best practice environmental stewardship in Antarctica</w:t>
      </w:r>
      <w:r>
        <w:t xml:space="preserve">, the planning for the </w:t>
      </w:r>
      <w:r w:rsidRPr="00590C73">
        <w:t>Davis Aerodrome Pro</w:t>
      </w:r>
      <w:r>
        <w:t xml:space="preserve">ject involved significant efforts to </w:t>
      </w:r>
      <w:r w:rsidRPr="00590C73">
        <w:t>understand</w:t>
      </w:r>
      <w:r>
        <w:t xml:space="preserve"> the environmental values and sensitivities of the area </w:t>
      </w:r>
      <w:r w:rsidRPr="00590C73">
        <w:t>and address the environmental impacts of the proposal to the highest standards.</w:t>
      </w:r>
      <w:r>
        <w:t xml:space="preserve"> A</w:t>
      </w:r>
      <w:r w:rsidRPr="00590C73">
        <w:t xml:space="preserve"> range of Antarctic environment</w:t>
      </w:r>
      <w:r>
        <w:t>al</w:t>
      </w:r>
      <w:r w:rsidRPr="00590C73">
        <w:t xml:space="preserve"> subject matter experts </w:t>
      </w:r>
      <w:r>
        <w:t>were</w:t>
      </w:r>
      <w:r w:rsidRPr="00590C73">
        <w:t xml:space="preserve"> engaged to provide advice and input into the development of the </w:t>
      </w:r>
      <w:r>
        <w:t>draft</w:t>
      </w:r>
      <w:r w:rsidRPr="00590C73">
        <w:t xml:space="preserve"> CEE</w:t>
      </w:r>
      <w:r>
        <w:t xml:space="preserve">. To establish a comprehensive understanding of the initial environmental reference state and inform the assessment of potential impacts, there was a thorough process to compile and analyse existing scientific </w:t>
      </w:r>
      <w:r w:rsidRPr="00E57C04">
        <w:t>data</w:t>
      </w:r>
      <w:r>
        <w:t xml:space="preserve">, and a dedicated program of field </w:t>
      </w:r>
      <w:r w:rsidRPr="00E57C04">
        <w:t xml:space="preserve">data collection </w:t>
      </w:r>
      <w:r>
        <w:t xml:space="preserve">each season from </w:t>
      </w:r>
      <w:r w:rsidRPr="00E57C04">
        <w:t xml:space="preserve">2016/17 </w:t>
      </w:r>
      <w:r>
        <w:t>to 2021/22</w:t>
      </w:r>
      <w:r w:rsidRPr="00E57C04">
        <w:t xml:space="preserve">. </w:t>
      </w:r>
      <w:r>
        <w:t xml:space="preserve"> </w:t>
      </w:r>
    </w:p>
    <w:p w14:paraId="13D15D48" w14:textId="77777777" w:rsidR="00172706" w:rsidRDefault="00172706" w:rsidP="00172706">
      <w:pPr>
        <w:pStyle w:val="ATSNormal"/>
      </w:pPr>
      <w:r>
        <w:t>The project-specific field investigations included collection of samples</w:t>
      </w:r>
      <w:r w:rsidRPr="00E57C04">
        <w:t xml:space="preserve">, </w:t>
      </w:r>
      <w:r>
        <w:t xml:space="preserve">quantitative </w:t>
      </w:r>
      <w:r w:rsidRPr="00E57C04">
        <w:t>data</w:t>
      </w:r>
      <w:r>
        <w:t>,</w:t>
      </w:r>
      <w:r w:rsidRPr="00E57C04">
        <w:t xml:space="preserve"> and images from </w:t>
      </w:r>
      <w:r>
        <w:t xml:space="preserve">well over 1000 terrestrial, </w:t>
      </w:r>
      <w:proofErr w:type="gramStart"/>
      <w:r>
        <w:t>freshwater</w:t>
      </w:r>
      <w:proofErr w:type="gramEnd"/>
      <w:r>
        <w:t xml:space="preserve"> and marine locations in</w:t>
      </w:r>
      <w:r w:rsidRPr="00E57C04">
        <w:t xml:space="preserve"> the Vestfold Hills</w:t>
      </w:r>
      <w:r>
        <w:t xml:space="preserve"> region, both in proximity to the project site and further afield. Consistent with the requirements of Annex I to the Environmental Protocol, and the guidance presented in the </w:t>
      </w:r>
      <w:r>
        <w:rPr>
          <w:i/>
        </w:rPr>
        <w:t>Guidelines for Environmental Impact Assessment in Antarctica</w:t>
      </w:r>
      <w:r w:rsidRPr="00F6519A">
        <w:t>, these</w:t>
      </w:r>
      <w:r>
        <w:rPr>
          <w:i/>
        </w:rPr>
        <w:t xml:space="preserve"> </w:t>
      </w:r>
      <w:r>
        <w:t xml:space="preserve">activities aimed to </w:t>
      </w:r>
      <w:proofErr w:type="gramStart"/>
      <w:r>
        <w:t>systematically and thoroughly characterise the pre-activity state of the environment</w:t>
      </w:r>
      <w:proofErr w:type="gramEnd"/>
      <w:r>
        <w:t xml:space="preserve"> across all locations that might have been impacted.</w:t>
      </w:r>
    </w:p>
    <w:p w14:paraId="61F4455B" w14:textId="77777777" w:rsidR="00172706" w:rsidRDefault="00172706" w:rsidP="00172706">
      <w:pPr>
        <w:pStyle w:val="ATSNormal"/>
      </w:pPr>
      <w:r w:rsidRPr="00996C82">
        <w:t xml:space="preserve">The investigations considered biological features and processes that could have been affected directly or indirectly including, for example: lake and soil ecology (Figure 2); nearshore marine environment (Figure 3); seals; seabirds (flying birds, cavity nesting birds, penguins); cetaceans; and flora. The investigations also considered physical features and processes, such as: terrain and topography; coastal processes and sea ice; geology and soil; landscape, </w:t>
      </w:r>
      <w:proofErr w:type="gramStart"/>
      <w:r w:rsidRPr="00996C82">
        <w:t>aesthetics</w:t>
      </w:r>
      <w:proofErr w:type="gramEnd"/>
      <w:r w:rsidRPr="00996C82">
        <w:t xml:space="preserve"> and wilderness; air quality; noise / soundscape; weather; and heritage.</w:t>
      </w:r>
    </w:p>
    <w:p w14:paraId="7315A8B8" w14:textId="77777777" w:rsidR="00172706" w:rsidRPr="00590C73" w:rsidRDefault="00172706" w:rsidP="00172706">
      <w:pPr>
        <w:pStyle w:val="ATSNormal"/>
        <w:spacing w:before="0"/>
      </w:pPr>
      <w:r>
        <w:rPr>
          <w:rFonts w:cs="Arial"/>
        </w:rPr>
        <w:t>These detailed investigations have</w:t>
      </w:r>
      <w:r w:rsidRPr="007C56A0">
        <w:rPr>
          <w:rFonts w:cs="Arial"/>
        </w:rPr>
        <w:t xml:space="preserve"> greatly increased understanding of the terrestrial</w:t>
      </w:r>
      <w:r>
        <w:rPr>
          <w:rFonts w:cs="Arial"/>
        </w:rPr>
        <w:t xml:space="preserve">, </w:t>
      </w:r>
      <w:proofErr w:type="gramStart"/>
      <w:r>
        <w:rPr>
          <w:rFonts w:cs="Arial"/>
        </w:rPr>
        <w:t>freshwater</w:t>
      </w:r>
      <w:proofErr w:type="gramEnd"/>
      <w:r>
        <w:rPr>
          <w:rFonts w:cs="Arial"/>
        </w:rPr>
        <w:t xml:space="preserve"> </w:t>
      </w:r>
      <w:r w:rsidRPr="007C56A0">
        <w:rPr>
          <w:rFonts w:cs="Arial"/>
        </w:rPr>
        <w:t xml:space="preserve">and marine environment in </w:t>
      </w:r>
      <w:r>
        <w:rPr>
          <w:rFonts w:cs="Arial"/>
        </w:rPr>
        <w:t xml:space="preserve">the Vestfold Hills. </w:t>
      </w:r>
      <w:r>
        <w:rPr>
          <w:szCs w:val="20"/>
        </w:rPr>
        <w:t>The s</w:t>
      </w:r>
      <w:r w:rsidRPr="00CB1ADC">
        <w:rPr>
          <w:szCs w:val="20"/>
        </w:rPr>
        <w:t xml:space="preserve">cientific data collected will be </w:t>
      </w:r>
      <w:r>
        <w:rPr>
          <w:szCs w:val="20"/>
        </w:rPr>
        <w:t xml:space="preserve">progressively </w:t>
      </w:r>
      <w:r w:rsidRPr="00CB1ADC">
        <w:rPr>
          <w:szCs w:val="20"/>
        </w:rPr>
        <w:t xml:space="preserve">stored </w:t>
      </w:r>
      <w:r>
        <w:rPr>
          <w:szCs w:val="20"/>
        </w:rPr>
        <w:t xml:space="preserve">and managed by </w:t>
      </w:r>
      <w:r w:rsidRPr="00CB1ADC">
        <w:rPr>
          <w:szCs w:val="20"/>
        </w:rPr>
        <w:t xml:space="preserve">the Australian Antarctic Data </w:t>
      </w:r>
      <w:proofErr w:type="gramStart"/>
      <w:r w:rsidRPr="00CB1ADC">
        <w:rPr>
          <w:szCs w:val="20"/>
        </w:rPr>
        <w:t>Centre</w:t>
      </w:r>
      <w:r>
        <w:rPr>
          <w:szCs w:val="20"/>
        </w:rPr>
        <w:t>, and</w:t>
      </w:r>
      <w:proofErr w:type="gramEnd"/>
      <w:r>
        <w:rPr>
          <w:szCs w:val="20"/>
        </w:rPr>
        <w:t xml:space="preserve"> will </w:t>
      </w:r>
      <w:r w:rsidRPr="00CB1ADC">
        <w:rPr>
          <w:szCs w:val="20"/>
        </w:rPr>
        <w:t xml:space="preserve">support </w:t>
      </w:r>
      <w:r>
        <w:rPr>
          <w:szCs w:val="20"/>
        </w:rPr>
        <w:t xml:space="preserve">a range of </w:t>
      </w:r>
      <w:r w:rsidRPr="00CB1ADC">
        <w:rPr>
          <w:szCs w:val="20"/>
        </w:rPr>
        <w:lastRenderedPageBreak/>
        <w:t>publications that advance scientific knowledge of the Vestfold Hills.</w:t>
      </w:r>
      <w:r>
        <w:rPr>
          <w:szCs w:val="20"/>
        </w:rPr>
        <w:t xml:space="preserve"> </w:t>
      </w:r>
      <w:r>
        <w:rPr>
          <w:rFonts w:cs="Arial"/>
        </w:rPr>
        <w:t xml:space="preserve">This enhanced knowledge will inform Australia’s existing operations and future Antarctic activities, including plans to modernise Davis research station. It will also inform consideration of options for ongoing and enhanced protection and management of the Vestfold Hills region, and support Australia’s commitment to leadership in Antarctic environmental stewardship. </w:t>
      </w:r>
    </w:p>
    <w:p w14:paraId="20F693EE" w14:textId="77777777" w:rsidR="00172706" w:rsidRDefault="00172706" w:rsidP="00172706">
      <w:r>
        <w:t>As appropriate, Australia will report to future CEP meetings on experiences and information arising from the process to assess the environmental impacts of the Davis Aerodrome Project that may assist the work of the Parties and the CEP to comprehensively protect the Antarctic environment.</w:t>
      </w:r>
    </w:p>
    <w:p w14:paraId="2E95D952" w14:textId="77777777" w:rsidR="00172706" w:rsidRDefault="00172706" w:rsidP="00172706"/>
    <w:p w14:paraId="45BED9AF" w14:textId="77777777" w:rsidR="00172706" w:rsidRDefault="00172706" w:rsidP="00172706">
      <w:r>
        <w:br w:type="page"/>
      </w:r>
    </w:p>
    <w:p w14:paraId="45B1DF92" w14:textId="77777777" w:rsidR="00172706" w:rsidRDefault="00172706" w:rsidP="00172706">
      <w:pPr>
        <w:jc w:val="center"/>
      </w:pPr>
      <w:r>
        <w:rPr>
          <w:noProof/>
          <w:lang w:val="en-AU" w:eastAsia="en-AU"/>
        </w:rPr>
        <w:lastRenderedPageBreak/>
        <w:drawing>
          <wp:anchor distT="0" distB="0" distL="114300" distR="114300" simplePos="0" relativeHeight="251660288" behindDoc="0" locked="0" layoutInCell="1" allowOverlap="1" wp14:anchorId="0CA7202E" wp14:editId="028A4860">
            <wp:simplePos x="0" y="0"/>
            <wp:positionH relativeFrom="column">
              <wp:posOffset>-384042</wp:posOffset>
            </wp:positionH>
            <wp:positionV relativeFrom="page">
              <wp:posOffset>1091479</wp:posOffset>
            </wp:positionV>
            <wp:extent cx="6119495" cy="8653780"/>
            <wp:effectExtent l="0" t="0" r="0" b="0"/>
            <wp:wrapTopAndBottom/>
            <wp:docPr id="4" name="Picture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9495" cy="8653780"/>
                    </a:xfrm>
                    <a:prstGeom prst="rect">
                      <a:avLst/>
                    </a:prstGeom>
                    <a:noFill/>
                    <a:ln>
                      <a:noFill/>
                    </a:ln>
                  </pic:spPr>
                </pic:pic>
              </a:graphicData>
            </a:graphic>
          </wp:anchor>
        </w:drawing>
      </w:r>
    </w:p>
    <w:p w14:paraId="53DACB70" w14:textId="77777777" w:rsidR="00172706" w:rsidRDefault="00172706" w:rsidP="00172706">
      <w:r>
        <w:br w:type="page"/>
      </w:r>
    </w:p>
    <w:p w14:paraId="3D23214A" w14:textId="27E3D1A7" w:rsidR="00172706" w:rsidRDefault="00172706" w:rsidP="00952E9F">
      <w:r>
        <w:rPr>
          <w:noProof/>
          <w:lang w:val="en-AU" w:eastAsia="en-AU"/>
        </w:rPr>
        <w:lastRenderedPageBreak/>
        <w:drawing>
          <wp:anchor distT="0" distB="0" distL="114300" distR="114300" simplePos="0" relativeHeight="251659264" behindDoc="0" locked="0" layoutInCell="1" allowOverlap="1" wp14:anchorId="0E073F2E" wp14:editId="470F72F2">
            <wp:simplePos x="0" y="0"/>
            <wp:positionH relativeFrom="column">
              <wp:posOffset>-364490</wp:posOffset>
            </wp:positionH>
            <wp:positionV relativeFrom="page">
              <wp:posOffset>1000429</wp:posOffset>
            </wp:positionV>
            <wp:extent cx="6120000" cy="8658000"/>
            <wp:effectExtent l="0" t="0" r="0" b="0"/>
            <wp:wrapTopAndBottom/>
            <wp:docPr id="5" name="Picture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0" cy="86580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72706" w:rsidSect="00283F0F">
      <w:headerReference w:type="default" r:id="rId14"/>
      <w:footerReference w:type="default" r:id="rId15"/>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1D551" w14:textId="77777777" w:rsidR="00000000" w:rsidRDefault="00172706">
      <w:r>
        <w:separator/>
      </w:r>
    </w:p>
  </w:endnote>
  <w:endnote w:type="continuationSeparator" w:id="0">
    <w:p w14:paraId="7E53A5C9" w14:textId="77777777" w:rsidR="00000000" w:rsidRDefault="00172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2668" w14:textId="77777777" w:rsidR="00FA0B9F" w:rsidRDefault="00172706" w:rsidP="00CF5C82">
    <w:pPr>
      <w:framePr w:wrap="around" w:vAnchor="text" w:hAnchor="margin" w:xAlign="right" w:y="1"/>
    </w:pPr>
    <w:r>
      <w:fldChar w:fldCharType="begin"/>
    </w:r>
    <w:r>
      <w:instrText xml:space="preserve">PAGE  </w:instrText>
    </w:r>
    <w:r>
      <w:fldChar w:fldCharType="separate"/>
    </w:r>
    <w:r>
      <w:fldChar w:fldCharType="end"/>
    </w:r>
  </w:p>
  <w:p w14:paraId="65843CDE" w14:textId="77777777" w:rsidR="00FA0B9F" w:rsidRDefault="00172706"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82ECE" w14:textId="77777777" w:rsidR="00FA0B9F" w:rsidRDefault="00172706"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3EF885AE" w14:textId="1D4589A0" w:rsidR="00FA0B9F" w:rsidRDefault="00172706" w:rsidP="00172706">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E844D" w14:textId="77777777" w:rsidR="00E311C9" w:rsidRDefault="00172706"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60564501" w14:textId="77777777" w:rsidR="00E311C9" w:rsidRDefault="00172706"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0963F" w14:textId="77777777" w:rsidR="00000000" w:rsidRDefault="00172706">
      <w:r>
        <w:separator/>
      </w:r>
    </w:p>
  </w:footnote>
  <w:footnote w:type="continuationSeparator" w:id="0">
    <w:p w14:paraId="0C671D3D" w14:textId="77777777" w:rsidR="00000000" w:rsidRDefault="00172706">
      <w:r>
        <w:continuationSeparator/>
      </w:r>
    </w:p>
  </w:footnote>
  <w:footnote w:id="1">
    <w:p w14:paraId="36B99757" w14:textId="77777777" w:rsidR="00172706" w:rsidRPr="00EC60BC" w:rsidRDefault="00172706" w:rsidP="00172706">
      <w:pPr>
        <w:pStyle w:val="Textonotapie"/>
        <w:rPr>
          <w:lang w:val="en-AU"/>
        </w:rPr>
      </w:pPr>
      <w:r>
        <w:rPr>
          <w:rStyle w:val="Refdenotaalpie"/>
        </w:rPr>
        <w:footnoteRef/>
      </w:r>
      <w:r>
        <w:t xml:space="preserve"> </w:t>
      </w:r>
      <w:r>
        <w:rPr>
          <w:lang w:val="en-AU"/>
        </w:rPr>
        <w:t xml:space="preserve">See </w:t>
      </w:r>
      <w:hyperlink r:id="rId1" w:history="1">
        <w:r w:rsidRPr="00EC60BC">
          <w:rPr>
            <w:rStyle w:val="Hipervnculo"/>
            <w:lang w:val="en-AU"/>
          </w:rPr>
          <w:t>ATCM XXXIX/IP111</w:t>
        </w:r>
      </w:hyperlink>
      <w:r>
        <w:rPr>
          <w:lang w:val="en-AU"/>
        </w:rPr>
        <w:t xml:space="preserve"> </w:t>
      </w:r>
      <w:r w:rsidRPr="00EC60BC">
        <w:rPr>
          <w:i/>
          <w:lang w:val="en-AU"/>
        </w:rPr>
        <w:t>Australian Antarctic Strategy and Action Plan</w:t>
      </w:r>
      <w:r>
        <w:rPr>
          <w:i/>
          <w:lang w:val="en-AU"/>
        </w:rPr>
        <w:t xml:space="preserve"> </w:t>
      </w:r>
      <w:r>
        <w:rPr>
          <w:lang w:val="en-AU"/>
        </w:rPr>
        <w:t>(Australia)</w:t>
      </w:r>
    </w:p>
  </w:footnote>
  <w:footnote w:id="2">
    <w:p w14:paraId="08EFADE4" w14:textId="77777777" w:rsidR="00172706" w:rsidRPr="00EC60BC" w:rsidRDefault="00172706" w:rsidP="00172706">
      <w:pPr>
        <w:pStyle w:val="Textonotapie"/>
        <w:rPr>
          <w:lang w:val="en-AU"/>
        </w:rPr>
      </w:pPr>
      <w:r>
        <w:rPr>
          <w:rStyle w:val="Refdenotaalpie"/>
        </w:rPr>
        <w:footnoteRef/>
      </w:r>
      <w:r>
        <w:t xml:space="preserve"> </w:t>
      </w:r>
      <w:r>
        <w:rPr>
          <w:lang w:val="en-AU"/>
        </w:rPr>
        <w:t xml:space="preserve">See </w:t>
      </w:r>
      <w:hyperlink r:id="rId2" w:history="1">
        <w:r w:rsidRPr="00EC60BC">
          <w:rPr>
            <w:rStyle w:val="Hipervnculo"/>
            <w:lang w:val="en-AU"/>
          </w:rPr>
          <w:t>ATCM XLII/IP089</w:t>
        </w:r>
      </w:hyperlink>
      <w:r>
        <w:rPr>
          <w:lang w:val="en-AU"/>
        </w:rPr>
        <w:t xml:space="preserve"> </w:t>
      </w:r>
      <w:r w:rsidRPr="00EC60BC">
        <w:rPr>
          <w:i/>
          <w:lang w:val="en-AU"/>
        </w:rPr>
        <w:t>Modernisation of Australia’s Antarctic Program</w:t>
      </w:r>
      <w:r>
        <w:rPr>
          <w:i/>
          <w:lang w:val="en-AU"/>
        </w:rPr>
        <w:t xml:space="preserve"> </w:t>
      </w:r>
      <w:r>
        <w:rPr>
          <w:lang w:val="en-AU"/>
        </w:rPr>
        <w:t>(Australia)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0B1632" w14:paraId="6E1BD02D" w14:textId="77777777" w:rsidTr="00490760">
      <w:trPr>
        <w:trHeight w:val="344"/>
        <w:jc w:val="center"/>
      </w:trPr>
      <w:tc>
        <w:tcPr>
          <w:tcW w:w="5495" w:type="dxa"/>
        </w:tcPr>
        <w:p w14:paraId="6AEB770E" w14:textId="77777777" w:rsidR="00DB7C09" w:rsidRDefault="00172706" w:rsidP="00F968D4"/>
      </w:tc>
      <w:tc>
        <w:tcPr>
          <w:tcW w:w="4253" w:type="dxa"/>
          <w:gridSpan w:val="2"/>
        </w:tcPr>
        <w:p w14:paraId="66435376" w14:textId="77777777" w:rsidR="00DB7C09" w:rsidRPr="00BD47E4" w:rsidRDefault="00172706" w:rsidP="002A07BC">
          <w:pPr>
            <w:jc w:val="right"/>
            <w:rPr>
              <w:b/>
              <w:sz w:val="32"/>
              <w:szCs w:val="32"/>
            </w:rPr>
          </w:pPr>
          <w:bookmarkStart w:id="2" w:name="type"/>
          <w:r w:rsidRPr="00BD47E4">
            <w:rPr>
              <w:b/>
              <w:sz w:val="32"/>
              <w:szCs w:val="32"/>
            </w:rPr>
            <w:t>IP</w:t>
          </w:r>
          <w:bookmarkEnd w:id="2"/>
        </w:p>
      </w:tc>
      <w:tc>
        <w:tcPr>
          <w:tcW w:w="1524" w:type="dxa"/>
          <w:gridSpan w:val="2"/>
        </w:tcPr>
        <w:p w14:paraId="3FE5CDFA" w14:textId="77777777" w:rsidR="00DB7C09" w:rsidRPr="00BD47E4" w:rsidRDefault="00172706" w:rsidP="00DB7C09">
          <w:pPr>
            <w:rPr>
              <w:b/>
              <w:sz w:val="32"/>
              <w:szCs w:val="32"/>
            </w:rPr>
          </w:pPr>
          <w:bookmarkStart w:id="3" w:name="number"/>
          <w:r w:rsidRPr="00BD47E4">
            <w:rPr>
              <w:b/>
              <w:sz w:val="32"/>
              <w:szCs w:val="32"/>
            </w:rPr>
            <w:t>48</w:t>
          </w:r>
          <w:bookmarkEnd w:id="3"/>
        </w:p>
      </w:tc>
    </w:tr>
    <w:tr w:rsidR="000B1632" w14:paraId="73815569" w14:textId="77777777" w:rsidTr="00490760">
      <w:trPr>
        <w:trHeight w:val="2165"/>
        <w:jc w:val="center"/>
      </w:trPr>
      <w:tc>
        <w:tcPr>
          <w:tcW w:w="5495" w:type="dxa"/>
        </w:tcPr>
        <w:p w14:paraId="3C0E3ED1" w14:textId="77777777" w:rsidR="00490760" w:rsidRPr="00EE4D48" w:rsidRDefault="00172706" w:rsidP="002A07BC">
          <w:pPr>
            <w:rPr>
              <w:b/>
              <w:sz w:val="28"/>
              <w:szCs w:val="28"/>
            </w:rPr>
          </w:pPr>
          <w:r>
            <w:rPr>
              <w:noProof/>
            </w:rPr>
            <w:drawing>
              <wp:inline distT="0" distB="0" distL="0" distR="0" wp14:anchorId="1114CFC5" wp14:editId="667385E4">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80256"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098CA422" w14:textId="77777777" w:rsidR="00490760" w:rsidRPr="00FE5146" w:rsidRDefault="00172706" w:rsidP="00490760">
          <w:pPr>
            <w:jc w:val="right"/>
            <w:rPr>
              <w:sz w:val="144"/>
              <w:szCs w:val="144"/>
            </w:rPr>
          </w:pPr>
          <w:r w:rsidRPr="00FE5146">
            <w:rPr>
              <w:sz w:val="144"/>
              <w:szCs w:val="144"/>
            </w:rPr>
            <w:t>ENG</w:t>
          </w:r>
        </w:p>
      </w:tc>
    </w:tr>
    <w:tr w:rsidR="000B1632" w14:paraId="13F35061" w14:textId="77777777" w:rsidTr="00BD47E4">
      <w:trPr>
        <w:trHeight w:val="409"/>
        <w:jc w:val="center"/>
      </w:trPr>
      <w:tc>
        <w:tcPr>
          <w:tcW w:w="9039" w:type="dxa"/>
          <w:gridSpan w:val="2"/>
        </w:tcPr>
        <w:p w14:paraId="43B68BAA" w14:textId="77777777" w:rsidR="00BD47E4" w:rsidRDefault="00172706" w:rsidP="002C30DA">
          <w:pPr>
            <w:jc w:val="right"/>
          </w:pPr>
          <w:r>
            <w:t>Agenda Item:</w:t>
          </w:r>
        </w:p>
      </w:tc>
      <w:tc>
        <w:tcPr>
          <w:tcW w:w="1843" w:type="dxa"/>
          <w:gridSpan w:val="2"/>
        </w:tcPr>
        <w:p w14:paraId="4D18CF99" w14:textId="77777777" w:rsidR="00BD47E4" w:rsidRDefault="00172706" w:rsidP="002C30DA">
          <w:pPr>
            <w:jc w:val="right"/>
          </w:pPr>
          <w:bookmarkStart w:id="4" w:name="agenda"/>
          <w:r>
            <w:t>CEP 8b</w:t>
          </w:r>
          <w:bookmarkEnd w:id="4"/>
        </w:p>
      </w:tc>
      <w:tc>
        <w:tcPr>
          <w:tcW w:w="390" w:type="dxa"/>
        </w:tcPr>
        <w:p w14:paraId="4BE10E6D" w14:textId="77777777" w:rsidR="00BD47E4" w:rsidRDefault="00172706" w:rsidP="00387A65">
          <w:pPr>
            <w:jc w:val="right"/>
          </w:pPr>
        </w:p>
      </w:tc>
    </w:tr>
    <w:tr w:rsidR="000B1632" w14:paraId="789DC2F3" w14:textId="77777777" w:rsidTr="00BD47E4">
      <w:trPr>
        <w:trHeight w:val="397"/>
        <w:jc w:val="center"/>
      </w:trPr>
      <w:tc>
        <w:tcPr>
          <w:tcW w:w="9039" w:type="dxa"/>
          <w:gridSpan w:val="2"/>
        </w:tcPr>
        <w:p w14:paraId="785F587A" w14:textId="77777777" w:rsidR="00BD47E4" w:rsidRDefault="00172706" w:rsidP="002C30DA">
          <w:pPr>
            <w:jc w:val="right"/>
          </w:pPr>
          <w:r>
            <w:t>Presented by:</w:t>
          </w:r>
        </w:p>
      </w:tc>
      <w:tc>
        <w:tcPr>
          <w:tcW w:w="1843" w:type="dxa"/>
          <w:gridSpan w:val="2"/>
        </w:tcPr>
        <w:p w14:paraId="7CD225D8" w14:textId="77777777" w:rsidR="00BD47E4" w:rsidRDefault="00172706" w:rsidP="002C30DA">
          <w:pPr>
            <w:jc w:val="right"/>
          </w:pPr>
          <w:bookmarkStart w:id="5" w:name="party"/>
          <w:r>
            <w:t>Australia</w:t>
          </w:r>
          <w:bookmarkEnd w:id="5"/>
        </w:p>
      </w:tc>
      <w:tc>
        <w:tcPr>
          <w:tcW w:w="390" w:type="dxa"/>
        </w:tcPr>
        <w:p w14:paraId="2502D478" w14:textId="77777777" w:rsidR="00BD47E4" w:rsidRDefault="00172706" w:rsidP="00387A65">
          <w:pPr>
            <w:jc w:val="right"/>
          </w:pPr>
        </w:p>
      </w:tc>
    </w:tr>
    <w:tr w:rsidR="000B1632" w14:paraId="011EEC68" w14:textId="77777777" w:rsidTr="00BD47E4">
      <w:trPr>
        <w:trHeight w:val="409"/>
        <w:jc w:val="center"/>
      </w:trPr>
      <w:tc>
        <w:tcPr>
          <w:tcW w:w="9039" w:type="dxa"/>
          <w:gridSpan w:val="2"/>
        </w:tcPr>
        <w:p w14:paraId="574CEFCB" w14:textId="77777777" w:rsidR="00BD47E4" w:rsidRDefault="00172706" w:rsidP="002C30DA">
          <w:pPr>
            <w:jc w:val="right"/>
          </w:pPr>
          <w:r>
            <w:t>Original:</w:t>
          </w:r>
        </w:p>
      </w:tc>
      <w:tc>
        <w:tcPr>
          <w:tcW w:w="1843" w:type="dxa"/>
          <w:gridSpan w:val="2"/>
        </w:tcPr>
        <w:p w14:paraId="3D9820FA" w14:textId="77777777" w:rsidR="00BD47E4" w:rsidRDefault="00172706" w:rsidP="002C30DA">
          <w:pPr>
            <w:jc w:val="right"/>
          </w:pPr>
          <w:bookmarkStart w:id="6" w:name="language"/>
          <w:r>
            <w:t>English</w:t>
          </w:r>
          <w:bookmarkEnd w:id="6"/>
        </w:p>
      </w:tc>
      <w:tc>
        <w:tcPr>
          <w:tcW w:w="390" w:type="dxa"/>
        </w:tcPr>
        <w:p w14:paraId="1035F5AF" w14:textId="77777777" w:rsidR="00BD47E4" w:rsidRDefault="00172706" w:rsidP="00387A65">
          <w:pPr>
            <w:jc w:val="right"/>
          </w:pPr>
        </w:p>
      </w:tc>
    </w:tr>
    <w:tr w:rsidR="000B1632" w14:paraId="6C629C60" w14:textId="77777777" w:rsidTr="00BD47E4">
      <w:trPr>
        <w:trHeight w:val="409"/>
        <w:jc w:val="center"/>
      </w:trPr>
      <w:tc>
        <w:tcPr>
          <w:tcW w:w="9039" w:type="dxa"/>
          <w:gridSpan w:val="2"/>
        </w:tcPr>
        <w:p w14:paraId="1A5FFD3E" w14:textId="77777777" w:rsidR="0097629D" w:rsidRDefault="00172706" w:rsidP="002C30DA">
          <w:pPr>
            <w:jc w:val="right"/>
          </w:pPr>
          <w:r>
            <w:t>Submitted:</w:t>
          </w:r>
        </w:p>
      </w:tc>
      <w:tc>
        <w:tcPr>
          <w:tcW w:w="1843" w:type="dxa"/>
          <w:gridSpan w:val="2"/>
        </w:tcPr>
        <w:p w14:paraId="6F82F47C" w14:textId="77777777" w:rsidR="0097629D" w:rsidRDefault="00172706" w:rsidP="0097629D">
          <w:pPr>
            <w:jc w:val="right"/>
          </w:pPr>
          <w:bookmarkStart w:id="7" w:name="date_submission"/>
          <w:r>
            <w:t>13/4/2022</w:t>
          </w:r>
          <w:bookmarkEnd w:id="7"/>
        </w:p>
      </w:tc>
      <w:tc>
        <w:tcPr>
          <w:tcW w:w="390" w:type="dxa"/>
        </w:tcPr>
        <w:p w14:paraId="0DEA30E6" w14:textId="77777777" w:rsidR="0097629D" w:rsidRDefault="00172706" w:rsidP="00387A65">
          <w:pPr>
            <w:jc w:val="right"/>
          </w:pPr>
        </w:p>
      </w:tc>
    </w:tr>
  </w:tbl>
  <w:p w14:paraId="1E161141" w14:textId="77777777" w:rsidR="00AE5DD0" w:rsidRDefault="001727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0B1632" w14:paraId="5B492B9F" w14:textId="77777777">
      <w:trPr>
        <w:trHeight w:val="354"/>
        <w:jc w:val="center"/>
      </w:trPr>
      <w:tc>
        <w:tcPr>
          <w:tcW w:w="9694" w:type="dxa"/>
        </w:tcPr>
        <w:p w14:paraId="6322E7E1" w14:textId="39A672CE" w:rsidR="00AE5DD0" w:rsidRPr="00BD47E4" w:rsidRDefault="00172706" w:rsidP="00C26F2D">
          <w:pPr>
            <w:jc w:val="right"/>
            <w:rPr>
              <w:b/>
              <w:sz w:val="32"/>
              <w:szCs w:val="32"/>
            </w:rPr>
          </w:pPr>
          <w:r>
            <w:rPr>
              <w:b/>
              <w:sz w:val="32"/>
              <w:szCs w:val="32"/>
            </w:rPr>
            <w:t>IP</w:t>
          </w:r>
        </w:p>
      </w:tc>
      <w:tc>
        <w:tcPr>
          <w:tcW w:w="1332" w:type="dxa"/>
        </w:tcPr>
        <w:p w14:paraId="4D268F02" w14:textId="22CC938F" w:rsidR="00AE5DD0" w:rsidRPr="00BD47E4" w:rsidRDefault="00172706" w:rsidP="00080F4C">
          <w:pPr>
            <w:rPr>
              <w:b/>
              <w:sz w:val="32"/>
              <w:szCs w:val="32"/>
            </w:rPr>
          </w:pPr>
          <w:r>
            <w:rPr>
              <w:b/>
              <w:sz w:val="32"/>
              <w:szCs w:val="32"/>
            </w:rPr>
            <w:t>48</w:t>
          </w:r>
        </w:p>
      </w:tc>
    </w:tr>
  </w:tbl>
  <w:p w14:paraId="211B622F" w14:textId="77777777" w:rsidR="00AE5DD0" w:rsidRDefault="001727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956A964E">
      <w:start w:val="1"/>
      <w:numFmt w:val="bullet"/>
      <w:pStyle w:val="ATSBullet1"/>
      <w:lvlText w:val=""/>
      <w:lvlJc w:val="left"/>
      <w:pPr>
        <w:tabs>
          <w:tab w:val="num" w:pos="360"/>
        </w:tabs>
        <w:ind w:left="360" w:hanging="360"/>
      </w:pPr>
      <w:rPr>
        <w:rFonts w:ascii="Symbol" w:hAnsi="Symbol" w:hint="default"/>
        <w:color w:val="auto"/>
      </w:rPr>
    </w:lvl>
    <w:lvl w:ilvl="1" w:tplc="B9FA5550" w:tentative="1">
      <w:start w:val="1"/>
      <w:numFmt w:val="bullet"/>
      <w:lvlText w:val="o"/>
      <w:lvlJc w:val="left"/>
      <w:pPr>
        <w:tabs>
          <w:tab w:val="num" w:pos="1440"/>
        </w:tabs>
        <w:ind w:left="1440" w:hanging="360"/>
      </w:pPr>
      <w:rPr>
        <w:rFonts w:ascii="Courier New" w:hAnsi="Courier New" w:cs="Courier New" w:hint="default"/>
      </w:rPr>
    </w:lvl>
    <w:lvl w:ilvl="2" w:tplc="382C4116" w:tentative="1">
      <w:start w:val="1"/>
      <w:numFmt w:val="bullet"/>
      <w:lvlText w:val=""/>
      <w:lvlJc w:val="left"/>
      <w:pPr>
        <w:tabs>
          <w:tab w:val="num" w:pos="2160"/>
        </w:tabs>
        <w:ind w:left="2160" w:hanging="360"/>
      </w:pPr>
      <w:rPr>
        <w:rFonts w:ascii="Wingdings" w:hAnsi="Wingdings" w:hint="default"/>
      </w:rPr>
    </w:lvl>
    <w:lvl w:ilvl="3" w:tplc="6D305256" w:tentative="1">
      <w:start w:val="1"/>
      <w:numFmt w:val="bullet"/>
      <w:lvlText w:val=""/>
      <w:lvlJc w:val="left"/>
      <w:pPr>
        <w:tabs>
          <w:tab w:val="num" w:pos="2880"/>
        </w:tabs>
        <w:ind w:left="2880" w:hanging="360"/>
      </w:pPr>
      <w:rPr>
        <w:rFonts w:ascii="Symbol" w:hAnsi="Symbol" w:hint="default"/>
      </w:rPr>
    </w:lvl>
    <w:lvl w:ilvl="4" w:tplc="1144B32A" w:tentative="1">
      <w:start w:val="1"/>
      <w:numFmt w:val="bullet"/>
      <w:lvlText w:val="o"/>
      <w:lvlJc w:val="left"/>
      <w:pPr>
        <w:tabs>
          <w:tab w:val="num" w:pos="3600"/>
        </w:tabs>
        <w:ind w:left="3600" w:hanging="360"/>
      </w:pPr>
      <w:rPr>
        <w:rFonts w:ascii="Courier New" w:hAnsi="Courier New" w:cs="Courier New" w:hint="default"/>
      </w:rPr>
    </w:lvl>
    <w:lvl w:ilvl="5" w:tplc="DF30CB88" w:tentative="1">
      <w:start w:val="1"/>
      <w:numFmt w:val="bullet"/>
      <w:lvlText w:val=""/>
      <w:lvlJc w:val="left"/>
      <w:pPr>
        <w:tabs>
          <w:tab w:val="num" w:pos="4320"/>
        </w:tabs>
        <w:ind w:left="4320" w:hanging="360"/>
      </w:pPr>
      <w:rPr>
        <w:rFonts w:ascii="Wingdings" w:hAnsi="Wingdings" w:hint="default"/>
      </w:rPr>
    </w:lvl>
    <w:lvl w:ilvl="6" w:tplc="AA6EC044" w:tentative="1">
      <w:start w:val="1"/>
      <w:numFmt w:val="bullet"/>
      <w:lvlText w:val=""/>
      <w:lvlJc w:val="left"/>
      <w:pPr>
        <w:tabs>
          <w:tab w:val="num" w:pos="5040"/>
        </w:tabs>
        <w:ind w:left="5040" w:hanging="360"/>
      </w:pPr>
      <w:rPr>
        <w:rFonts w:ascii="Symbol" w:hAnsi="Symbol" w:hint="default"/>
      </w:rPr>
    </w:lvl>
    <w:lvl w:ilvl="7" w:tplc="873A28AC" w:tentative="1">
      <w:start w:val="1"/>
      <w:numFmt w:val="bullet"/>
      <w:lvlText w:val="o"/>
      <w:lvlJc w:val="left"/>
      <w:pPr>
        <w:tabs>
          <w:tab w:val="num" w:pos="5760"/>
        </w:tabs>
        <w:ind w:left="5760" w:hanging="360"/>
      </w:pPr>
      <w:rPr>
        <w:rFonts w:ascii="Courier New" w:hAnsi="Courier New" w:cs="Courier New" w:hint="default"/>
      </w:rPr>
    </w:lvl>
    <w:lvl w:ilvl="8" w:tplc="C9D4442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696CEEB2">
      <w:start w:val="1"/>
      <w:numFmt w:val="decimal"/>
      <w:lvlText w:val="%1)"/>
      <w:lvlJc w:val="left"/>
      <w:pPr>
        <w:tabs>
          <w:tab w:val="num" w:pos="340"/>
        </w:tabs>
        <w:ind w:left="340" w:hanging="340"/>
      </w:pPr>
      <w:rPr>
        <w:rFonts w:hint="default"/>
      </w:rPr>
    </w:lvl>
    <w:lvl w:ilvl="1" w:tplc="C8225DC4" w:tentative="1">
      <w:start w:val="1"/>
      <w:numFmt w:val="lowerLetter"/>
      <w:lvlText w:val="%2."/>
      <w:lvlJc w:val="left"/>
      <w:pPr>
        <w:tabs>
          <w:tab w:val="num" w:pos="1440"/>
        </w:tabs>
        <w:ind w:left="1440" w:hanging="360"/>
      </w:pPr>
    </w:lvl>
    <w:lvl w:ilvl="2" w:tplc="95FC57E2" w:tentative="1">
      <w:start w:val="1"/>
      <w:numFmt w:val="lowerRoman"/>
      <w:lvlText w:val="%3."/>
      <w:lvlJc w:val="right"/>
      <w:pPr>
        <w:tabs>
          <w:tab w:val="num" w:pos="2160"/>
        </w:tabs>
        <w:ind w:left="2160" w:hanging="180"/>
      </w:pPr>
    </w:lvl>
    <w:lvl w:ilvl="3" w:tplc="E442798C" w:tentative="1">
      <w:start w:val="1"/>
      <w:numFmt w:val="decimal"/>
      <w:lvlText w:val="%4."/>
      <w:lvlJc w:val="left"/>
      <w:pPr>
        <w:tabs>
          <w:tab w:val="num" w:pos="2880"/>
        </w:tabs>
        <w:ind w:left="2880" w:hanging="360"/>
      </w:pPr>
    </w:lvl>
    <w:lvl w:ilvl="4" w:tplc="553C417E" w:tentative="1">
      <w:start w:val="1"/>
      <w:numFmt w:val="lowerLetter"/>
      <w:lvlText w:val="%5."/>
      <w:lvlJc w:val="left"/>
      <w:pPr>
        <w:tabs>
          <w:tab w:val="num" w:pos="3600"/>
        </w:tabs>
        <w:ind w:left="3600" w:hanging="360"/>
      </w:pPr>
    </w:lvl>
    <w:lvl w:ilvl="5" w:tplc="E3D2817C" w:tentative="1">
      <w:start w:val="1"/>
      <w:numFmt w:val="lowerRoman"/>
      <w:lvlText w:val="%6."/>
      <w:lvlJc w:val="right"/>
      <w:pPr>
        <w:tabs>
          <w:tab w:val="num" w:pos="4320"/>
        </w:tabs>
        <w:ind w:left="4320" w:hanging="180"/>
      </w:pPr>
    </w:lvl>
    <w:lvl w:ilvl="6" w:tplc="E4623472" w:tentative="1">
      <w:start w:val="1"/>
      <w:numFmt w:val="decimal"/>
      <w:lvlText w:val="%7."/>
      <w:lvlJc w:val="left"/>
      <w:pPr>
        <w:tabs>
          <w:tab w:val="num" w:pos="5040"/>
        </w:tabs>
        <w:ind w:left="5040" w:hanging="360"/>
      </w:pPr>
    </w:lvl>
    <w:lvl w:ilvl="7" w:tplc="76B0C2AA" w:tentative="1">
      <w:start w:val="1"/>
      <w:numFmt w:val="lowerLetter"/>
      <w:lvlText w:val="%8."/>
      <w:lvlJc w:val="left"/>
      <w:pPr>
        <w:tabs>
          <w:tab w:val="num" w:pos="5760"/>
        </w:tabs>
        <w:ind w:left="5760" w:hanging="360"/>
      </w:pPr>
    </w:lvl>
    <w:lvl w:ilvl="8" w:tplc="78A018B4"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A5AAECA6">
      <w:start w:val="1"/>
      <w:numFmt w:val="decimal"/>
      <w:lvlText w:val="%1."/>
      <w:lvlJc w:val="left"/>
      <w:pPr>
        <w:tabs>
          <w:tab w:val="num" w:pos="1057"/>
        </w:tabs>
        <w:ind w:left="1057" w:hanging="360"/>
      </w:pPr>
      <w:rPr>
        <w:rFonts w:hint="default"/>
      </w:rPr>
    </w:lvl>
    <w:lvl w:ilvl="1" w:tplc="5694BF52" w:tentative="1">
      <w:start w:val="1"/>
      <w:numFmt w:val="lowerLetter"/>
      <w:lvlText w:val="%2."/>
      <w:lvlJc w:val="left"/>
      <w:pPr>
        <w:tabs>
          <w:tab w:val="num" w:pos="2137"/>
        </w:tabs>
        <w:ind w:left="2137" w:hanging="360"/>
      </w:pPr>
    </w:lvl>
    <w:lvl w:ilvl="2" w:tplc="4786438E" w:tentative="1">
      <w:start w:val="1"/>
      <w:numFmt w:val="lowerRoman"/>
      <w:lvlText w:val="%3."/>
      <w:lvlJc w:val="right"/>
      <w:pPr>
        <w:tabs>
          <w:tab w:val="num" w:pos="2857"/>
        </w:tabs>
        <w:ind w:left="2857" w:hanging="180"/>
      </w:pPr>
    </w:lvl>
    <w:lvl w:ilvl="3" w:tplc="1AB02926" w:tentative="1">
      <w:start w:val="1"/>
      <w:numFmt w:val="decimal"/>
      <w:lvlText w:val="%4."/>
      <w:lvlJc w:val="left"/>
      <w:pPr>
        <w:tabs>
          <w:tab w:val="num" w:pos="3577"/>
        </w:tabs>
        <w:ind w:left="3577" w:hanging="360"/>
      </w:pPr>
    </w:lvl>
    <w:lvl w:ilvl="4" w:tplc="F90272C4" w:tentative="1">
      <w:start w:val="1"/>
      <w:numFmt w:val="lowerLetter"/>
      <w:lvlText w:val="%5."/>
      <w:lvlJc w:val="left"/>
      <w:pPr>
        <w:tabs>
          <w:tab w:val="num" w:pos="4297"/>
        </w:tabs>
        <w:ind w:left="4297" w:hanging="360"/>
      </w:pPr>
    </w:lvl>
    <w:lvl w:ilvl="5" w:tplc="4A6220D6" w:tentative="1">
      <w:start w:val="1"/>
      <w:numFmt w:val="lowerRoman"/>
      <w:lvlText w:val="%6."/>
      <w:lvlJc w:val="right"/>
      <w:pPr>
        <w:tabs>
          <w:tab w:val="num" w:pos="5017"/>
        </w:tabs>
        <w:ind w:left="5017" w:hanging="180"/>
      </w:pPr>
    </w:lvl>
    <w:lvl w:ilvl="6" w:tplc="24A8C304" w:tentative="1">
      <w:start w:val="1"/>
      <w:numFmt w:val="decimal"/>
      <w:lvlText w:val="%7."/>
      <w:lvlJc w:val="left"/>
      <w:pPr>
        <w:tabs>
          <w:tab w:val="num" w:pos="5737"/>
        </w:tabs>
        <w:ind w:left="5737" w:hanging="360"/>
      </w:pPr>
    </w:lvl>
    <w:lvl w:ilvl="7" w:tplc="1A42C8DE" w:tentative="1">
      <w:start w:val="1"/>
      <w:numFmt w:val="lowerLetter"/>
      <w:lvlText w:val="%8."/>
      <w:lvlJc w:val="left"/>
      <w:pPr>
        <w:tabs>
          <w:tab w:val="num" w:pos="6457"/>
        </w:tabs>
        <w:ind w:left="6457" w:hanging="360"/>
      </w:pPr>
    </w:lvl>
    <w:lvl w:ilvl="8" w:tplc="A95C9D4E"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3852E9A6">
      <w:start w:val="1"/>
      <w:numFmt w:val="decimal"/>
      <w:pStyle w:val="ATSNumber1"/>
      <w:lvlText w:val="%1)"/>
      <w:lvlJc w:val="left"/>
      <w:pPr>
        <w:tabs>
          <w:tab w:val="num" w:pos="720"/>
        </w:tabs>
        <w:ind w:left="720" w:hanging="360"/>
      </w:pPr>
    </w:lvl>
    <w:lvl w:ilvl="1" w:tplc="3ED8481E" w:tentative="1">
      <w:start w:val="1"/>
      <w:numFmt w:val="lowerLetter"/>
      <w:lvlText w:val="%2."/>
      <w:lvlJc w:val="left"/>
      <w:pPr>
        <w:tabs>
          <w:tab w:val="num" w:pos="1440"/>
        </w:tabs>
        <w:ind w:left="1440" w:hanging="360"/>
      </w:pPr>
    </w:lvl>
    <w:lvl w:ilvl="2" w:tplc="1230209E" w:tentative="1">
      <w:start w:val="1"/>
      <w:numFmt w:val="lowerRoman"/>
      <w:lvlText w:val="%3."/>
      <w:lvlJc w:val="right"/>
      <w:pPr>
        <w:tabs>
          <w:tab w:val="num" w:pos="2160"/>
        </w:tabs>
        <w:ind w:left="2160" w:hanging="180"/>
      </w:pPr>
    </w:lvl>
    <w:lvl w:ilvl="3" w:tplc="9E8E160C" w:tentative="1">
      <w:start w:val="1"/>
      <w:numFmt w:val="decimal"/>
      <w:lvlText w:val="%4."/>
      <w:lvlJc w:val="left"/>
      <w:pPr>
        <w:tabs>
          <w:tab w:val="num" w:pos="2880"/>
        </w:tabs>
        <w:ind w:left="2880" w:hanging="360"/>
      </w:pPr>
    </w:lvl>
    <w:lvl w:ilvl="4" w:tplc="25881CB2" w:tentative="1">
      <w:start w:val="1"/>
      <w:numFmt w:val="lowerLetter"/>
      <w:lvlText w:val="%5."/>
      <w:lvlJc w:val="left"/>
      <w:pPr>
        <w:tabs>
          <w:tab w:val="num" w:pos="3600"/>
        </w:tabs>
        <w:ind w:left="3600" w:hanging="360"/>
      </w:pPr>
    </w:lvl>
    <w:lvl w:ilvl="5" w:tplc="1D080A8E" w:tentative="1">
      <w:start w:val="1"/>
      <w:numFmt w:val="lowerRoman"/>
      <w:lvlText w:val="%6."/>
      <w:lvlJc w:val="right"/>
      <w:pPr>
        <w:tabs>
          <w:tab w:val="num" w:pos="4320"/>
        </w:tabs>
        <w:ind w:left="4320" w:hanging="180"/>
      </w:pPr>
    </w:lvl>
    <w:lvl w:ilvl="6" w:tplc="6DCC89C0" w:tentative="1">
      <w:start w:val="1"/>
      <w:numFmt w:val="decimal"/>
      <w:lvlText w:val="%7."/>
      <w:lvlJc w:val="left"/>
      <w:pPr>
        <w:tabs>
          <w:tab w:val="num" w:pos="5040"/>
        </w:tabs>
        <w:ind w:left="5040" w:hanging="360"/>
      </w:pPr>
    </w:lvl>
    <w:lvl w:ilvl="7" w:tplc="ECF030BE" w:tentative="1">
      <w:start w:val="1"/>
      <w:numFmt w:val="lowerLetter"/>
      <w:lvlText w:val="%8."/>
      <w:lvlJc w:val="left"/>
      <w:pPr>
        <w:tabs>
          <w:tab w:val="num" w:pos="5760"/>
        </w:tabs>
        <w:ind w:left="5760" w:hanging="360"/>
      </w:pPr>
    </w:lvl>
    <w:lvl w:ilvl="8" w:tplc="3920CFA8"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453ECF80">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076E73DC" w:tentative="1">
      <w:start w:val="1"/>
      <w:numFmt w:val="bullet"/>
      <w:lvlText w:val="o"/>
      <w:lvlJc w:val="left"/>
      <w:pPr>
        <w:tabs>
          <w:tab w:val="num" w:pos="2517"/>
        </w:tabs>
        <w:ind w:left="2517" w:hanging="360"/>
      </w:pPr>
      <w:rPr>
        <w:rFonts w:ascii="Courier New" w:hAnsi="Courier New" w:cs="Courier New" w:hint="default"/>
      </w:rPr>
    </w:lvl>
    <w:lvl w:ilvl="2" w:tplc="23AE34A4" w:tentative="1">
      <w:start w:val="1"/>
      <w:numFmt w:val="bullet"/>
      <w:lvlText w:val=""/>
      <w:lvlJc w:val="left"/>
      <w:pPr>
        <w:tabs>
          <w:tab w:val="num" w:pos="3237"/>
        </w:tabs>
        <w:ind w:left="3237" w:hanging="360"/>
      </w:pPr>
      <w:rPr>
        <w:rFonts w:ascii="Wingdings" w:hAnsi="Wingdings" w:hint="default"/>
      </w:rPr>
    </w:lvl>
    <w:lvl w:ilvl="3" w:tplc="E0D0479A" w:tentative="1">
      <w:start w:val="1"/>
      <w:numFmt w:val="bullet"/>
      <w:lvlText w:val=""/>
      <w:lvlJc w:val="left"/>
      <w:pPr>
        <w:tabs>
          <w:tab w:val="num" w:pos="3957"/>
        </w:tabs>
        <w:ind w:left="3957" w:hanging="360"/>
      </w:pPr>
      <w:rPr>
        <w:rFonts w:ascii="Symbol" w:hAnsi="Symbol" w:hint="default"/>
      </w:rPr>
    </w:lvl>
    <w:lvl w:ilvl="4" w:tplc="41F6F4AA" w:tentative="1">
      <w:start w:val="1"/>
      <w:numFmt w:val="bullet"/>
      <w:lvlText w:val="o"/>
      <w:lvlJc w:val="left"/>
      <w:pPr>
        <w:tabs>
          <w:tab w:val="num" w:pos="4677"/>
        </w:tabs>
        <w:ind w:left="4677" w:hanging="360"/>
      </w:pPr>
      <w:rPr>
        <w:rFonts w:ascii="Courier New" w:hAnsi="Courier New" w:cs="Courier New" w:hint="default"/>
      </w:rPr>
    </w:lvl>
    <w:lvl w:ilvl="5" w:tplc="CD305716" w:tentative="1">
      <w:start w:val="1"/>
      <w:numFmt w:val="bullet"/>
      <w:lvlText w:val=""/>
      <w:lvlJc w:val="left"/>
      <w:pPr>
        <w:tabs>
          <w:tab w:val="num" w:pos="5397"/>
        </w:tabs>
        <w:ind w:left="5397" w:hanging="360"/>
      </w:pPr>
      <w:rPr>
        <w:rFonts w:ascii="Wingdings" w:hAnsi="Wingdings" w:hint="default"/>
      </w:rPr>
    </w:lvl>
    <w:lvl w:ilvl="6" w:tplc="7C262B44" w:tentative="1">
      <w:start w:val="1"/>
      <w:numFmt w:val="bullet"/>
      <w:lvlText w:val=""/>
      <w:lvlJc w:val="left"/>
      <w:pPr>
        <w:tabs>
          <w:tab w:val="num" w:pos="6117"/>
        </w:tabs>
        <w:ind w:left="6117" w:hanging="360"/>
      </w:pPr>
      <w:rPr>
        <w:rFonts w:ascii="Symbol" w:hAnsi="Symbol" w:hint="default"/>
      </w:rPr>
    </w:lvl>
    <w:lvl w:ilvl="7" w:tplc="1D6402BC" w:tentative="1">
      <w:start w:val="1"/>
      <w:numFmt w:val="bullet"/>
      <w:lvlText w:val="o"/>
      <w:lvlJc w:val="left"/>
      <w:pPr>
        <w:tabs>
          <w:tab w:val="num" w:pos="6837"/>
        </w:tabs>
        <w:ind w:left="6837" w:hanging="360"/>
      </w:pPr>
      <w:rPr>
        <w:rFonts w:ascii="Courier New" w:hAnsi="Courier New" w:cs="Courier New" w:hint="default"/>
      </w:rPr>
    </w:lvl>
    <w:lvl w:ilvl="8" w:tplc="2460C200"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037C1E58">
      <w:start w:val="1"/>
      <w:numFmt w:val="decimal"/>
      <w:pStyle w:val="ATSNumber2"/>
      <w:lvlText w:val="%1."/>
      <w:lvlJc w:val="left"/>
      <w:pPr>
        <w:tabs>
          <w:tab w:val="num" w:pos="720"/>
        </w:tabs>
        <w:ind w:left="720" w:hanging="360"/>
      </w:pPr>
      <w:rPr>
        <w:rFonts w:hint="default"/>
      </w:rPr>
    </w:lvl>
    <w:lvl w:ilvl="1" w:tplc="8E44460E" w:tentative="1">
      <w:start w:val="1"/>
      <w:numFmt w:val="lowerLetter"/>
      <w:lvlText w:val="%2."/>
      <w:lvlJc w:val="left"/>
      <w:pPr>
        <w:tabs>
          <w:tab w:val="num" w:pos="1440"/>
        </w:tabs>
        <w:ind w:left="1440" w:hanging="360"/>
      </w:pPr>
    </w:lvl>
    <w:lvl w:ilvl="2" w:tplc="DF729454" w:tentative="1">
      <w:start w:val="1"/>
      <w:numFmt w:val="lowerRoman"/>
      <w:lvlText w:val="%3."/>
      <w:lvlJc w:val="right"/>
      <w:pPr>
        <w:tabs>
          <w:tab w:val="num" w:pos="2160"/>
        </w:tabs>
        <w:ind w:left="2160" w:hanging="180"/>
      </w:pPr>
    </w:lvl>
    <w:lvl w:ilvl="3" w:tplc="EAF8EF12" w:tentative="1">
      <w:start w:val="1"/>
      <w:numFmt w:val="decimal"/>
      <w:lvlText w:val="%4."/>
      <w:lvlJc w:val="left"/>
      <w:pPr>
        <w:tabs>
          <w:tab w:val="num" w:pos="2880"/>
        </w:tabs>
        <w:ind w:left="2880" w:hanging="360"/>
      </w:pPr>
    </w:lvl>
    <w:lvl w:ilvl="4" w:tplc="3328EDA0" w:tentative="1">
      <w:start w:val="1"/>
      <w:numFmt w:val="lowerLetter"/>
      <w:lvlText w:val="%5."/>
      <w:lvlJc w:val="left"/>
      <w:pPr>
        <w:tabs>
          <w:tab w:val="num" w:pos="3600"/>
        </w:tabs>
        <w:ind w:left="3600" w:hanging="360"/>
      </w:pPr>
    </w:lvl>
    <w:lvl w:ilvl="5" w:tplc="A636055C" w:tentative="1">
      <w:start w:val="1"/>
      <w:numFmt w:val="lowerRoman"/>
      <w:lvlText w:val="%6."/>
      <w:lvlJc w:val="right"/>
      <w:pPr>
        <w:tabs>
          <w:tab w:val="num" w:pos="4320"/>
        </w:tabs>
        <w:ind w:left="4320" w:hanging="180"/>
      </w:pPr>
    </w:lvl>
    <w:lvl w:ilvl="6" w:tplc="FBEAFAAC" w:tentative="1">
      <w:start w:val="1"/>
      <w:numFmt w:val="decimal"/>
      <w:lvlText w:val="%7."/>
      <w:lvlJc w:val="left"/>
      <w:pPr>
        <w:tabs>
          <w:tab w:val="num" w:pos="5040"/>
        </w:tabs>
        <w:ind w:left="5040" w:hanging="360"/>
      </w:pPr>
    </w:lvl>
    <w:lvl w:ilvl="7" w:tplc="2144A92C" w:tentative="1">
      <w:start w:val="1"/>
      <w:numFmt w:val="lowerLetter"/>
      <w:lvlText w:val="%8."/>
      <w:lvlJc w:val="left"/>
      <w:pPr>
        <w:tabs>
          <w:tab w:val="num" w:pos="5760"/>
        </w:tabs>
        <w:ind w:left="5760" w:hanging="360"/>
      </w:pPr>
    </w:lvl>
    <w:lvl w:ilvl="8" w:tplc="73DAD1FC" w:tentative="1">
      <w:start w:val="1"/>
      <w:numFmt w:val="lowerRoman"/>
      <w:lvlText w:val="%9."/>
      <w:lvlJc w:val="right"/>
      <w:pPr>
        <w:tabs>
          <w:tab w:val="num" w:pos="6480"/>
        </w:tabs>
        <w:ind w:left="6480" w:hanging="180"/>
      </w:pPr>
    </w:lvl>
  </w:abstractNum>
  <w:num w:numId="1" w16cid:durableId="988366381">
    <w:abstractNumId w:val="9"/>
  </w:num>
  <w:num w:numId="2" w16cid:durableId="273753454">
    <w:abstractNumId w:val="7"/>
  </w:num>
  <w:num w:numId="3" w16cid:durableId="726950399">
    <w:abstractNumId w:val="6"/>
  </w:num>
  <w:num w:numId="4" w16cid:durableId="1542861856">
    <w:abstractNumId w:val="5"/>
  </w:num>
  <w:num w:numId="5" w16cid:durableId="689796102">
    <w:abstractNumId w:val="4"/>
  </w:num>
  <w:num w:numId="6" w16cid:durableId="1334182170">
    <w:abstractNumId w:val="8"/>
  </w:num>
  <w:num w:numId="7" w16cid:durableId="981036324">
    <w:abstractNumId w:val="3"/>
  </w:num>
  <w:num w:numId="8" w16cid:durableId="1762023269">
    <w:abstractNumId w:val="2"/>
  </w:num>
  <w:num w:numId="9" w16cid:durableId="1165433702">
    <w:abstractNumId w:val="1"/>
  </w:num>
  <w:num w:numId="10" w16cid:durableId="996223287">
    <w:abstractNumId w:val="0"/>
  </w:num>
  <w:num w:numId="11" w16cid:durableId="794981334">
    <w:abstractNumId w:val="11"/>
  </w:num>
  <w:num w:numId="12" w16cid:durableId="53164052">
    <w:abstractNumId w:val="15"/>
  </w:num>
  <w:num w:numId="13" w16cid:durableId="622346310">
    <w:abstractNumId w:val="14"/>
  </w:num>
  <w:num w:numId="14" w16cid:durableId="1682665199">
    <w:abstractNumId w:val="12"/>
  </w:num>
  <w:num w:numId="15" w16cid:durableId="1087193797">
    <w:abstractNumId w:val="13"/>
  </w:num>
  <w:num w:numId="16" w16cid:durableId="102238316">
    <w:abstractNumId w:val="10"/>
  </w:num>
  <w:num w:numId="17" w16cid:durableId="1924995038">
    <w:abstractNumId w:val="11"/>
  </w:num>
  <w:num w:numId="18" w16cid:durableId="843860378">
    <w:abstractNumId w:val="15"/>
  </w:num>
  <w:num w:numId="19" w16cid:durableId="1761488913">
    <w:abstractNumId w:val="14"/>
  </w:num>
  <w:num w:numId="20" w16cid:durableId="11185734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632"/>
    <w:rsid w:val="000B1632"/>
    <w:rsid w:val="0017270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234C9"/>
  <w15:chartTrackingRefBased/>
  <w15:docId w15:val="{15ECA6E6-1040-4808-8264-DA639BE53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documents.ats.aq/ATCM42/ip/ATCM42_ip089_e.doc" TargetMode="External"/><Relationship Id="rId1" Type="http://schemas.openxmlformats.org/officeDocument/2006/relationships/hyperlink" Target="https://documents.ats.aq/ATCM39/ip/ATCM39_ip111_e.do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938</Words>
  <Characters>5805</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2022-04-18T15:48:00Z</dcterms:modified>
</cp:coreProperties>
</file>