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3CA9" w14:textId="77777777" w:rsidR="00C26F2D" w:rsidRPr="00BF077B" w:rsidRDefault="0004146B" w:rsidP="00BF077B">
      <w:pPr>
        <w:pStyle w:val="ATSNormal"/>
        <w:rPr>
          <w:rStyle w:val="Ttulodellibro"/>
        </w:rPr>
      </w:pPr>
    </w:p>
    <w:p w14:paraId="1EECCAEE" w14:textId="77777777" w:rsidR="002F0A13" w:rsidRDefault="0004146B" w:rsidP="004B4A60">
      <w:pPr>
        <w:rPr>
          <w:b/>
          <w:u w:val="single"/>
          <w:lang w:val="es-ES_tradnl"/>
        </w:rPr>
      </w:pPr>
    </w:p>
    <w:p w14:paraId="7D31D464" w14:textId="77777777" w:rsidR="002F0A13" w:rsidRDefault="0004146B" w:rsidP="004B4A60">
      <w:pPr>
        <w:rPr>
          <w:b/>
          <w:u w:val="single"/>
          <w:lang w:val="es-ES_tradnl"/>
        </w:rPr>
      </w:pPr>
    </w:p>
    <w:p w14:paraId="7BADE88D" w14:textId="77777777" w:rsidR="002F0A13" w:rsidRDefault="0004146B" w:rsidP="004B4A60">
      <w:pPr>
        <w:rPr>
          <w:b/>
          <w:u w:val="single"/>
          <w:lang w:val="es-ES_tradnl"/>
        </w:rPr>
      </w:pPr>
    </w:p>
    <w:p w14:paraId="59BF5C89" w14:textId="77777777" w:rsidR="002F0A13" w:rsidRDefault="0004146B" w:rsidP="004B4A60">
      <w:pPr>
        <w:rPr>
          <w:b/>
          <w:u w:val="single"/>
          <w:lang w:val="es-ES_tradnl"/>
        </w:rPr>
      </w:pPr>
    </w:p>
    <w:p w14:paraId="1D4DE297" w14:textId="77777777" w:rsidR="00C26F2D" w:rsidRDefault="0004146B" w:rsidP="004B4A60">
      <w:pPr>
        <w:rPr>
          <w:b/>
          <w:u w:val="single"/>
          <w:lang w:val="es-ES_tradnl"/>
        </w:rPr>
      </w:pPr>
    </w:p>
    <w:p w14:paraId="4FFA8722" w14:textId="77777777" w:rsidR="004B4A60" w:rsidRPr="0057246E" w:rsidRDefault="0004146B" w:rsidP="001B789F">
      <w:pPr>
        <w:pStyle w:val="ATSTitle"/>
      </w:pPr>
      <w:bookmarkStart w:id="0" w:name="name"/>
      <w:r>
        <w:t>Energetic modernisation of the German Neumayer-Station III</w:t>
      </w:r>
      <w:bookmarkEnd w:id="0"/>
    </w:p>
    <w:p w14:paraId="591EF9BE" w14:textId="77777777" w:rsidR="004B4A60" w:rsidRPr="0057246E" w:rsidRDefault="0004146B" w:rsidP="00F75424">
      <w:pPr>
        <w:jc w:val="center"/>
      </w:pPr>
    </w:p>
    <w:p w14:paraId="145FD86D" w14:textId="77777777" w:rsidR="004B4A60" w:rsidRPr="002F0A13" w:rsidRDefault="0004146B" w:rsidP="002F0A13"/>
    <w:p w14:paraId="3BFE7E60" w14:textId="77777777" w:rsidR="004B4A60" w:rsidRDefault="0004146B" w:rsidP="00F75424">
      <w:pPr>
        <w:jc w:val="center"/>
      </w:pPr>
      <w:bookmarkStart w:id="1" w:name="memo"/>
      <w:bookmarkEnd w:id="1"/>
    </w:p>
    <w:p w14:paraId="2D430C3B" w14:textId="77777777" w:rsidR="0097629D" w:rsidRDefault="0004146B" w:rsidP="00F75424">
      <w:pPr>
        <w:jc w:val="center"/>
      </w:pPr>
    </w:p>
    <w:p w14:paraId="003907BB" w14:textId="77777777" w:rsidR="0097629D" w:rsidRDefault="0004146B" w:rsidP="00F75424">
      <w:pPr>
        <w:jc w:val="center"/>
      </w:pPr>
    </w:p>
    <w:p w14:paraId="26EA51AC" w14:textId="77777777" w:rsidR="0097629D" w:rsidRDefault="0004146B" w:rsidP="00F75424">
      <w:pPr>
        <w:jc w:val="center"/>
      </w:pPr>
    </w:p>
    <w:p w14:paraId="064C0AEE" w14:textId="77777777" w:rsidR="0097629D" w:rsidRPr="00C26F2D" w:rsidRDefault="0004146B" w:rsidP="00F75424">
      <w:pPr>
        <w:jc w:val="center"/>
      </w:pPr>
    </w:p>
    <w:p w14:paraId="2E4C0D5A" w14:textId="77777777" w:rsidR="004B4A60" w:rsidRPr="0057246E" w:rsidRDefault="0004146B" w:rsidP="004B4A60"/>
    <w:p w14:paraId="36A8F4B6" w14:textId="77777777" w:rsidR="00C26F2D" w:rsidRDefault="0004146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F884DCB" w14:textId="77777777" w:rsidR="0004146B" w:rsidRDefault="0004146B" w:rsidP="0004146B">
      <w:pPr>
        <w:suppressAutoHyphens/>
        <w:spacing w:before="360" w:after="360"/>
        <w:jc w:val="center"/>
        <w:rPr>
          <w:rFonts w:ascii="Arial" w:hAnsi="Arial" w:cs="Arial"/>
          <w:b/>
          <w:sz w:val="32"/>
          <w:szCs w:val="28"/>
          <w:lang w:eastAsia="en-GB"/>
        </w:rPr>
      </w:pPr>
      <w:r>
        <w:rPr>
          <w:rFonts w:ascii="Arial" w:hAnsi="Arial" w:cs="Arial"/>
          <w:b/>
          <w:sz w:val="32"/>
          <w:szCs w:val="28"/>
          <w:lang w:eastAsia="en-GB"/>
        </w:rPr>
        <w:lastRenderedPageBreak/>
        <w:t>Energetic modernisation of the German Neumayer-Station III</w:t>
      </w:r>
      <w:bookmarkStart w:id="8" w:name="_Hlk99987201"/>
      <w:bookmarkEnd w:id="8"/>
    </w:p>
    <w:p w14:paraId="4B1D30F3" w14:textId="77777777" w:rsidR="0004146B" w:rsidRDefault="0004146B" w:rsidP="0004146B">
      <w:pPr>
        <w:suppressAutoHyphens/>
        <w:spacing w:before="480" w:after="120"/>
        <w:jc w:val="center"/>
        <w:rPr>
          <w:rFonts w:ascii="Arial" w:hAnsi="Arial" w:cs="Arial"/>
          <w:b/>
          <w:i/>
          <w:sz w:val="24"/>
          <w:szCs w:val="28"/>
          <w:lang w:eastAsia="en-GB"/>
        </w:rPr>
      </w:pPr>
      <w:r>
        <w:rPr>
          <w:rFonts w:ascii="Arial" w:hAnsi="Arial" w:cs="Arial"/>
          <w:b/>
          <w:i/>
          <w:sz w:val="24"/>
          <w:szCs w:val="28"/>
          <w:lang w:eastAsia="en-GB"/>
        </w:rPr>
        <w:t>Information Paper submitted by Germany</w:t>
      </w:r>
    </w:p>
    <w:p w14:paraId="39EBA9B4" w14:textId="77777777" w:rsidR="0004146B" w:rsidRDefault="0004146B" w:rsidP="0004146B">
      <w:pPr>
        <w:suppressAutoHyphens/>
        <w:spacing w:before="120" w:after="120"/>
        <w:rPr>
          <w:rFonts w:ascii="Arial" w:hAnsi="Arial" w:cs="Arial"/>
          <w:szCs w:val="28"/>
          <w:lang w:eastAsia="en-GB"/>
        </w:rPr>
      </w:pPr>
    </w:p>
    <w:p w14:paraId="20DA268C" w14:textId="77777777" w:rsidR="0004146B" w:rsidRDefault="0004146B" w:rsidP="0004146B">
      <w:pPr>
        <w:suppressAutoHyphens/>
        <w:spacing w:before="240" w:after="60"/>
        <w:rPr>
          <w:b/>
          <w:szCs w:val="28"/>
          <w:lang w:eastAsia="en-GB"/>
        </w:rPr>
      </w:pPr>
      <w:r>
        <w:rPr>
          <w:b/>
          <w:sz w:val="24"/>
          <w:szCs w:val="28"/>
          <w:lang w:eastAsia="en-GB"/>
        </w:rPr>
        <w:t>Introduction</w:t>
      </w:r>
    </w:p>
    <w:p w14:paraId="6C059FA0" w14:textId="77777777" w:rsidR="0004146B" w:rsidRDefault="0004146B" w:rsidP="0004146B">
      <w:pPr>
        <w:suppressAutoHyphens/>
        <w:spacing w:before="120" w:after="120"/>
        <w:rPr>
          <w:szCs w:val="28"/>
          <w:lang w:eastAsia="en-GB"/>
        </w:rPr>
      </w:pPr>
      <w:r>
        <w:rPr>
          <w:szCs w:val="28"/>
          <w:lang w:eastAsia="en-GB"/>
        </w:rPr>
        <w:t>Climate change due to increased anthropogenic CO</w:t>
      </w:r>
      <w:r>
        <w:rPr>
          <w:szCs w:val="28"/>
          <w:vertAlign w:val="subscript"/>
          <w:lang w:eastAsia="en-GB"/>
        </w:rPr>
        <w:t>2</w:t>
      </w:r>
      <w:r>
        <w:rPr>
          <w:szCs w:val="28"/>
          <w:lang w:eastAsia="en-GB"/>
        </w:rPr>
        <w:t xml:space="preserve"> emissions is one of the most important and increasingly obvious factors influencing the state of the Antarctic environment. Reports like the IPCC Special Report on the Ocean and Cryosphere in a Changing Climate and the updates provided by SCAR of its Antarctic Climate Change and the Environment report</w:t>
      </w:r>
      <w:r>
        <w:rPr>
          <w:rStyle w:val="Funotenanker"/>
          <w:szCs w:val="28"/>
          <w:lang w:eastAsia="en-GB"/>
        </w:rPr>
        <w:footnoteReference w:id="1"/>
      </w:r>
      <w:r>
        <w:rPr>
          <w:szCs w:val="28"/>
          <w:lang w:eastAsia="en-GB"/>
        </w:rPr>
        <w:t xml:space="preserve"> show that the climate of the Antarctic and Southern Ocean is undergoing rapid change, which is expected to continue into the future.</w:t>
      </w:r>
    </w:p>
    <w:p w14:paraId="2EC9A401" w14:textId="77777777" w:rsidR="0004146B" w:rsidRDefault="0004146B" w:rsidP="0004146B">
      <w:pPr>
        <w:suppressAutoHyphens/>
        <w:spacing w:before="120" w:after="120"/>
        <w:rPr>
          <w:szCs w:val="28"/>
          <w:lang w:eastAsia="en-GB"/>
        </w:rPr>
      </w:pPr>
      <w:r>
        <w:rPr>
          <w:szCs w:val="28"/>
          <w:lang w:eastAsia="en-GB"/>
        </w:rPr>
        <w:t>ATCM and CEP have over the last years adopted several Resolutions</w:t>
      </w:r>
      <w:r>
        <w:rPr>
          <w:rStyle w:val="Funotenanker"/>
          <w:szCs w:val="28"/>
          <w:lang w:eastAsia="en-GB"/>
        </w:rPr>
        <w:footnoteReference w:id="2"/>
      </w:r>
      <w:r>
        <w:rPr>
          <w:szCs w:val="28"/>
          <w:lang w:eastAsia="en-GB"/>
        </w:rPr>
        <w:t xml:space="preserve"> and programmes</w:t>
      </w:r>
      <w:r>
        <w:rPr>
          <w:rStyle w:val="Funotenanker"/>
          <w:szCs w:val="28"/>
          <w:lang w:eastAsia="en-GB"/>
        </w:rPr>
        <w:footnoteReference w:id="3"/>
      </w:r>
      <w:r>
        <w:rPr>
          <w:szCs w:val="28"/>
          <w:lang w:eastAsia="en-GB"/>
        </w:rPr>
        <w:t xml:space="preserve"> in order to combat and mitigate climate change.</w:t>
      </w:r>
    </w:p>
    <w:p w14:paraId="08A57CFA" w14:textId="77777777" w:rsidR="0004146B" w:rsidRDefault="0004146B" w:rsidP="0004146B">
      <w:pPr>
        <w:suppressAutoHyphens/>
        <w:spacing w:before="120" w:after="120"/>
        <w:rPr>
          <w:szCs w:val="28"/>
          <w:lang w:eastAsia="en-GB"/>
        </w:rPr>
      </w:pPr>
      <w:r>
        <w:rPr>
          <w:szCs w:val="28"/>
          <w:lang w:eastAsia="en-GB"/>
        </w:rPr>
        <w:t>In the light of this, Germany has investigated the energetic modernisation of the German Neumayer-Station III with a view to increasing the utilisation of renewable energy sources, thereby enhancing renewable energy technologies and reducing operational costs.</w:t>
      </w:r>
    </w:p>
    <w:p w14:paraId="4FB848A7" w14:textId="77777777" w:rsidR="0004146B" w:rsidRDefault="0004146B" w:rsidP="0004146B">
      <w:pPr>
        <w:suppressAutoHyphens/>
        <w:spacing w:before="240" w:after="60"/>
        <w:rPr>
          <w:b/>
          <w:sz w:val="24"/>
          <w:szCs w:val="28"/>
          <w:lang w:eastAsia="en-GB"/>
        </w:rPr>
      </w:pPr>
      <w:r>
        <w:rPr>
          <w:b/>
          <w:sz w:val="24"/>
          <w:szCs w:val="28"/>
          <w:lang w:eastAsia="en-GB"/>
        </w:rPr>
        <w:t>1.</w:t>
      </w:r>
      <w:r>
        <w:rPr>
          <w:b/>
          <w:sz w:val="24"/>
          <w:szCs w:val="28"/>
          <w:lang w:eastAsia="en-GB"/>
        </w:rPr>
        <w:tab/>
        <w:t>Characteristic of Neumayer-Station III</w:t>
      </w:r>
    </w:p>
    <w:p w14:paraId="6BC81398" w14:textId="77777777" w:rsidR="0004146B" w:rsidRDefault="0004146B" w:rsidP="0004146B">
      <w:pPr>
        <w:suppressAutoHyphens/>
        <w:spacing w:before="120" w:after="120"/>
        <w:rPr>
          <w:szCs w:val="28"/>
          <w:lang w:eastAsia="en-GB"/>
        </w:rPr>
      </w:pPr>
      <w:r>
        <w:rPr>
          <w:szCs w:val="28"/>
          <w:lang w:eastAsia="en-GB"/>
        </w:rPr>
        <w:t>Neumayer Station III is the third German research station to be operated as a year-round station in Antarctica at about 70°35'S / 8°20'W on the Ekström shelf ice at the eastern exit of the Weddell Sea near Atka Bay</w:t>
      </w:r>
      <w:r>
        <w:rPr>
          <w:rStyle w:val="Funotenanker"/>
          <w:szCs w:val="28"/>
          <w:lang w:eastAsia="en-GB"/>
        </w:rPr>
        <w:footnoteReference w:id="4"/>
      </w:r>
      <w:r>
        <w:rPr>
          <w:szCs w:val="28"/>
          <w:lang w:eastAsia="en-GB"/>
        </w:rPr>
        <w:t>. While the first two stations were built in a tubular tunnel construction submerged into the shelf ice, a fundamentally different construction principle has been implemented since 2009 with the Neumayer Station III (NM III). The station was built as a free-standing island station above a roofed garage on top of the drifting ice shelf. As a result of snow accumulation, the ground level at the site experiences an annual elevation of approx. 100 cm. In order to avoid submersion, the station building and all outdoor installations have to be lifted at regular intervals. The corresponding technologies have been developed. The NM III itself can be lifted via its 16 hydraulic stilts / legs. For all other equipment, such as wind turbines, special lifting and crane facilities are available at the station. All structures are built on firn ice, which despite special foundations limits their overall size and height (e.g. of new wind turbines).</w:t>
      </w:r>
    </w:p>
    <w:p w14:paraId="75A4A1C1" w14:textId="77777777" w:rsidR="0004146B" w:rsidRDefault="0004146B" w:rsidP="0004146B">
      <w:pPr>
        <w:suppressAutoHyphens/>
        <w:spacing w:before="240" w:after="60"/>
        <w:rPr>
          <w:b/>
          <w:sz w:val="24"/>
          <w:szCs w:val="28"/>
          <w:lang w:eastAsia="en-GB"/>
        </w:rPr>
      </w:pPr>
      <w:r>
        <w:rPr>
          <w:b/>
          <w:sz w:val="24"/>
          <w:szCs w:val="28"/>
          <w:lang w:eastAsia="en-GB"/>
        </w:rPr>
        <w:t>2.</w:t>
      </w:r>
      <w:r>
        <w:rPr>
          <w:b/>
          <w:sz w:val="24"/>
          <w:szCs w:val="28"/>
          <w:lang w:eastAsia="en-GB"/>
        </w:rPr>
        <w:tab/>
        <w:t>Energetic modernisation of Neumayer-Station III</w:t>
      </w:r>
      <w:bookmarkStart w:id="9" w:name="_Hlk100060276"/>
      <w:bookmarkEnd w:id="9"/>
    </w:p>
    <w:p w14:paraId="47DE6CE9" w14:textId="77777777" w:rsidR="0004146B" w:rsidRDefault="0004146B" w:rsidP="0004146B">
      <w:pPr>
        <w:suppressAutoHyphens/>
        <w:spacing w:before="120" w:after="120"/>
        <w:rPr>
          <w:szCs w:val="28"/>
          <w:lang w:eastAsia="en-GB"/>
        </w:rPr>
      </w:pPr>
      <w:r>
        <w:rPr>
          <w:szCs w:val="28"/>
          <w:lang w:eastAsia="en-GB"/>
        </w:rPr>
        <w:t>A modern energy concept was already developed and installed during the construction of NM III</w:t>
      </w:r>
      <w:r>
        <w:rPr>
          <w:rStyle w:val="Funotenanker"/>
        </w:rPr>
        <w:footnoteReference w:id="5"/>
      </w:r>
      <w:r>
        <w:rPr>
          <w:szCs w:val="28"/>
          <w:lang w:eastAsia="en-GB"/>
        </w:rPr>
        <w:t>. The energy efficiency of the diesel fuel used at NM III was significantly increased compared to that of Neumayer-Station II (NM II). Although the new station has more than twice as much usable space as its predecessor and is also directly exposed to the weather (i.e. wind and low temperatures), the additional specific fuel requirement (litres/year/m²) is only about 54 percent compared to NM II (see Table 2).</w:t>
      </w:r>
    </w:p>
    <w:p w14:paraId="3B0513F7" w14:textId="77777777" w:rsidR="0004146B" w:rsidRDefault="0004146B" w:rsidP="0004146B">
      <w:pPr>
        <w:suppressAutoHyphens/>
        <w:spacing w:before="120" w:after="120"/>
        <w:rPr>
          <w:szCs w:val="28"/>
          <w:lang w:eastAsia="en-GB"/>
        </w:rPr>
        <w:sectPr w:rsidR="0004146B">
          <w:headerReference w:type="default" r:id="rId11"/>
          <w:footerReference w:type="default" r:id="rId12"/>
          <w:type w:val="oddPage"/>
          <w:pgSz w:w="11906" w:h="16838"/>
          <w:pgMar w:top="1583" w:right="1701" w:bottom="1215" w:left="1701" w:header="709" w:footer="709" w:gutter="0"/>
          <w:cols w:space="720"/>
          <w:formProt w:val="0"/>
          <w:docGrid w:linePitch="360"/>
        </w:sectPr>
      </w:pPr>
    </w:p>
    <w:tbl>
      <w:tblPr>
        <w:tblStyle w:val="Tabellenraster1"/>
        <w:tblW w:w="8502" w:type="dxa"/>
        <w:tblInd w:w="140" w:type="dxa"/>
        <w:tblLayout w:type="fixed"/>
        <w:tblLook w:val="01E0" w:firstRow="1" w:lastRow="1" w:firstColumn="1" w:lastColumn="1" w:noHBand="0" w:noVBand="0"/>
      </w:tblPr>
      <w:tblGrid>
        <w:gridCol w:w="3824"/>
        <w:gridCol w:w="1700"/>
        <w:gridCol w:w="2978"/>
      </w:tblGrid>
      <w:tr w:rsidR="0004146B" w14:paraId="7B7653DE" w14:textId="77777777" w:rsidTr="002643E8">
        <w:tc>
          <w:tcPr>
            <w:tcW w:w="3824" w:type="dxa"/>
            <w:vAlign w:val="center"/>
          </w:tcPr>
          <w:p w14:paraId="4CDBC518" w14:textId="77777777" w:rsidR="0004146B" w:rsidRDefault="0004146B" w:rsidP="002643E8">
            <w:pPr>
              <w:spacing w:after="100"/>
              <w:rPr>
                <w:szCs w:val="22"/>
                <w:lang w:val="en-IE" w:eastAsia="de-DE"/>
              </w:rPr>
            </w:pPr>
          </w:p>
        </w:tc>
        <w:tc>
          <w:tcPr>
            <w:tcW w:w="1700" w:type="dxa"/>
            <w:vAlign w:val="center"/>
          </w:tcPr>
          <w:p w14:paraId="262505CF" w14:textId="77777777" w:rsidR="0004146B" w:rsidRDefault="0004146B" w:rsidP="002643E8">
            <w:pPr>
              <w:spacing w:after="100"/>
              <w:jc w:val="center"/>
              <w:rPr>
                <w:b/>
                <w:szCs w:val="22"/>
                <w:lang w:val="de-CH" w:eastAsia="de-DE"/>
              </w:rPr>
            </w:pPr>
            <w:r>
              <w:rPr>
                <w:rFonts w:eastAsia="Times"/>
                <w:b/>
                <w:szCs w:val="22"/>
                <w:lang w:val="de-CH" w:eastAsia="de-DE"/>
              </w:rPr>
              <w:t>NM II in 2006</w:t>
            </w:r>
          </w:p>
        </w:tc>
        <w:tc>
          <w:tcPr>
            <w:tcW w:w="2978" w:type="dxa"/>
            <w:vAlign w:val="center"/>
          </w:tcPr>
          <w:p w14:paraId="755C92BD" w14:textId="77777777" w:rsidR="0004146B" w:rsidRDefault="0004146B" w:rsidP="002643E8">
            <w:pPr>
              <w:spacing w:after="100"/>
              <w:jc w:val="center"/>
              <w:rPr>
                <w:b/>
                <w:szCs w:val="22"/>
                <w:lang w:val="en-IE" w:eastAsia="de-DE"/>
              </w:rPr>
            </w:pPr>
            <w:r>
              <w:rPr>
                <w:rFonts w:eastAsia="Times"/>
                <w:b/>
                <w:szCs w:val="22"/>
                <w:lang w:val="en-IE" w:eastAsia="de-DE"/>
              </w:rPr>
              <w:t>NM III averaged per year</w:t>
            </w:r>
            <w:r>
              <w:rPr>
                <w:rFonts w:eastAsia="Times"/>
                <w:b/>
                <w:szCs w:val="22"/>
                <w:lang w:val="en-IE" w:eastAsia="de-DE"/>
              </w:rPr>
              <w:br/>
              <w:t>(2011 -2021)</w:t>
            </w:r>
          </w:p>
        </w:tc>
      </w:tr>
      <w:tr w:rsidR="0004146B" w14:paraId="23A0CFF1" w14:textId="77777777" w:rsidTr="002643E8">
        <w:tc>
          <w:tcPr>
            <w:tcW w:w="3824" w:type="dxa"/>
            <w:vAlign w:val="center"/>
          </w:tcPr>
          <w:p w14:paraId="057C6B8E" w14:textId="77777777" w:rsidR="0004146B" w:rsidRDefault="0004146B" w:rsidP="002643E8">
            <w:pPr>
              <w:spacing w:after="100"/>
              <w:rPr>
                <w:szCs w:val="22"/>
                <w:lang w:val="de-CH" w:eastAsia="de-DE"/>
              </w:rPr>
            </w:pPr>
            <w:r>
              <w:rPr>
                <w:rFonts w:eastAsia="Times"/>
                <w:szCs w:val="22"/>
                <w:lang w:val="de-CH" w:eastAsia="de-DE"/>
              </w:rPr>
              <w:t>Total consumption [litres]</w:t>
            </w:r>
          </w:p>
        </w:tc>
        <w:tc>
          <w:tcPr>
            <w:tcW w:w="1700" w:type="dxa"/>
            <w:vAlign w:val="center"/>
          </w:tcPr>
          <w:p w14:paraId="1136DC76" w14:textId="77777777" w:rsidR="0004146B" w:rsidRDefault="0004146B" w:rsidP="002643E8">
            <w:pPr>
              <w:spacing w:after="100"/>
              <w:jc w:val="center"/>
              <w:rPr>
                <w:szCs w:val="22"/>
                <w:lang w:val="de-CH" w:eastAsia="de-DE"/>
              </w:rPr>
            </w:pPr>
            <w:r>
              <w:rPr>
                <w:rFonts w:eastAsia="Times"/>
                <w:szCs w:val="22"/>
                <w:lang w:val="de-CH" w:eastAsia="de-DE"/>
              </w:rPr>
              <w:t>190.152</w:t>
            </w:r>
          </w:p>
        </w:tc>
        <w:tc>
          <w:tcPr>
            <w:tcW w:w="2978" w:type="dxa"/>
            <w:vAlign w:val="center"/>
          </w:tcPr>
          <w:p w14:paraId="00B4655A" w14:textId="77777777" w:rsidR="0004146B" w:rsidRDefault="0004146B" w:rsidP="002643E8">
            <w:pPr>
              <w:spacing w:after="100"/>
              <w:jc w:val="center"/>
              <w:rPr>
                <w:szCs w:val="22"/>
                <w:lang w:val="de-CH" w:eastAsia="de-DE"/>
              </w:rPr>
            </w:pPr>
            <w:r>
              <w:rPr>
                <w:rFonts w:eastAsia="Times"/>
                <w:szCs w:val="22"/>
                <w:lang w:val="de-CH" w:eastAsia="de-DE"/>
              </w:rPr>
              <w:t>242.020</w:t>
            </w:r>
          </w:p>
        </w:tc>
      </w:tr>
      <w:tr w:rsidR="0004146B" w14:paraId="778026C5" w14:textId="77777777" w:rsidTr="002643E8">
        <w:tc>
          <w:tcPr>
            <w:tcW w:w="3824" w:type="dxa"/>
            <w:tcBorders>
              <w:bottom w:val="single" w:sz="12" w:space="0" w:color="000000"/>
            </w:tcBorders>
            <w:vAlign w:val="center"/>
          </w:tcPr>
          <w:p w14:paraId="6B560466" w14:textId="77777777" w:rsidR="0004146B" w:rsidRDefault="0004146B" w:rsidP="002643E8">
            <w:pPr>
              <w:spacing w:after="100"/>
              <w:rPr>
                <w:szCs w:val="22"/>
                <w:lang w:val="en-IE" w:eastAsia="de-DE"/>
              </w:rPr>
            </w:pPr>
            <w:r>
              <w:rPr>
                <w:rFonts w:eastAsia="Times"/>
                <w:szCs w:val="22"/>
                <w:lang w:val="en-IE" w:eastAsia="de-DE"/>
              </w:rPr>
              <w:t>Heated floor space [m²]</w:t>
            </w:r>
          </w:p>
        </w:tc>
        <w:tc>
          <w:tcPr>
            <w:tcW w:w="1700" w:type="dxa"/>
            <w:tcBorders>
              <w:bottom w:val="single" w:sz="12" w:space="0" w:color="000000"/>
            </w:tcBorders>
            <w:vAlign w:val="center"/>
          </w:tcPr>
          <w:p w14:paraId="5DF3BD11" w14:textId="77777777" w:rsidR="0004146B" w:rsidRDefault="0004146B" w:rsidP="002643E8">
            <w:pPr>
              <w:spacing w:after="100"/>
              <w:jc w:val="center"/>
              <w:rPr>
                <w:szCs w:val="22"/>
                <w:lang w:val="de-CH" w:eastAsia="de-DE"/>
              </w:rPr>
            </w:pPr>
            <w:r>
              <w:rPr>
                <w:rFonts w:eastAsia="Times"/>
                <w:szCs w:val="22"/>
                <w:lang w:val="de-CH" w:eastAsia="de-DE"/>
              </w:rPr>
              <w:t>914</w:t>
            </w:r>
          </w:p>
        </w:tc>
        <w:tc>
          <w:tcPr>
            <w:tcW w:w="2978" w:type="dxa"/>
            <w:tcBorders>
              <w:bottom w:val="single" w:sz="12" w:space="0" w:color="000000"/>
            </w:tcBorders>
            <w:vAlign w:val="center"/>
          </w:tcPr>
          <w:p w14:paraId="6AA92F15" w14:textId="77777777" w:rsidR="0004146B" w:rsidRDefault="0004146B" w:rsidP="002643E8">
            <w:pPr>
              <w:spacing w:after="100"/>
              <w:jc w:val="center"/>
              <w:rPr>
                <w:szCs w:val="22"/>
                <w:lang w:val="de-CH" w:eastAsia="de-DE"/>
              </w:rPr>
            </w:pPr>
            <w:r>
              <w:rPr>
                <w:rFonts w:eastAsia="Times"/>
                <w:szCs w:val="22"/>
                <w:lang w:val="de-CH" w:eastAsia="de-DE"/>
              </w:rPr>
              <w:t>2.118</w:t>
            </w:r>
          </w:p>
        </w:tc>
      </w:tr>
      <w:tr w:rsidR="0004146B" w14:paraId="74DC118D" w14:textId="77777777" w:rsidTr="002643E8">
        <w:tc>
          <w:tcPr>
            <w:tcW w:w="3824" w:type="dxa"/>
            <w:tcBorders>
              <w:top w:val="single" w:sz="12" w:space="0" w:color="000000"/>
            </w:tcBorders>
            <w:vAlign w:val="center"/>
          </w:tcPr>
          <w:p w14:paraId="0A5C5439" w14:textId="77777777" w:rsidR="0004146B" w:rsidRDefault="0004146B" w:rsidP="002643E8">
            <w:pPr>
              <w:spacing w:after="100"/>
              <w:rPr>
                <w:szCs w:val="22"/>
                <w:lang w:val="en-IE" w:eastAsia="de-DE"/>
              </w:rPr>
            </w:pPr>
            <w:r>
              <w:rPr>
                <w:rFonts w:eastAsia="Times"/>
                <w:szCs w:val="22"/>
                <w:lang w:val="en-IE" w:eastAsia="de-DE"/>
              </w:rPr>
              <w:t>Specific consumption [litres/year/m²]</w:t>
            </w:r>
          </w:p>
        </w:tc>
        <w:tc>
          <w:tcPr>
            <w:tcW w:w="1700" w:type="dxa"/>
            <w:tcBorders>
              <w:top w:val="single" w:sz="12" w:space="0" w:color="000000"/>
            </w:tcBorders>
            <w:vAlign w:val="center"/>
          </w:tcPr>
          <w:p w14:paraId="1317BD8A" w14:textId="77777777" w:rsidR="0004146B" w:rsidRDefault="0004146B" w:rsidP="002643E8">
            <w:pPr>
              <w:spacing w:after="100"/>
              <w:jc w:val="center"/>
              <w:rPr>
                <w:szCs w:val="22"/>
                <w:u w:val="double"/>
                <w:lang w:val="de-CH" w:eastAsia="de-DE"/>
              </w:rPr>
            </w:pPr>
            <w:r>
              <w:rPr>
                <w:rFonts w:eastAsia="Times"/>
                <w:szCs w:val="22"/>
                <w:u w:val="double"/>
                <w:lang w:val="de-CH" w:eastAsia="de-DE"/>
              </w:rPr>
              <w:t>208</w:t>
            </w:r>
          </w:p>
        </w:tc>
        <w:tc>
          <w:tcPr>
            <w:tcW w:w="2978" w:type="dxa"/>
            <w:tcBorders>
              <w:top w:val="single" w:sz="12" w:space="0" w:color="000000"/>
            </w:tcBorders>
            <w:vAlign w:val="center"/>
          </w:tcPr>
          <w:p w14:paraId="10CF1EC4" w14:textId="77777777" w:rsidR="0004146B" w:rsidRDefault="0004146B" w:rsidP="002643E8">
            <w:pPr>
              <w:spacing w:after="100"/>
              <w:jc w:val="center"/>
              <w:rPr>
                <w:szCs w:val="22"/>
                <w:u w:val="double"/>
                <w:lang w:val="de-CH" w:eastAsia="de-DE"/>
              </w:rPr>
            </w:pPr>
            <w:r>
              <w:rPr>
                <w:rFonts w:eastAsia="Times"/>
                <w:szCs w:val="22"/>
                <w:u w:val="double"/>
                <w:lang w:val="de-CH" w:eastAsia="de-DE"/>
              </w:rPr>
              <w:t>114</w:t>
            </w:r>
          </w:p>
        </w:tc>
      </w:tr>
    </w:tbl>
    <w:p w14:paraId="399A51F3" w14:textId="77777777" w:rsidR="0004146B" w:rsidRDefault="0004146B" w:rsidP="0004146B">
      <w:pPr>
        <w:suppressAutoHyphens/>
        <w:spacing w:before="120" w:after="120"/>
        <w:ind w:left="1134" w:hanging="1134"/>
        <w:rPr>
          <w:sz w:val="21"/>
          <w:szCs w:val="21"/>
          <w:lang w:eastAsia="en-GB"/>
        </w:rPr>
      </w:pPr>
      <w:r>
        <w:rPr>
          <w:b/>
          <w:sz w:val="21"/>
          <w:szCs w:val="21"/>
          <w:lang w:eastAsia="en-GB"/>
        </w:rPr>
        <w:t>Table 2:</w:t>
      </w:r>
      <w:r>
        <w:rPr>
          <w:sz w:val="21"/>
          <w:szCs w:val="21"/>
          <w:lang w:eastAsia="en-GB"/>
        </w:rPr>
        <w:tab/>
        <w:t>Fuel consumption comparison Neumayer-Station II and Neumayer-Station III</w:t>
      </w:r>
    </w:p>
    <w:p w14:paraId="70469757" w14:textId="77777777" w:rsidR="0004146B" w:rsidRDefault="0004146B" w:rsidP="0004146B">
      <w:pPr>
        <w:suppressAutoHyphens/>
        <w:spacing w:before="120" w:after="120"/>
        <w:rPr>
          <w:szCs w:val="28"/>
          <w:lang w:eastAsia="en-GB"/>
        </w:rPr>
      </w:pPr>
    </w:p>
    <w:p w14:paraId="5F28CA0F" w14:textId="77777777" w:rsidR="0004146B" w:rsidRDefault="0004146B" w:rsidP="0004146B">
      <w:pPr>
        <w:suppressAutoHyphens/>
        <w:spacing w:before="120" w:after="120"/>
        <w:rPr>
          <w:szCs w:val="28"/>
          <w:lang w:eastAsia="en-GB"/>
        </w:rPr>
      </w:pPr>
      <w:r>
        <w:rPr>
          <w:szCs w:val="28"/>
          <w:lang w:eastAsia="en-GB"/>
        </w:rPr>
        <w:t>These favourable operating values are achieved in the combination of:</w:t>
      </w:r>
    </w:p>
    <w:p w14:paraId="3ADC7931" w14:textId="77777777" w:rsidR="0004146B" w:rsidRDefault="0004146B" w:rsidP="0004146B">
      <w:pPr>
        <w:suppressAutoHyphens/>
        <w:spacing w:before="60"/>
        <w:ind w:left="357" w:hanging="357"/>
        <w:rPr>
          <w:szCs w:val="28"/>
          <w:lang w:eastAsia="en-GB"/>
        </w:rPr>
      </w:pPr>
      <w:r>
        <w:rPr>
          <w:szCs w:val="28"/>
          <w:lang w:eastAsia="en-GB"/>
        </w:rPr>
        <w:t>-</w:t>
      </w:r>
      <w:r>
        <w:rPr>
          <w:szCs w:val="28"/>
          <w:lang w:eastAsia="en-GB"/>
        </w:rPr>
        <w:tab/>
        <w:t>efficient energy management to utilise the electrical and thermal energy of the combined heat and power plant (CHP) units;</w:t>
      </w:r>
    </w:p>
    <w:p w14:paraId="37221B2D" w14:textId="77777777" w:rsidR="0004146B" w:rsidRDefault="0004146B" w:rsidP="0004146B">
      <w:pPr>
        <w:suppressAutoHyphens/>
        <w:spacing w:before="60"/>
        <w:ind w:left="357" w:hanging="357"/>
        <w:rPr>
          <w:szCs w:val="28"/>
          <w:lang w:eastAsia="en-GB"/>
        </w:rPr>
      </w:pPr>
      <w:r>
        <w:rPr>
          <w:szCs w:val="28"/>
          <w:lang w:eastAsia="en-GB"/>
        </w:rPr>
        <w:t>-</w:t>
      </w:r>
      <w:r>
        <w:rPr>
          <w:szCs w:val="28"/>
          <w:lang w:eastAsia="en-GB"/>
        </w:rPr>
        <w:tab/>
        <w:t>heat recovery from the exhaust air of the container modules and the power station;</w:t>
      </w:r>
    </w:p>
    <w:p w14:paraId="3279670A" w14:textId="77777777" w:rsidR="0004146B" w:rsidRDefault="0004146B" w:rsidP="0004146B">
      <w:pPr>
        <w:suppressAutoHyphens/>
        <w:spacing w:before="60"/>
        <w:ind w:left="357" w:hanging="357"/>
        <w:rPr>
          <w:szCs w:val="28"/>
          <w:lang w:eastAsia="en-GB"/>
        </w:rPr>
      </w:pPr>
      <w:r>
        <w:rPr>
          <w:szCs w:val="28"/>
          <w:lang w:eastAsia="en-GB"/>
        </w:rPr>
        <w:t>-</w:t>
      </w:r>
      <w:r>
        <w:rPr>
          <w:szCs w:val="28"/>
          <w:lang w:eastAsia="en-GB"/>
        </w:rPr>
        <w:tab/>
        <w:t>use of a special wind turbine suitable for the specific Antarctic conditions at NM III.</w:t>
      </w:r>
    </w:p>
    <w:p w14:paraId="7672AE5D" w14:textId="77777777" w:rsidR="0004146B" w:rsidRDefault="0004146B" w:rsidP="0004146B">
      <w:pPr>
        <w:suppressAutoHyphens/>
        <w:spacing w:before="120" w:after="120"/>
        <w:rPr>
          <w:szCs w:val="28"/>
          <w:lang w:eastAsia="en-GB"/>
        </w:rPr>
      </w:pPr>
    </w:p>
    <w:p w14:paraId="28982DC8" w14:textId="77777777" w:rsidR="0004146B" w:rsidRDefault="0004146B" w:rsidP="0004146B">
      <w:pPr>
        <w:suppressAutoHyphens/>
        <w:spacing w:before="120" w:after="120"/>
        <w:rPr>
          <w:szCs w:val="28"/>
          <w:lang w:eastAsia="en-GB"/>
        </w:rPr>
      </w:pPr>
      <w:r>
        <w:rPr>
          <w:szCs w:val="28"/>
          <w:lang w:eastAsia="en-GB"/>
        </w:rPr>
        <w:t>After 12 years of safe operation of the NM III station, the energy technology is to be successively renewed in the coming years. After a detailed inventory of the energy flows and requirements, a feasibility study (FS) was carried out to assess the potential and practicability of new alternative and environmentally friendly technologies to be used under polar conditions. The main target parameters of the subsequent optimisation investigations and calculations were the CO</w:t>
      </w:r>
      <w:r>
        <w:rPr>
          <w:szCs w:val="28"/>
          <w:vertAlign w:val="subscript"/>
          <w:lang w:eastAsia="en-GB"/>
        </w:rPr>
        <w:t>2</w:t>
      </w:r>
      <w:r>
        <w:rPr>
          <w:szCs w:val="28"/>
          <w:lang w:eastAsia="en-GB"/>
        </w:rPr>
        <w:t xml:space="preserve"> emissions and the total annual costs. In addition, the concept variables were dynamically simulated and analysed in detail using a Transient System Simulation Tool (TRNSYS), which allowed examination of concept variants and expansion states as well as dedicated parameter studies.</w:t>
      </w:r>
    </w:p>
    <w:p w14:paraId="71211F34" w14:textId="77777777" w:rsidR="0004146B" w:rsidRDefault="0004146B" w:rsidP="0004146B">
      <w:pPr>
        <w:suppressAutoHyphens/>
        <w:spacing w:before="240" w:after="60"/>
        <w:rPr>
          <w:b/>
          <w:sz w:val="24"/>
          <w:szCs w:val="28"/>
          <w:lang w:eastAsia="en-GB"/>
        </w:rPr>
      </w:pPr>
      <w:r>
        <w:rPr>
          <w:b/>
          <w:sz w:val="24"/>
          <w:szCs w:val="28"/>
          <w:lang w:eastAsia="en-GB"/>
        </w:rPr>
        <w:t>3.</w:t>
      </w:r>
      <w:r>
        <w:rPr>
          <w:b/>
          <w:sz w:val="24"/>
          <w:szCs w:val="28"/>
          <w:lang w:eastAsia="en-GB"/>
        </w:rPr>
        <w:tab/>
        <w:t>Key statements of the feasibility study</w:t>
      </w:r>
    </w:p>
    <w:p w14:paraId="1EB70E05" w14:textId="77777777" w:rsidR="0004146B" w:rsidRDefault="0004146B" w:rsidP="0004146B">
      <w:pPr>
        <w:suppressAutoHyphens/>
        <w:spacing w:before="120" w:after="120"/>
        <w:rPr>
          <w:szCs w:val="28"/>
          <w:lang w:eastAsia="en-GB"/>
        </w:rPr>
      </w:pPr>
      <w:r>
        <w:rPr>
          <w:szCs w:val="28"/>
          <w:u w:val="single"/>
          <w:lang w:eastAsia="en-GB"/>
        </w:rPr>
        <w:t>Economic and environmental optimum</w:t>
      </w:r>
      <w:r>
        <w:rPr>
          <w:szCs w:val="28"/>
          <w:lang w:eastAsia="en-GB"/>
        </w:rPr>
        <w:t>: In order to achieve an economic and environmental optimum when upgrading the operating technology, a balance between available renewable energy, thermal and electrical energy consumption and the respective installation costs has to be achieved. In the case of NM III, new combined heat and power plants (CHPs), additional wind turbines, photovoltaic (PV) plants and thermal and electrical storage systems are recommended.</w:t>
      </w:r>
    </w:p>
    <w:p w14:paraId="6FA1A0AB" w14:textId="77777777" w:rsidR="0004146B" w:rsidRDefault="0004146B" w:rsidP="0004146B">
      <w:pPr>
        <w:spacing w:before="120" w:after="120"/>
      </w:pPr>
      <w:r>
        <w:rPr>
          <w:szCs w:val="28"/>
          <w:u w:val="single"/>
          <w:lang w:eastAsia="en-GB"/>
        </w:rPr>
        <w:t>A battery electrical storage system (BESS) and a heat storage system:</w:t>
      </w:r>
      <w:r>
        <w:rPr>
          <w:szCs w:val="28"/>
          <w:lang w:eastAsia="en-GB"/>
        </w:rPr>
        <w:t xml:space="preserve"> Both systems will primarily be used to optimise the running time of the CHP units. The feature to shift energy quantities from times of wind power generation to times of demand is very limited. The evaluation of the available wind field around NM III shows that the duration of lulls (times with small wind speeds or no wind) would require a BESS in the MWh range to ensure a high level of self-sufficiency of the station.</w:t>
      </w:r>
    </w:p>
    <w:p w14:paraId="269DAB92" w14:textId="77777777" w:rsidR="0004146B" w:rsidRDefault="0004146B" w:rsidP="0004146B">
      <w:pPr>
        <w:suppressAutoHyphens/>
        <w:spacing w:before="120" w:after="120"/>
        <w:rPr>
          <w:szCs w:val="28"/>
          <w:lang w:eastAsia="en-GB"/>
        </w:rPr>
      </w:pPr>
      <w:r>
        <w:rPr>
          <w:szCs w:val="28"/>
          <w:u w:val="single"/>
          <w:lang w:eastAsia="en-GB"/>
        </w:rPr>
        <w:t>Power-to-heat technologies</w:t>
      </w:r>
      <w:r>
        <w:rPr>
          <w:szCs w:val="28"/>
          <w:lang w:eastAsia="en-GB"/>
        </w:rPr>
        <w:t>: With an increasing shift of the primary energy source from fossil energy to renewable electrical energy, the capacity of the heating register to generate thermal energy, to melt snow and heat the building, needs to be increased.</w:t>
      </w:r>
    </w:p>
    <w:p w14:paraId="09CBC5CD" w14:textId="77777777" w:rsidR="0004146B" w:rsidRDefault="0004146B" w:rsidP="0004146B">
      <w:pPr>
        <w:suppressAutoHyphens/>
        <w:spacing w:before="120" w:after="120"/>
        <w:rPr>
          <w:szCs w:val="28"/>
          <w:lang w:eastAsia="en-GB"/>
        </w:rPr>
      </w:pPr>
      <w:r>
        <w:rPr>
          <w:szCs w:val="28"/>
          <w:u w:val="single"/>
          <w:lang w:eastAsia="en-GB"/>
        </w:rPr>
        <w:t>Combined heat and power plants</w:t>
      </w:r>
      <w:r>
        <w:rPr>
          <w:szCs w:val="28"/>
          <w:lang w:eastAsia="en-GB"/>
        </w:rPr>
        <w:t>: In order to provide a safe energy supply, the provision of thermal and electrical energy from CHP units will continue. However, 2 module sizes are used in order to cover the energy demand (above the yield generated by renewable energy) adequately.</w:t>
      </w:r>
    </w:p>
    <w:p w14:paraId="69700111" w14:textId="77777777" w:rsidR="0004146B" w:rsidRDefault="0004146B" w:rsidP="0004146B">
      <w:pPr>
        <w:suppressAutoHyphens/>
        <w:spacing w:before="120" w:after="120"/>
        <w:rPr>
          <w:szCs w:val="28"/>
          <w:lang w:eastAsia="en-GB"/>
        </w:rPr>
      </w:pPr>
      <w:r>
        <w:rPr>
          <w:szCs w:val="28"/>
          <w:u w:val="single"/>
          <w:lang w:eastAsia="en-GB"/>
        </w:rPr>
        <w:t>General:</w:t>
      </w:r>
      <w:r>
        <w:rPr>
          <w:szCs w:val="28"/>
          <w:lang w:eastAsia="en-GB"/>
        </w:rPr>
        <w:t xml:space="preserve"> With increasing contribution of renewable energy, the electric power demand in the system increases, whereas the share of CHP units in covering the heat demand decreases from approx. 100% to a maximum of 56%. The heat demand is covered by power-to-heat technologies (e.g. electric heating coils) and no longer only by recuperating the waste heat from the CHP units. The share of renewable energy in the total electricity demand increases from currently 5% to up to 73% (depending on the chosen options and configuration levels).</w:t>
      </w:r>
    </w:p>
    <w:p w14:paraId="08E5E0D7" w14:textId="77777777" w:rsidR="0004146B" w:rsidRDefault="0004146B" w:rsidP="0004146B">
      <w:pPr>
        <w:suppressAutoHyphens/>
        <w:spacing w:before="240" w:after="60"/>
        <w:rPr>
          <w:b/>
          <w:sz w:val="24"/>
          <w:szCs w:val="28"/>
          <w:lang w:eastAsia="en-GB"/>
        </w:rPr>
      </w:pPr>
      <w:r>
        <w:rPr>
          <w:b/>
          <w:sz w:val="24"/>
          <w:szCs w:val="28"/>
          <w:lang w:eastAsia="en-GB"/>
        </w:rPr>
        <w:lastRenderedPageBreak/>
        <w:t>4.</w:t>
      </w:r>
      <w:r>
        <w:rPr>
          <w:b/>
          <w:sz w:val="24"/>
          <w:szCs w:val="28"/>
          <w:lang w:eastAsia="en-GB"/>
        </w:rPr>
        <w:tab/>
        <w:t>Start of upgrade</w:t>
      </w:r>
    </w:p>
    <w:p w14:paraId="75EF4EA6" w14:textId="77777777" w:rsidR="0004146B" w:rsidRDefault="0004146B" w:rsidP="0004146B">
      <w:pPr>
        <w:suppressAutoHyphens/>
        <w:spacing w:before="120" w:after="120"/>
        <w:rPr>
          <w:szCs w:val="28"/>
          <w:lang w:eastAsia="en-GB"/>
        </w:rPr>
      </w:pPr>
      <w:r>
        <w:rPr>
          <w:szCs w:val="28"/>
          <w:lang w:eastAsia="en-GB"/>
        </w:rPr>
        <w:t>The feasibility study clearly showed that the wind turbine is the most important component of the conversion to renewable energy production at NM III. For this purpose, a suitable Vertical Axis Wind Turbine VAWT was identified on the market and modernised for polar operation. In addition to replacing adhesives and resins in the generator and using steel suitable for use in low-temperatures, the characteristic power curve of the turbines was adapted to the actual air density conditions at NM III. The turbine proved its suitability during a trial run in a climate-controlled test chamber.</w:t>
      </w:r>
    </w:p>
    <w:p w14:paraId="78A93F7F" w14:textId="77777777" w:rsidR="0004146B" w:rsidRDefault="0004146B" w:rsidP="0004146B">
      <w:pPr>
        <w:suppressAutoHyphens/>
        <w:spacing w:before="120" w:after="120"/>
        <w:rPr>
          <w:szCs w:val="28"/>
          <w:lang w:eastAsia="en-GB"/>
        </w:rPr>
      </w:pPr>
      <w:r>
        <w:rPr>
          <w:szCs w:val="28"/>
          <w:lang w:eastAsia="en-GB"/>
        </w:rPr>
        <w:t>In order to compensate for the annual increase in snow level of around 100 cm, the wind turbine has to be raised once a year. The new design of the foundation in the snow/firn and the mast ensures this process.</w:t>
      </w:r>
    </w:p>
    <w:p w14:paraId="0FF5DB75" w14:textId="77777777" w:rsidR="0004146B" w:rsidRDefault="0004146B" w:rsidP="0004146B">
      <w:pPr>
        <w:suppressAutoHyphens/>
        <w:spacing w:before="120" w:after="120"/>
        <w:rPr>
          <w:szCs w:val="28"/>
          <w:lang w:eastAsia="en-GB"/>
        </w:rPr>
      </w:pPr>
      <w:r>
        <w:rPr>
          <w:szCs w:val="28"/>
          <w:lang w:eastAsia="en-GB"/>
        </w:rPr>
        <w:t>It is planned to test the operation of the new wind turbine plant, which has the nominal power of P=50 kW, after its installation in January 2023 for at least one year.</w:t>
      </w:r>
    </w:p>
    <w:p w14:paraId="65F0D5C4" w14:textId="77777777" w:rsidR="0004146B" w:rsidRDefault="0004146B" w:rsidP="0004146B">
      <w:pPr>
        <w:suppressAutoHyphens/>
        <w:spacing w:before="120" w:after="120"/>
        <w:rPr>
          <w:szCs w:val="28"/>
          <w:lang w:eastAsia="en-GB"/>
        </w:rPr>
      </w:pPr>
      <w:r>
        <w:rPr>
          <w:szCs w:val="28"/>
          <w:lang w:eastAsia="en-GB"/>
        </w:rPr>
        <w:t>The implementation of further steps in the energetic modernisation of NM III are planned once the new wind turbine has demonstrated its reliability in the test operation.</w:t>
      </w:r>
    </w:p>
    <w:p w14:paraId="06231670" w14:textId="77777777" w:rsidR="0004146B" w:rsidRDefault="0004146B" w:rsidP="00952E9F"/>
    <w:sectPr w:rsidR="0004146B"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2553" w14:textId="77777777" w:rsidR="00000000" w:rsidRDefault="0004146B">
      <w:r>
        <w:separator/>
      </w:r>
    </w:p>
  </w:endnote>
  <w:endnote w:type="continuationSeparator" w:id="0">
    <w:p w14:paraId="5F30C61C" w14:textId="77777777" w:rsidR="00000000" w:rsidRDefault="0004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3A25" w14:textId="77777777" w:rsidR="00FA0B9F" w:rsidRDefault="0004146B" w:rsidP="00CF5C82">
    <w:pPr>
      <w:framePr w:wrap="around" w:vAnchor="text" w:hAnchor="margin" w:xAlign="right" w:y="1"/>
    </w:pPr>
    <w:r>
      <w:fldChar w:fldCharType="begin"/>
    </w:r>
    <w:r>
      <w:instrText xml:space="preserve">PAGE  </w:instrText>
    </w:r>
    <w:r>
      <w:fldChar w:fldCharType="separate"/>
    </w:r>
    <w:r>
      <w:fldChar w:fldCharType="end"/>
    </w:r>
  </w:p>
  <w:p w14:paraId="07FF8047" w14:textId="77777777" w:rsidR="00FA0B9F" w:rsidRDefault="0004146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FF49" w14:textId="77777777" w:rsidR="00FA0B9F" w:rsidRDefault="0004146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F78686A" w14:textId="1DCCE16E" w:rsidR="00FA0B9F" w:rsidRDefault="0004146B" w:rsidP="0004146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342E" w14:textId="77777777" w:rsidR="0004146B" w:rsidRDefault="0004146B">
    <w:pPr>
      <w:ind w:right="360"/>
    </w:pPr>
    <w:r>
      <w:rPr>
        <w:noProof/>
      </w:rPr>
      <mc:AlternateContent>
        <mc:Choice Requires="wps">
          <w:drawing>
            <wp:anchor distT="0" distB="0" distL="0" distR="0" simplePos="0" relativeHeight="251659264" behindDoc="0" locked="0" layoutInCell="0" allowOverlap="1" wp14:anchorId="57F1E991" wp14:editId="769A4F77">
              <wp:simplePos x="0" y="0"/>
              <wp:positionH relativeFrom="margin">
                <wp:align>center</wp:align>
              </wp:positionH>
              <wp:positionV relativeFrom="paragraph">
                <wp:posOffset>635</wp:posOffset>
              </wp:positionV>
              <wp:extent cx="70485" cy="16065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70485" cy="160655"/>
                      </a:xfrm>
                      <a:prstGeom prst="rect">
                        <a:avLst/>
                      </a:prstGeom>
                      <a:solidFill>
                        <a:srgbClr val="FFFFFF">
                          <a:alpha val="0"/>
                        </a:srgbClr>
                      </a:solidFill>
                    </wps:spPr>
                    <wps:txbx>
                      <w:txbxContent>
                        <w:p w14:paraId="7955E0FF" w14:textId="77777777" w:rsidR="0004146B" w:rsidRDefault="0004146B">
                          <w:r>
                            <w:fldChar w:fldCharType="begin"/>
                          </w:r>
                          <w:r>
                            <w:instrText>PAGE</w:instrText>
                          </w:r>
                          <w:r>
                            <w:fldChar w:fldCharType="separate"/>
                          </w:r>
                          <w:r>
                            <w:t>3</w:t>
                          </w:r>
                          <w:r>
                            <w:fldChar w:fldCharType="end"/>
                          </w:r>
                        </w:p>
                      </w:txbxContent>
                    </wps:txbx>
                    <wps:bodyPr lIns="0" tIns="0" rIns="0" bIns="0" anchor="t">
                      <a:spAutoFit/>
                    </wps:bodyPr>
                  </wps:wsp>
                </a:graphicData>
              </a:graphic>
            </wp:anchor>
          </w:drawing>
        </mc:Choice>
        <mc:Fallback>
          <w:pict>
            <v:shapetype w14:anchorId="57F1E991" id="_x0000_t202" coordsize="21600,21600" o:spt="202" path="m,l,21600r21600,l21600,xe">
              <v:stroke joinstyle="miter"/>
              <v:path gradientshapeok="t" o:connecttype="rect"/>
            </v:shapetype>
            <v:shape id="Cuadro de texto 5" o:spid="_x0000_s1026" type="#_x0000_t202" style="position:absolute;margin-left:0;margin-top:.05pt;width:5.55pt;height:12.6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" o:allowincell="f" stroked="f">
              <v:fill opacity="0"/>
              <v:textbox style="mso-fit-shape-to-text:t" inset="0,0,0,0">
                <w:txbxContent>
                  <w:p w14:paraId="7955E0FF" w14:textId="77777777" w:rsidR="0004146B" w:rsidRDefault="0004146B">
                    <w:r>
                      <w:fldChar w:fldCharType="begin"/>
                    </w:r>
                    <w:r>
                      <w:instrText>PAGE</w:instrText>
                    </w:r>
                    <w:r>
                      <w:fldChar w:fldCharType="separate"/>
                    </w:r>
                    <w:r>
                      <w:t>3</w:t>
                    </w:r>
                    <w:r>
                      <w:fldChar w:fldCharType="end"/>
                    </w:r>
                  </w:p>
                </w:txbxContent>
              </v:textbox>
              <w10:wrap type="square" anchorx="margin"/>
            </v:shape>
          </w:pict>
        </mc:Fallback>
      </mc:AlternateContent>
    </w:r>
  </w:p>
  <w:p w14:paraId="40858A93" w14:textId="77777777" w:rsidR="0004146B" w:rsidRDefault="000414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F508" w14:textId="77777777" w:rsidR="00E311C9" w:rsidRDefault="0004146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615ECA0" w14:textId="77777777" w:rsidR="00E311C9" w:rsidRDefault="0004146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CF96" w14:textId="77777777" w:rsidR="00000000" w:rsidRDefault="0004146B">
      <w:r>
        <w:separator/>
      </w:r>
    </w:p>
  </w:footnote>
  <w:footnote w:type="continuationSeparator" w:id="0">
    <w:p w14:paraId="0E4CEE73" w14:textId="77777777" w:rsidR="00000000" w:rsidRDefault="0004146B">
      <w:r>
        <w:continuationSeparator/>
      </w:r>
    </w:p>
  </w:footnote>
  <w:footnote w:id="1">
    <w:p w14:paraId="6345BE3B" w14:textId="77777777" w:rsidR="0004146B" w:rsidRDefault="0004146B" w:rsidP="0004146B">
      <w:pPr>
        <w:pStyle w:val="Textonotapie"/>
        <w:ind w:left="284" w:hanging="284"/>
        <w:rPr>
          <w:rStyle w:val="FootnoteCharacters"/>
          <w:sz w:val="18"/>
        </w:rPr>
      </w:pPr>
      <w:r>
        <w:rPr>
          <w:rStyle w:val="Funotenzeichen"/>
        </w:rPr>
        <w:footnoteRef/>
      </w:r>
      <w:r>
        <w:rPr>
          <w:rStyle w:val="FootnoteCharacters"/>
          <w:sz w:val="18"/>
        </w:rPr>
        <w:tab/>
        <w:t>see ATCM XLIV Agenda Item 16 and CEP XXIV Agenda Item 7 and SCAR Lecture at ATCM 2022</w:t>
      </w:r>
    </w:p>
  </w:footnote>
  <w:footnote w:id="2">
    <w:p w14:paraId="059FCB35" w14:textId="77777777" w:rsidR="0004146B" w:rsidRDefault="0004146B" w:rsidP="0004146B">
      <w:pPr>
        <w:pStyle w:val="Textonotapie"/>
        <w:ind w:left="284" w:hanging="284"/>
        <w:rPr>
          <w:sz w:val="18"/>
        </w:rPr>
      </w:pPr>
      <w:r>
        <w:rPr>
          <w:rStyle w:val="Funotenzeichen"/>
        </w:rPr>
        <w:footnoteRef/>
      </w:r>
      <w:r>
        <w:rPr>
          <w:sz w:val="18"/>
        </w:rPr>
        <w:tab/>
        <w:t>e.g. Resolution 8 (2021) "Antarctica in Changing Climate"</w:t>
      </w:r>
    </w:p>
  </w:footnote>
  <w:footnote w:id="3">
    <w:p w14:paraId="5E4367B3" w14:textId="77777777" w:rsidR="0004146B" w:rsidRDefault="0004146B" w:rsidP="0004146B">
      <w:pPr>
        <w:pStyle w:val="Textonotapie"/>
        <w:ind w:left="284" w:hanging="284"/>
        <w:rPr>
          <w:sz w:val="18"/>
        </w:rPr>
      </w:pPr>
      <w:r>
        <w:rPr>
          <w:rStyle w:val="Funotenzeichen"/>
        </w:rPr>
        <w:footnoteRef/>
      </w:r>
      <w:r>
        <w:rPr>
          <w:sz w:val="18"/>
        </w:rPr>
        <w:tab/>
        <w:t>e.g. the CEP Climate Change Response Work Programme</w:t>
      </w:r>
    </w:p>
  </w:footnote>
  <w:footnote w:id="4">
    <w:p w14:paraId="5AEE27C0" w14:textId="77777777" w:rsidR="0004146B" w:rsidRDefault="0004146B" w:rsidP="0004146B">
      <w:pPr>
        <w:pStyle w:val="Textonotapie"/>
        <w:ind w:left="284" w:hanging="284"/>
        <w:rPr>
          <w:sz w:val="18"/>
        </w:rPr>
      </w:pPr>
      <w:r>
        <w:rPr>
          <w:rStyle w:val="Funotenzeichen"/>
        </w:rPr>
        <w:footnoteRef/>
      </w:r>
      <w:r>
        <w:rPr>
          <w:sz w:val="18"/>
        </w:rPr>
        <w:tab/>
        <w:t xml:space="preserve">See </w:t>
      </w:r>
      <w:hyperlink r:id="rId1">
        <w:r>
          <w:rPr>
            <w:rStyle w:val="Internetverknpfung"/>
            <w:sz w:val="18"/>
          </w:rPr>
          <w:t>https://www.awi.de/en/expedition/stations/neumayer-station-iii.html</w:t>
        </w:r>
      </w:hyperlink>
      <w:r>
        <w:rPr>
          <w:sz w:val="18"/>
        </w:rPr>
        <w:t xml:space="preserve"> </w:t>
      </w:r>
    </w:p>
  </w:footnote>
  <w:footnote w:id="5">
    <w:p w14:paraId="7D77D5E6" w14:textId="77777777" w:rsidR="0004146B" w:rsidRDefault="0004146B" w:rsidP="0004146B">
      <w:pPr>
        <w:pStyle w:val="Textonotapie"/>
        <w:ind w:left="284" w:hanging="284"/>
        <w:rPr>
          <w:sz w:val="18"/>
        </w:rPr>
      </w:pPr>
      <w:r>
        <w:rPr>
          <w:rStyle w:val="Funotenzeichen"/>
        </w:rPr>
        <w:footnoteRef/>
      </w:r>
      <w:r>
        <w:rPr>
          <w:sz w:val="18"/>
        </w:rPr>
        <w:tab/>
        <w:t>XXXII ATCM IP 114: Neumayer Station III Completion of construction and start of pilot operation in February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64713" w14:paraId="762517D6" w14:textId="77777777" w:rsidTr="00490760">
      <w:trPr>
        <w:trHeight w:val="344"/>
        <w:jc w:val="center"/>
      </w:trPr>
      <w:tc>
        <w:tcPr>
          <w:tcW w:w="5495" w:type="dxa"/>
        </w:tcPr>
        <w:p w14:paraId="74D0109C" w14:textId="77777777" w:rsidR="00DB7C09" w:rsidRDefault="0004146B" w:rsidP="00F968D4"/>
      </w:tc>
      <w:tc>
        <w:tcPr>
          <w:tcW w:w="4253" w:type="dxa"/>
          <w:gridSpan w:val="2"/>
        </w:tcPr>
        <w:p w14:paraId="6D1A160C" w14:textId="77777777" w:rsidR="00DB7C09" w:rsidRPr="00BD47E4" w:rsidRDefault="0004146B" w:rsidP="002A07BC">
          <w:pPr>
            <w:jc w:val="right"/>
            <w:rPr>
              <w:b/>
              <w:sz w:val="32"/>
              <w:szCs w:val="32"/>
            </w:rPr>
          </w:pPr>
          <w:bookmarkStart w:id="2" w:name="type"/>
          <w:r w:rsidRPr="00BD47E4">
            <w:rPr>
              <w:b/>
              <w:sz w:val="32"/>
              <w:szCs w:val="32"/>
            </w:rPr>
            <w:t>IP</w:t>
          </w:r>
          <w:bookmarkEnd w:id="2"/>
        </w:p>
      </w:tc>
      <w:tc>
        <w:tcPr>
          <w:tcW w:w="1524" w:type="dxa"/>
          <w:gridSpan w:val="2"/>
        </w:tcPr>
        <w:p w14:paraId="1CCCC16C" w14:textId="77777777" w:rsidR="00DB7C09" w:rsidRPr="00BD47E4" w:rsidRDefault="0004146B" w:rsidP="00DB7C09">
          <w:pPr>
            <w:rPr>
              <w:b/>
              <w:sz w:val="32"/>
              <w:szCs w:val="32"/>
            </w:rPr>
          </w:pPr>
          <w:bookmarkStart w:id="3" w:name="number"/>
          <w:r w:rsidRPr="00BD47E4">
            <w:rPr>
              <w:b/>
              <w:sz w:val="32"/>
              <w:szCs w:val="32"/>
            </w:rPr>
            <w:t>70</w:t>
          </w:r>
          <w:bookmarkEnd w:id="3"/>
        </w:p>
      </w:tc>
    </w:tr>
    <w:tr w:rsidR="00864713" w14:paraId="7DAB4B71" w14:textId="77777777" w:rsidTr="00490760">
      <w:trPr>
        <w:trHeight w:val="2165"/>
        <w:jc w:val="center"/>
      </w:trPr>
      <w:tc>
        <w:tcPr>
          <w:tcW w:w="5495" w:type="dxa"/>
        </w:tcPr>
        <w:p w14:paraId="08105126" w14:textId="77777777" w:rsidR="00490760" w:rsidRPr="00EE4D48" w:rsidRDefault="0004146B" w:rsidP="002A07BC">
          <w:pPr>
            <w:rPr>
              <w:b/>
              <w:sz w:val="28"/>
              <w:szCs w:val="28"/>
            </w:rPr>
          </w:pPr>
          <w:r>
            <w:rPr>
              <w:noProof/>
            </w:rPr>
            <w:drawing>
              <wp:inline distT="0" distB="0" distL="0" distR="0" wp14:anchorId="26033EC9" wp14:editId="658C6767">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9312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505E190" w14:textId="77777777" w:rsidR="00490760" w:rsidRPr="00FE5146" w:rsidRDefault="0004146B" w:rsidP="00490760">
          <w:pPr>
            <w:jc w:val="right"/>
            <w:rPr>
              <w:sz w:val="144"/>
              <w:szCs w:val="144"/>
            </w:rPr>
          </w:pPr>
          <w:r w:rsidRPr="00FE5146">
            <w:rPr>
              <w:sz w:val="144"/>
              <w:szCs w:val="144"/>
            </w:rPr>
            <w:t>ENG</w:t>
          </w:r>
        </w:p>
      </w:tc>
    </w:tr>
    <w:tr w:rsidR="00864713" w14:paraId="5578DD05" w14:textId="77777777" w:rsidTr="00BD47E4">
      <w:trPr>
        <w:trHeight w:val="409"/>
        <w:jc w:val="center"/>
      </w:trPr>
      <w:tc>
        <w:tcPr>
          <w:tcW w:w="9039" w:type="dxa"/>
          <w:gridSpan w:val="2"/>
        </w:tcPr>
        <w:p w14:paraId="2F7A3140" w14:textId="77777777" w:rsidR="00BD47E4" w:rsidRDefault="0004146B" w:rsidP="002C30DA">
          <w:pPr>
            <w:jc w:val="right"/>
          </w:pPr>
          <w:r>
            <w:t>Agenda Item:</w:t>
          </w:r>
        </w:p>
      </w:tc>
      <w:tc>
        <w:tcPr>
          <w:tcW w:w="1843" w:type="dxa"/>
          <w:gridSpan w:val="2"/>
        </w:tcPr>
        <w:p w14:paraId="7DC0402F" w14:textId="77777777" w:rsidR="00BD47E4" w:rsidRDefault="0004146B" w:rsidP="002C30DA">
          <w:pPr>
            <w:jc w:val="right"/>
          </w:pPr>
          <w:bookmarkStart w:id="4" w:name="agenda"/>
          <w:r>
            <w:t>ATCM 13</w:t>
          </w:r>
          <w:bookmarkEnd w:id="4"/>
        </w:p>
      </w:tc>
      <w:tc>
        <w:tcPr>
          <w:tcW w:w="390" w:type="dxa"/>
        </w:tcPr>
        <w:p w14:paraId="536B4668" w14:textId="77777777" w:rsidR="00BD47E4" w:rsidRDefault="0004146B" w:rsidP="00387A65">
          <w:pPr>
            <w:jc w:val="right"/>
          </w:pPr>
        </w:p>
      </w:tc>
    </w:tr>
    <w:tr w:rsidR="00864713" w14:paraId="3F857B8E" w14:textId="77777777" w:rsidTr="00BD47E4">
      <w:trPr>
        <w:trHeight w:val="397"/>
        <w:jc w:val="center"/>
      </w:trPr>
      <w:tc>
        <w:tcPr>
          <w:tcW w:w="9039" w:type="dxa"/>
          <w:gridSpan w:val="2"/>
        </w:tcPr>
        <w:p w14:paraId="18C3EF79" w14:textId="77777777" w:rsidR="00BD47E4" w:rsidRDefault="0004146B" w:rsidP="002C30DA">
          <w:pPr>
            <w:jc w:val="right"/>
          </w:pPr>
          <w:r>
            <w:t>Presented by:</w:t>
          </w:r>
        </w:p>
      </w:tc>
      <w:tc>
        <w:tcPr>
          <w:tcW w:w="1843" w:type="dxa"/>
          <w:gridSpan w:val="2"/>
        </w:tcPr>
        <w:p w14:paraId="2FC6A297" w14:textId="77777777" w:rsidR="00BD47E4" w:rsidRDefault="0004146B" w:rsidP="002C30DA">
          <w:pPr>
            <w:jc w:val="right"/>
          </w:pPr>
          <w:bookmarkStart w:id="5" w:name="party"/>
          <w:r>
            <w:t>Germany</w:t>
          </w:r>
          <w:bookmarkEnd w:id="5"/>
        </w:p>
      </w:tc>
      <w:tc>
        <w:tcPr>
          <w:tcW w:w="390" w:type="dxa"/>
        </w:tcPr>
        <w:p w14:paraId="72584615" w14:textId="77777777" w:rsidR="00BD47E4" w:rsidRDefault="0004146B" w:rsidP="00387A65">
          <w:pPr>
            <w:jc w:val="right"/>
          </w:pPr>
        </w:p>
      </w:tc>
    </w:tr>
    <w:tr w:rsidR="00864713" w14:paraId="37BE2EFC" w14:textId="77777777" w:rsidTr="00BD47E4">
      <w:trPr>
        <w:trHeight w:val="409"/>
        <w:jc w:val="center"/>
      </w:trPr>
      <w:tc>
        <w:tcPr>
          <w:tcW w:w="9039" w:type="dxa"/>
          <w:gridSpan w:val="2"/>
        </w:tcPr>
        <w:p w14:paraId="7EE1CE06" w14:textId="77777777" w:rsidR="00BD47E4" w:rsidRDefault="0004146B" w:rsidP="002C30DA">
          <w:pPr>
            <w:jc w:val="right"/>
          </w:pPr>
          <w:r>
            <w:t>Original:</w:t>
          </w:r>
        </w:p>
      </w:tc>
      <w:tc>
        <w:tcPr>
          <w:tcW w:w="1843" w:type="dxa"/>
          <w:gridSpan w:val="2"/>
        </w:tcPr>
        <w:p w14:paraId="37A9BB69" w14:textId="77777777" w:rsidR="00BD47E4" w:rsidRDefault="0004146B" w:rsidP="002C30DA">
          <w:pPr>
            <w:jc w:val="right"/>
          </w:pPr>
          <w:bookmarkStart w:id="6" w:name="language"/>
          <w:r>
            <w:t>English</w:t>
          </w:r>
          <w:bookmarkEnd w:id="6"/>
        </w:p>
      </w:tc>
      <w:tc>
        <w:tcPr>
          <w:tcW w:w="390" w:type="dxa"/>
        </w:tcPr>
        <w:p w14:paraId="05876F1C" w14:textId="77777777" w:rsidR="00BD47E4" w:rsidRDefault="0004146B" w:rsidP="00387A65">
          <w:pPr>
            <w:jc w:val="right"/>
          </w:pPr>
        </w:p>
      </w:tc>
    </w:tr>
    <w:tr w:rsidR="00864713" w14:paraId="4C1ED1B2" w14:textId="77777777" w:rsidTr="00BD47E4">
      <w:trPr>
        <w:trHeight w:val="409"/>
        <w:jc w:val="center"/>
      </w:trPr>
      <w:tc>
        <w:tcPr>
          <w:tcW w:w="9039" w:type="dxa"/>
          <w:gridSpan w:val="2"/>
        </w:tcPr>
        <w:p w14:paraId="161D3AAA" w14:textId="77777777" w:rsidR="0097629D" w:rsidRDefault="0004146B" w:rsidP="002C30DA">
          <w:pPr>
            <w:jc w:val="right"/>
          </w:pPr>
          <w:r>
            <w:t>Submitted:</w:t>
          </w:r>
        </w:p>
      </w:tc>
      <w:tc>
        <w:tcPr>
          <w:tcW w:w="1843" w:type="dxa"/>
          <w:gridSpan w:val="2"/>
        </w:tcPr>
        <w:p w14:paraId="7A603950" w14:textId="77777777" w:rsidR="0097629D" w:rsidRDefault="0004146B" w:rsidP="0097629D">
          <w:pPr>
            <w:jc w:val="right"/>
          </w:pPr>
          <w:bookmarkStart w:id="7" w:name="date_submission"/>
          <w:r>
            <w:t>22/4/2022</w:t>
          </w:r>
          <w:bookmarkEnd w:id="7"/>
        </w:p>
      </w:tc>
      <w:tc>
        <w:tcPr>
          <w:tcW w:w="390" w:type="dxa"/>
        </w:tcPr>
        <w:p w14:paraId="58839CAF" w14:textId="77777777" w:rsidR="0097629D" w:rsidRDefault="0004146B" w:rsidP="00387A65">
          <w:pPr>
            <w:jc w:val="right"/>
          </w:pPr>
        </w:p>
      </w:tc>
    </w:tr>
  </w:tbl>
  <w:p w14:paraId="555F77A0" w14:textId="77777777" w:rsidR="00AE5DD0" w:rsidRDefault="000414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69C6" w14:textId="77777777" w:rsidR="0004146B" w:rsidRDefault="0004146B"/>
  <w:tbl>
    <w:tblPr>
      <w:tblW w:w="11026" w:type="dxa"/>
      <w:jc w:val="center"/>
      <w:tblLook w:val="01E0" w:firstRow="1" w:lastRow="1" w:firstColumn="1" w:lastColumn="1" w:noHBand="0" w:noVBand="0"/>
    </w:tblPr>
    <w:tblGrid>
      <w:gridCol w:w="9694"/>
      <w:gridCol w:w="1332"/>
    </w:tblGrid>
    <w:tr w:rsidR="0004146B" w14:paraId="65C36458" w14:textId="77777777" w:rsidTr="002643E8">
      <w:trPr>
        <w:trHeight w:val="354"/>
        <w:jc w:val="center"/>
      </w:trPr>
      <w:tc>
        <w:tcPr>
          <w:tcW w:w="9694" w:type="dxa"/>
        </w:tcPr>
        <w:p w14:paraId="4CFBD5D4" w14:textId="77777777" w:rsidR="0004146B" w:rsidRPr="00BD47E4" w:rsidRDefault="0004146B" w:rsidP="0004146B">
          <w:pPr>
            <w:jc w:val="right"/>
            <w:rPr>
              <w:b/>
              <w:sz w:val="32"/>
              <w:szCs w:val="32"/>
            </w:rPr>
          </w:pPr>
          <w:r>
            <w:rPr>
              <w:b/>
              <w:sz w:val="32"/>
              <w:szCs w:val="32"/>
            </w:rPr>
            <w:t>IP</w:t>
          </w:r>
        </w:p>
      </w:tc>
      <w:tc>
        <w:tcPr>
          <w:tcW w:w="1332" w:type="dxa"/>
        </w:tcPr>
        <w:p w14:paraId="7447137C" w14:textId="77777777" w:rsidR="0004146B" w:rsidRPr="00BD47E4" w:rsidRDefault="0004146B" w:rsidP="0004146B">
          <w:pPr>
            <w:rPr>
              <w:b/>
              <w:sz w:val="32"/>
              <w:szCs w:val="32"/>
            </w:rPr>
          </w:pPr>
          <w:r>
            <w:rPr>
              <w:b/>
              <w:sz w:val="32"/>
              <w:szCs w:val="32"/>
            </w:rPr>
            <w:t>70</w:t>
          </w:r>
        </w:p>
      </w:tc>
    </w:tr>
  </w:tbl>
  <w:p w14:paraId="2F5ACEA9" w14:textId="77777777" w:rsidR="0004146B" w:rsidRDefault="000414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64713" w14:paraId="39AE1474" w14:textId="77777777">
      <w:trPr>
        <w:trHeight w:val="354"/>
        <w:jc w:val="center"/>
      </w:trPr>
      <w:tc>
        <w:tcPr>
          <w:tcW w:w="9694" w:type="dxa"/>
        </w:tcPr>
        <w:p w14:paraId="199C0954" w14:textId="5CA1C95F" w:rsidR="00AE5DD0" w:rsidRPr="00BD47E4" w:rsidRDefault="0004146B" w:rsidP="00C26F2D">
          <w:pPr>
            <w:jc w:val="right"/>
            <w:rPr>
              <w:b/>
              <w:sz w:val="32"/>
              <w:szCs w:val="32"/>
            </w:rPr>
          </w:pPr>
          <w:r>
            <w:rPr>
              <w:b/>
              <w:sz w:val="32"/>
              <w:szCs w:val="32"/>
            </w:rPr>
            <w:t>IP</w:t>
          </w:r>
        </w:p>
      </w:tc>
      <w:tc>
        <w:tcPr>
          <w:tcW w:w="1332" w:type="dxa"/>
        </w:tcPr>
        <w:p w14:paraId="121E9104" w14:textId="19437066" w:rsidR="00AE5DD0" w:rsidRPr="00BD47E4" w:rsidRDefault="0004146B" w:rsidP="00080F4C">
          <w:pPr>
            <w:rPr>
              <w:b/>
              <w:sz w:val="32"/>
              <w:szCs w:val="32"/>
            </w:rPr>
          </w:pPr>
          <w:r>
            <w:rPr>
              <w:b/>
              <w:sz w:val="32"/>
              <w:szCs w:val="32"/>
            </w:rPr>
            <w:t>70</w:t>
          </w:r>
        </w:p>
      </w:tc>
    </w:tr>
  </w:tbl>
  <w:p w14:paraId="66538359" w14:textId="77777777" w:rsidR="00AE5DD0" w:rsidRDefault="000414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E6A8C1E">
      <w:start w:val="1"/>
      <w:numFmt w:val="bullet"/>
      <w:pStyle w:val="ATSBullet1"/>
      <w:lvlText w:val=""/>
      <w:lvlJc w:val="left"/>
      <w:pPr>
        <w:tabs>
          <w:tab w:val="num" w:pos="360"/>
        </w:tabs>
        <w:ind w:left="360" w:hanging="360"/>
      </w:pPr>
      <w:rPr>
        <w:rFonts w:ascii="Symbol" w:hAnsi="Symbol" w:hint="default"/>
        <w:color w:val="auto"/>
      </w:rPr>
    </w:lvl>
    <w:lvl w:ilvl="1" w:tplc="E7A8A0EA" w:tentative="1">
      <w:start w:val="1"/>
      <w:numFmt w:val="bullet"/>
      <w:lvlText w:val="o"/>
      <w:lvlJc w:val="left"/>
      <w:pPr>
        <w:tabs>
          <w:tab w:val="num" w:pos="1440"/>
        </w:tabs>
        <w:ind w:left="1440" w:hanging="360"/>
      </w:pPr>
      <w:rPr>
        <w:rFonts w:ascii="Courier New" w:hAnsi="Courier New" w:cs="Courier New" w:hint="default"/>
      </w:rPr>
    </w:lvl>
    <w:lvl w:ilvl="2" w:tplc="BE3800E4" w:tentative="1">
      <w:start w:val="1"/>
      <w:numFmt w:val="bullet"/>
      <w:lvlText w:val=""/>
      <w:lvlJc w:val="left"/>
      <w:pPr>
        <w:tabs>
          <w:tab w:val="num" w:pos="2160"/>
        </w:tabs>
        <w:ind w:left="2160" w:hanging="360"/>
      </w:pPr>
      <w:rPr>
        <w:rFonts w:ascii="Wingdings" w:hAnsi="Wingdings" w:hint="default"/>
      </w:rPr>
    </w:lvl>
    <w:lvl w:ilvl="3" w:tplc="7B6EAC34" w:tentative="1">
      <w:start w:val="1"/>
      <w:numFmt w:val="bullet"/>
      <w:lvlText w:val=""/>
      <w:lvlJc w:val="left"/>
      <w:pPr>
        <w:tabs>
          <w:tab w:val="num" w:pos="2880"/>
        </w:tabs>
        <w:ind w:left="2880" w:hanging="360"/>
      </w:pPr>
      <w:rPr>
        <w:rFonts w:ascii="Symbol" w:hAnsi="Symbol" w:hint="default"/>
      </w:rPr>
    </w:lvl>
    <w:lvl w:ilvl="4" w:tplc="BDEA7276" w:tentative="1">
      <w:start w:val="1"/>
      <w:numFmt w:val="bullet"/>
      <w:lvlText w:val="o"/>
      <w:lvlJc w:val="left"/>
      <w:pPr>
        <w:tabs>
          <w:tab w:val="num" w:pos="3600"/>
        </w:tabs>
        <w:ind w:left="3600" w:hanging="360"/>
      </w:pPr>
      <w:rPr>
        <w:rFonts w:ascii="Courier New" w:hAnsi="Courier New" w:cs="Courier New" w:hint="default"/>
      </w:rPr>
    </w:lvl>
    <w:lvl w:ilvl="5" w:tplc="8B247C2C" w:tentative="1">
      <w:start w:val="1"/>
      <w:numFmt w:val="bullet"/>
      <w:lvlText w:val=""/>
      <w:lvlJc w:val="left"/>
      <w:pPr>
        <w:tabs>
          <w:tab w:val="num" w:pos="4320"/>
        </w:tabs>
        <w:ind w:left="4320" w:hanging="360"/>
      </w:pPr>
      <w:rPr>
        <w:rFonts w:ascii="Wingdings" w:hAnsi="Wingdings" w:hint="default"/>
      </w:rPr>
    </w:lvl>
    <w:lvl w:ilvl="6" w:tplc="0D4C69D8" w:tentative="1">
      <w:start w:val="1"/>
      <w:numFmt w:val="bullet"/>
      <w:lvlText w:val=""/>
      <w:lvlJc w:val="left"/>
      <w:pPr>
        <w:tabs>
          <w:tab w:val="num" w:pos="5040"/>
        </w:tabs>
        <w:ind w:left="5040" w:hanging="360"/>
      </w:pPr>
      <w:rPr>
        <w:rFonts w:ascii="Symbol" w:hAnsi="Symbol" w:hint="default"/>
      </w:rPr>
    </w:lvl>
    <w:lvl w:ilvl="7" w:tplc="F85446BA" w:tentative="1">
      <w:start w:val="1"/>
      <w:numFmt w:val="bullet"/>
      <w:lvlText w:val="o"/>
      <w:lvlJc w:val="left"/>
      <w:pPr>
        <w:tabs>
          <w:tab w:val="num" w:pos="5760"/>
        </w:tabs>
        <w:ind w:left="5760" w:hanging="360"/>
      </w:pPr>
      <w:rPr>
        <w:rFonts w:ascii="Courier New" w:hAnsi="Courier New" w:cs="Courier New" w:hint="default"/>
      </w:rPr>
    </w:lvl>
    <w:lvl w:ilvl="8" w:tplc="C5AC06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630E5CA">
      <w:start w:val="1"/>
      <w:numFmt w:val="decimal"/>
      <w:lvlText w:val="%1)"/>
      <w:lvlJc w:val="left"/>
      <w:pPr>
        <w:tabs>
          <w:tab w:val="num" w:pos="340"/>
        </w:tabs>
        <w:ind w:left="340" w:hanging="340"/>
      </w:pPr>
      <w:rPr>
        <w:rFonts w:hint="default"/>
      </w:rPr>
    </w:lvl>
    <w:lvl w:ilvl="1" w:tplc="FE34B168" w:tentative="1">
      <w:start w:val="1"/>
      <w:numFmt w:val="lowerLetter"/>
      <w:lvlText w:val="%2."/>
      <w:lvlJc w:val="left"/>
      <w:pPr>
        <w:tabs>
          <w:tab w:val="num" w:pos="1440"/>
        </w:tabs>
        <w:ind w:left="1440" w:hanging="360"/>
      </w:pPr>
    </w:lvl>
    <w:lvl w:ilvl="2" w:tplc="7D3E3BF6" w:tentative="1">
      <w:start w:val="1"/>
      <w:numFmt w:val="lowerRoman"/>
      <w:lvlText w:val="%3."/>
      <w:lvlJc w:val="right"/>
      <w:pPr>
        <w:tabs>
          <w:tab w:val="num" w:pos="2160"/>
        </w:tabs>
        <w:ind w:left="2160" w:hanging="180"/>
      </w:pPr>
    </w:lvl>
    <w:lvl w:ilvl="3" w:tplc="B2666DD0" w:tentative="1">
      <w:start w:val="1"/>
      <w:numFmt w:val="decimal"/>
      <w:lvlText w:val="%4."/>
      <w:lvlJc w:val="left"/>
      <w:pPr>
        <w:tabs>
          <w:tab w:val="num" w:pos="2880"/>
        </w:tabs>
        <w:ind w:left="2880" w:hanging="360"/>
      </w:pPr>
    </w:lvl>
    <w:lvl w:ilvl="4" w:tplc="3AE24C48" w:tentative="1">
      <w:start w:val="1"/>
      <w:numFmt w:val="lowerLetter"/>
      <w:lvlText w:val="%5."/>
      <w:lvlJc w:val="left"/>
      <w:pPr>
        <w:tabs>
          <w:tab w:val="num" w:pos="3600"/>
        </w:tabs>
        <w:ind w:left="3600" w:hanging="360"/>
      </w:pPr>
    </w:lvl>
    <w:lvl w:ilvl="5" w:tplc="C8586D92" w:tentative="1">
      <w:start w:val="1"/>
      <w:numFmt w:val="lowerRoman"/>
      <w:lvlText w:val="%6."/>
      <w:lvlJc w:val="right"/>
      <w:pPr>
        <w:tabs>
          <w:tab w:val="num" w:pos="4320"/>
        </w:tabs>
        <w:ind w:left="4320" w:hanging="180"/>
      </w:pPr>
    </w:lvl>
    <w:lvl w:ilvl="6" w:tplc="F6F0F132" w:tentative="1">
      <w:start w:val="1"/>
      <w:numFmt w:val="decimal"/>
      <w:lvlText w:val="%7."/>
      <w:lvlJc w:val="left"/>
      <w:pPr>
        <w:tabs>
          <w:tab w:val="num" w:pos="5040"/>
        </w:tabs>
        <w:ind w:left="5040" w:hanging="360"/>
      </w:pPr>
    </w:lvl>
    <w:lvl w:ilvl="7" w:tplc="A8E4B784" w:tentative="1">
      <w:start w:val="1"/>
      <w:numFmt w:val="lowerLetter"/>
      <w:lvlText w:val="%8."/>
      <w:lvlJc w:val="left"/>
      <w:pPr>
        <w:tabs>
          <w:tab w:val="num" w:pos="5760"/>
        </w:tabs>
        <w:ind w:left="5760" w:hanging="360"/>
      </w:pPr>
    </w:lvl>
    <w:lvl w:ilvl="8" w:tplc="B21455C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AA61030">
      <w:start w:val="1"/>
      <w:numFmt w:val="decimal"/>
      <w:lvlText w:val="%1."/>
      <w:lvlJc w:val="left"/>
      <w:pPr>
        <w:tabs>
          <w:tab w:val="num" w:pos="1057"/>
        </w:tabs>
        <w:ind w:left="1057" w:hanging="360"/>
      </w:pPr>
      <w:rPr>
        <w:rFonts w:hint="default"/>
      </w:rPr>
    </w:lvl>
    <w:lvl w:ilvl="1" w:tplc="4C2A4F62" w:tentative="1">
      <w:start w:val="1"/>
      <w:numFmt w:val="lowerLetter"/>
      <w:lvlText w:val="%2."/>
      <w:lvlJc w:val="left"/>
      <w:pPr>
        <w:tabs>
          <w:tab w:val="num" w:pos="2137"/>
        </w:tabs>
        <w:ind w:left="2137" w:hanging="360"/>
      </w:pPr>
    </w:lvl>
    <w:lvl w:ilvl="2" w:tplc="C77C8094" w:tentative="1">
      <w:start w:val="1"/>
      <w:numFmt w:val="lowerRoman"/>
      <w:lvlText w:val="%3."/>
      <w:lvlJc w:val="right"/>
      <w:pPr>
        <w:tabs>
          <w:tab w:val="num" w:pos="2857"/>
        </w:tabs>
        <w:ind w:left="2857" w:hanging="180"/>
      </w:pPr>
    </w:lvl>
    <w:lvl w:ilvl="3" w:tplc="53C407FA" w:tentative="1">
      <w:start w:val="1"/>
      <w:numFmt w:val="decimal"/>
      <w:lvlText w:val="%4."/>
      <w:lvlJc w:val="left"/>
      <w:pPr>
        <w:tabs>
          <w:tab w:val="num" w:pos="3577"/>
        </w:tabs>
        <w:ind w:left="3577" w:hanging="360"/>
      </w:pPr>
    </w:lvl>
    <w:lvl w:ilvl="4" w:tplc="6FE412EA" w:tentative="1">
      <w:start w:val="1"/>
      <w:numFmt w:val="lowerLetter"/>
      <w:lvlText w:val="%5."/>
      <w:lvlJc w:val="left"/>
      <w:pPr>
        <w:tabs>
          <w:tab w:val="num" w:pos="4297"/>
        </w:tabs>
        <w:ind w:left="4297" w:hanging="360"/>
      </w:pPr>
    </w:lvl>
    <w:lvl w:ilvl="5" w:tplc="F34A1F70" w:tentative="1">
      <w:start w:val="1"/>
      <w:numFmt w:val="lowerRoman"/>
      <w:lvlText w:val="%6."/>
      <w:lvlJc w:val="right"/>
      <w:pPr>
        <w:tabs>
          <w:tab w:val="num" w:pos="5017"/>
        </w:tabs>
        <w:ind w:left="5017" w:hanging="180"/>
      </w:pPr>
    </w:lvl>
    <w:lvl w:ilvl="6" w:tplc="8E3643CA" w:tentative="1">
      <w:start w:val="1"/>
      <w:numFmt w:val="decimal"/>
      <w:lvlText w:val="%7."/>
      <w:lvlJc w:val="left"/>
      <w:pPr>
        <w:tabs>
          <w:tab w:val="num" w:pos="5737"/>
        </w:tabs>
        <w:ind w:left="5737" w:hanging="360"/>
      </w:pPr>
    </w:lvl>
    <w:lvl w:ilvl="7" w:tplc="E6D8A62A" w:tentative="1">
      <w:start w:val="1"/>
      <w:numFmt w:val="lowerLetter"/>
      <w:lvlText w:val="%8."/>
      <w:lvlJc w:val="left"/>
      <w:pPr>
        <w:tabs>
          <w:tab w:val="num" w:pos="6457"/>
        </w:tabs>
        <w:ind w:left="6457" w:hanging="360"/>
      </w:pPr>
    </w:lvl>
    <w:lvl w:ilvl="8" w:tplc="18EA0C0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DF02A2C">
      <w:start w:val="1"/>
      <w:numFmt w:val="decimal"/>
      <w:pStyle w:val="ATSNumber1"/>
      <w:lvlText w:val="%1)"/>
      <w:lvlJc w:val="left"/>
      <w:pPr>
        <w:tabs>
          <w:tab w:val="num" w:pos="720"/>
        </w:tabs>
        <w:ind w:left="720" w:hanging="360"/>
      </w:pPr>
    </w:lvl>
    <w:lvl w:ilvl="1" w:tplc="62DC12BC" w:tentative="1">
      <w:start w:val="1"/>
      <w:numFmt w:val="lowerLetter"/>
      <w:lvlText w:val="%2."/>
      <w:lvlJc w:val="left"/>
      <w:pPr>
        <w:tabs>
          <w:tab w:val="num" w:pos="1440"/>
        </w:tabs>
        <w:ind w:left="1440" w:hanging="360"/>
      </w:pPr>
    </w:lvl>
    <w:lvl w:ilvl="2" w:tplc="0A12C456" w:tentative="1">
      <w:start w:val="1"/>
      <w:numFmt w:val="lowerRoman"/>
      <w:lvlText w:val="%3."/>
      <w:lvlJc w:val="right"/>
      <w:pPr>
        <w:tabs>
          <w:tab w:val="num" w:pos="2160"/>
        </w:tabs>
        <w:ind w:left="2160" w:hanging="180"/>
      </w:pPr>
    </w:lvl>
    <w:lvl w:ilvl="3" w:tplc="A2787CA8" w:tentative="1">
      <w:start w:val="1"/>
      <w:numFmt w:val="decimal"/>
      <w:lvlText w:val="%4."/>
      <w:lvlJc w:val="left"/>
      <w:pPr>
        <w:tabs>
          <w:tab w:val="num" w:pos="2880"/>
        </w:tabs>
        <w:ind w:left="2880" w:hanging="360"/>
      </w:pPr>
    </w:lvl>
    <w:lvl w:ilvl="4" w:tplc="959E7DC4" w:tentative="1">
      <w:start w:val="1"/>
      <w:numFmt w:val="lowerLetter"/>
      <w:lvlText w:val="%5."/>
      <w:lvlJc w:val="left"/>
      <w:pPr>
        <w:tabs>
          <w:tab w:val="num" w:pos="3600"/>
        </w:tabs>
        <w:ind w:left="3600" w:hanging="360"/>
      </w:pPr>
    </w:lvl>
    <w:lvl w:ilvl="5" w:tplc="5EBA9EF8" w:tentative="1">
      <w:start w:val="1"/>
      <w:numFmt w:val="lowerRoman"/>
      <w:lvlText w:val="%6."/>
      <w:lvlJc w:val="right"/>
      <w:pPr>
        <w:tabs>
          <w:tab w:val="num" w:pos="4320"/>
        </w:tabs>
        <w:ind w:left="4320" w:hanging="180"/>
      </w:pPr>
    </w:lvl>
    <w:lvl w:ilvl="6" w:tplc="3ACAE110" w:tentative="1">
      <w:start w:val="1"/>
      <w:numFmt w:val="decimal"/>
      <w:lvlText w:val="%7."/>
      <w:lvlJc w:val="left"/>
      <w:pPr>
        <w:tabs>
          <w:tab w:val="num" w:pos="5040"/>
        </w:tabs>
        <w:ind w:left="5040" w:hanging="360"/>
      </w:pPr>
    </w:lvl>
    <w:lvl w:ilvl="7" w:tplc="AD9250D8" w:tentative="1">
      <w:start w:val="1"/>
      <w:numFmt w:val="lowerLetter"/>
      <w:lvlText w:val="%8."/>
      <w:lvlJc w:val="left"/>
      <w:pPr>
        <w:tabs>
          <w:tab w:val="num" w:pos="5760"/>
        </w:tabs>
        <w:ind w:left="5760" w:hanging="360"/>
      </w:pPr>
    </w:lvl>
    <w:lvl w:ilvl="8" w:tplc="C5561DD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C742D5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CE03B34" w:tentative="1">
      <w:start w:val="1"/>
      <w:numFmt w:val="bullet"/>
      <w:lvlText w:val="o"/>
      <w:lvlJc w:val="left"/>
      <w:pPr>
        <w:tabs>
          <w:tab w:val="num" w:pos="2517"/>
        </w:tabs>
        <w:ind w:left="2517" w:hanging="360"/>
      </w:pPr>
      <w:rPr>
        <w:rFonts w:ascii="Courier New" w:hAnsi="Courier New" w:cs="Courier New" w:hint="default"/>
      </w:rPr>
    </w:lvl>
    <w:lvl w:ilvl="2" w:tplc="AAC86508" w:tentative="1">
      <w:start w:val="1"/>
      <w:numFmt w:val="bullet"/>
      <w:lvlText w:val=""/>
      <w:lvlJc w:val="left"/>
      <w:pPr>
        <w:tabs>
          <w:tab w:val="num" w:pos="3237"/>
        </w:tabs>
        <w:ind w:left="3237" w:hanging="360"/>
      </w:pPr>
      <w:rPr>
        <w:rFonts w:ascii="Wingdings" w:hAnsi="Wingdings" w:hint="default"/>
      </w:rPr>
    </w:lvl>
    <w:lvl w:ilvl="3" w:tplc="7A78CCEC" w:tentative="1">
      <w:start w:val="1"/>
      <w:numFmt w:val="bullet"/>
      <w:lvlText w:val=""/>
      <w:lvlJc w:val="left"/>
      <w:pPr>
        <w:tabs>
          <w:tab w:val="num" w:pos="3957"/>
        </w:tabs>
        <w:ind w:left="3957" w:hanging="360"/>
      </w:pPr>
      <w:rPr>
        <w:rFonts w:ascii="Symbol" w:hAnsi="Symbol" w:hint="default"/>
      </w:rPr>
    </w:lvl>
    <w:lvl w:ilvl="4" w:tplc="0DEA4C3E" w:tentative="1">
      <w:start w:val="1"/>
      <w:numFmt w:val="bullet"/>
      <w:lvlText w:val="o"/>
      <w:lvlJc w:val="left"/>
      <w:pPr>
        <w:tabs>
          <w:tab w:val="num" w:pos="4677"/>
        </w:tabs>
        <w:ind w:left="4677" w:hanging="360"/>
      </w:pPr>
      <w:rPr>
        <w:rFonts w:ascii="Courier New" w:hAnsi="Courier New" w:cs="Courier New" w:hint="default"/>
      </w:rPr>
    </w:lvl>
    <w:lvl w:ilvl="5" w:tplc="36ACF6D4" w:tentative="1">
      <w:start w:val="1"/>
      <w:numFmt w:val="bullet"/>
      <w:lvlText w:val=""/>
      <w:lvlJc w:val="left"/>
      <w:pPr>
        <w:tabs>
          <w:tab w:val="num" w:pos="5397"/>
        </w:tabs>
        <w:ind w:left="5397" w:hanging="360"/>
      </w:pPr>
      <w:rPr>
        <w:rFonts w:ascii="Wingdings" w:hAnsi="Wingdings" w:hint="default"/>
      </w:rPr>
    </w:lvl>
    <w:lvl w:ilvl="6" w:tplc="DB18D97E" w:tentative="1">
      <w:start w:val="1"/>
      <w:numFmt w:val="bullet"/>
      <w:lvlText w:val=""/>
      <w:lvlJc w:val="left"/>
      <w:pPr>
        <w:tabs>
          <w:tab w:val="num" w:pos="6117"/>
        </w:tabs>
        <w:ind w:left="6117" w:hanging="360"/>
      </w:pPr>
      <w:rPr>
        <w:rFonts w:ascii="Symbol" w:hAnsi="Symbol" w:hint="default"/>
      </w:rPr>
    </w:lvl>
    <w:lvl w:ilvl="7" w:tplc="789EEBC8" w:tentative="1">
      <w:start w:val="1"/>
      <w:numFmt w:val="bullet"/>
      <w:lvlText w:val="o"/>
      <w:lvlJc w:val="left"/>
      <w:pPr>
        <w:tabs>
          <w:tab w:val="num" w:pos="6837"/>
        </w:tabs>
        <w:ind w:left="6837" w:hanging="360"/>
      </w:pPr>
      <w:rPr>
        <w:rFonts w:ascii="Courier New" w:hAnsi="Courier New" w:cs="Courier New" w:hint="default"/>
      </w:rPr>
    </w:lvl>
    <w:lvl w:ilvl="8" w:tplc="EA8201B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506CF1C">
      <w:start w:val="1"/>
      <w:numFmt w:val="decimal"/>
      <w:pStyle w:val="ATSNumber2"/>
      <w:lvlText w:val="%1."/>
      <w:lvlJc w:val="left"/>
      <w:pPr>
        <w:tabs>
          <w:tab w:val="num" w:pos="720"/>
        </w:tabs>
        <w:ind w:left="720" w:hanging="360"/>
      </w:pPr>
      <w:rPr>
        <w:rFonts w:hint="default"/>
      </w:rPr>
    </w:lvl>
    <w:lvl w:ilvl="1" w:tplc="20D02E98" w:tentative="1">
      <w:start w:val="1"/>
      <w:numFmt w:val="lowerLetter"/>
      <w:lvlText w:val="%2."/>
      <w:lvlJc w:val="left"/>
      <w:pPr>
        <w:tabs>
          <w:tab w:val="num" w:pos="1440"/>
        </w:tabs>
        <w:ind w:left="1440" w:hanging="360"/>
      </w:pPr>
    </w:lvl>
    <w:lvl w:ilvl="2" w:tplc="E6445FA4" w:tentative="1">
      <w:start w:val="1"/>
      <w:numFmt w:val="lowerRoman"/>
      <w:lvlText w:val="%3."/>
      <w:lvlJc w:val="right"/>
      <w:pPr>
        <w:tabs>
          <w:tab w:val="num" w:pos="2160"/>
        </w:tabs>
        <w:ind w:left="2160" w:hanging="180"/>
      </w:pPr>
    </w:lvl>
    <w:lvl w:ilvl="3" w:tplc="AC1C4C3A" w:tentative="1">
      <w:start w:val="1"/>
      <w:numFmt w:val="decimal"/>
      <w:lvlText w:val="%4."/>
      <w:lvlJc w:val="left"/>
      <w:pPr>
        <w:tabs>
          <w:tab w:val="num" w:pos="2880"/>
        </w:tabs>
        <w:ind w:left="2880" w:hanging="360"/>
      </w:pPr>
    </w:lvl>
    <w:lvl w:ilvl="4" w:tplc="E26A7F72" w:tentative="1">
      <w:start w:val="1"/>
      <w:numFmt w:val="lowerLetter"/>
      <w:lvlText w:val="%5."/>
      <w:lvlJc w:val="left"/>
      <w:pPr>
        <w:tabs>
          <w:tab w:val="num" w:pos="3600"/>
        </w:tabs>
        <w:ind w:left="3600" w:hanging="360"/>
      </w:pPr>
    </w:lvl>
    <w:lvl w:ilvl="5" w:tplc="BD2E14B2" w:tentative="1">
      <w:start w:val="1"/>
      <w:numFmt w:val="lowerRoman"/>
      <w:lvlText w:val="%6."/>
      <w:lvlJc w:val="right"/>
      <w:pPr>
        <w:tabs>
          <w:tab w:val="num" w:pos="4320"/>
        </w:tabs>
        <w:ind w:left="4320" w:hanging="180"/>
      </w:pPr>
    </w:lvl>
    <w:lvl w:ilvl="6" w:tplc="39AC04AC" w:tentative="1">
      <w:start w:val="1"/>
      <w:numFmt w:val="decimal"/>
      <w:lvlText w:val="%7."/>
      <w:lvlJc w:val="left"/>
      <w:pPr>
        <w:tabs>
          <w:tab w:val="num" w:pos="5040"/>
        </w:tabs>
        <w:ind w:left="5040" w:hanging="360"/>
      </w:pPr>
    </w:lvl>
    <w:lvl w:ilvl="7" w:tplc="771C0D34" w:tentative="1">
      <w:start w:val="1"/>
      <w:numFmt w:val="lowerLetter"/>
      <w:lvlText w:val="%8."/>
      <w:lvlJc w:val="left"/>
      <w:pPr>
        <w:tabs>
          <w:tab w:val="num" w:pos="5760"/>
        </w:tabs>
        <w:ind w:left="5760" w:hanging="360"/>
      </w:pPr>
    </w:lvl>
    <w:lvl w:ilvl="8" w:tplc="0888BC24" w:tentative="1">
      <w:start w:val="1"/>
      <w:numFmt w:val="lowerRoman"/>
      <w:lvlText w:val="%9."/>
      <w:lvlJc w:val="right"/>
      <w:pPr>
        <w:tabs>
          <w:tab w:val="num" w:pos="6480"/>
        </w:tabs>
        <w:ind w:left="6480" w:hanging="180"/>
      </w:pPr>
    </w:lvl>
  </w:abstractNum>
  <w:num w:numId="1" w16cid:durableId="1541363166">
    <w:abstractNumId w:val="9"/>
  </w:num>
  <w:num w:numId="2" w16cid:durableId="1787382821">
    <w:abstractNumId w:val="7"/>
  </w:num>
  <w:num w:numId="3" w16cid:durableId="1443108209">
    <w:abstractNumId w:val="6"/>
  </w:num>
  <w:num w:numId="4" w16cid:durableId="372966591">
    <w:abstractNumId w:val="5"/>
  </w:num>
  <w:num w:numId="5" w16cid:durableId="1666011469">
    <w:abstractNumId w:val="4"/>
  </w:num>
  <w:num w:numId="6" w16cid:durableId="1419713541">
    <w:abstractNumId w:val="8"/>
  </w:num>
  <w:num w:numId="7" w16cid:durableId="1869222238">
    <w:abstractNumId w:val="3"/>
  </w:num>
  <w:num w:numId="8" w16cid:durableId="662508121">
    <w:abstractNumId w:val="2"/>
  </w:num>
  <w:num w:numId="9" w16cid:durableId="1031802338">
    <w:abstractNumId w:val="1"/>
  </w:num>
  <w:num w:numId="10" w16cid:durableId="82380021">
    <w:abstractNumId w:val="0"/>
  </w:num>
  <w:num w:numId="11" w16cid:durableId="1402630432">
    <w:abstractNumId w:val="11"/>
  </w:num>
  <w:num w:numId="12" w16cid:durableId="1317763909">
    <w:abstractNumId w:val="15"/>
  </w:num>
  <w:num w:numId="13" w16cid:durableId="1307663840">
    <w:abstractNumId w:val="14"/>
  </w:num>
  <w:num w:numId="14" w16cid:durableId="1071152069">
    <w:abstractNumId w:val="12"/>
  </w:num>
  <w:num w:numId="15" w16cid:durableId="46727613">
    <w:abstractNumId w:val="13"/>
  </w:num>
  <w:num w:numId="16" w16cid:durableId="1782258688">
    <w:abstractNumId w:val="10"/>
  </w:num>
  <w:num w:numId="17" w16cid:durableId="1659000152">
    <w:abstractNumId w:val="11"/>
  </w:num>
  <w:num w:numId="18" w16cid:durableId="884177092">
    <w:abstractNumId w:val="15"/>
  </w:num>
  <w:num w:numId="19" w16cid:durableId="1501240700">
    <w:abstractNumId w:val="14"/>
  </w:num>
  <w:num w:numId="20" w16cid:durableId="177624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13"/>
    <w:rsid w:val="0004146B"/>
    <w:rsid w:val="008647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91BD4"/>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Funotenanker">
    <w:name w:val="Fußnotenanker"/>
    <w:rsid w:val="0004146B"/>
    <w:rPr>
      <w:vertAlign w:val="superscript"/>
    </w:rPr>
  </w:style>
  <w:style w:type="character" w:customStyle="1" w:styleId="FootnoteCharacters">
    <w:name w:val="Footnote Characters"/>
    <w:uiPriority w:val="99"/>
    <w:qFormat/>
    <w:rsid w:val="0004146B"/>
    <w:rPr>
      <w:vertAlign w:val="superscript"/>
    </w:rPr>
  </w:style>
  <w:style w:type="character" w:customStyle="1" w:styleId="Internetverknpfung">
    <w:name w:val="Internetverknüpfung"/>
    <w:semiHidden/>
    <w:rsid w:val="0004146B"/>
    <w:rPr>
      <w:color w:val="660000"/>
      <w:u w:val="single"/>
    </w:rPr>
  </w:style>
  <w:style w:type="character" w:customStyle="1" w:styleId="TextonotapieCar">
    <w:name w:val="Texto nota pie Car"/>
    <w:basedOn w:val="Fuentedeprrafopredeter"/>
    <w:link w:val="Textonotapie"/>
    <w:uiPriority w:val="99"/>
    <w:qFormat/>
    <w:rsid w:val="0004146B"/>
    <w:rPr>
      <w:sz w:val="22"/>
      <w:szCs w:val="22"/>
      <w:lang w:val="en-GB" w:eastAsia="en-US"/>
    </w:rPr>
  </w:style>
  <w:style w:type="character" w:customStyle="1" w:styleId="Funotenzeichen">
    <w:name w:val="Fußnotenzeichen"/>
    <w:qFormat/>
    <w:rsid w:val="0004146B"/>
  </w:style>
  <w:style w:type="table" w:customStyle="1" w:styleId="Tabellenraster1">
    <w:name w:val="Tabellenraster1"/>
    <w:basedOn w:val="Tablanormal"/>
    <w:rsid w:val="0004146B"/>
    <w:pPr>
      <w:suppressAutoHyphens/>
    </w:pPr>
    <w:rPr>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www.awi.de/en/expedition/stations/neumayer-station-iii.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1180</Words>
  <Characters>6274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2022-04-22T13:18:00Z</dcterms:modified>
</cp:coreProperties>
</file>