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7484B" w14:textId="77777777" w:rsidR="00C26F2D" w:rsidRPr="00BF077B" w:rsidRDefault="00561C20" w:rsidP="00BF077B">
      <w:pPr>
        <w:pStyle w:val="ATSNormal"/>
        <w:rPr>
          <w:rStyle w:val="Ttulodellibro"/>
        </w:rPr>
      </w:pPr>
    </w:p>
    <w:p w14:paraId="0EFD6560" w14:textId="77777777" w:rsidR="002F0A13" w:rsidRDefault="00561C20" w:rsidP="004B4A60">
      <w:pPr>
        <w:rPr>
          <w:b/>
          <w:u w:val="single"/>
          <w:lang w:val="es-ES_tradnl"/>
        </w:rPr>
      </w:pPr>
    </w:p>
    <w:p w14:paraId="2A26DE95" w14:textId="77777777" w:rsidR="002F0A13" w:rsidRDefault="00561C20" w:rsidP="004B4A60">
      <w:pPr>
        <w:rPr>
          <w:b/>
          <w:u w:val="single"/>
          <w:lang w:val="es-ES_tradnl"/>
        </w:rPr>
      </w:pPr>
    </w:p>
    <w:p w14:paraId="3035B147" w14:textId="77777777" w:rsidR="002F0A13" w:rsidRDefault="00561C20" w:rsidP="004B4A60">
      <w:pPr>
        <w:rPr>
          <w:b/>
          <w:u w:val="single"/>
          <w:lang w:val="es-ES_tradnl"/>
        </w:rPr>
      </w:pPr>
    </w:p>
    <w:p w14:paraId="16DEBEA5" w14:textId="77777777" w:rsidR="002F0A13" w:rsidRDefault="00561C20" w:rsidP="004B4A60">
      <w:pPr>
        <w:rPr>
          <w:b/>
          <w:u w:val="single"/>
          <w:lang w:val="es-ES_tradnl"/>
        </w:rPr>
      </w:pPr>
    </w:p>
    <w:p w14:paraId="7A448F36" w14:textId="77777777" w:rsidR="00C26F2D" w:rsidRDefault="00561C20" w:rsidP="004B4A60">
      <w:pPr>
        <w:rPr>
          <w:b/>
          <w:u w:val="single"/>
          <w:lang w:val="es-ES_tradnl"/>
        </w:rPr>
      </w:pPr>
    </w:p>
    <w:p w14:paraId="33371190" w14:textId="77777777" w:rsidR="004B4A60" w:rsidRPr="0057246E" w:rsidRDefault="00561C20" w:rsidP="001B789F">
      <w:pPr>
        <w:pStyle w:val="ATSTitle"/>
      </w:pPr>
      <w:bookmarkStart w:id="0" w:name="name"/>
      <w:r>
        <w:t>Ice Sheet Instability, Long-term Sea-level Rise, and Southern Ocean Acidification: Time for Coordinated Action by Antarctic Treaty Parties</w:t>
      </w:r>
    </w:p>
    <w:bookmarkEnd w:id="0"/>
    <w:p w14:paraId="62A9A065" w14:textId="77777777" w:rsidR="00312601" w:rsidRDefault="00312601" w:rsidP="001B789F">
      <w:pPr>
        <w:pStyle w:val="ATSTitle"/>
      </w:pPr>
    </w:p>
    <w:p w14:paraId="207B2FCA" w14:textId="77777777" w:rsidR="004B4A60" w:rsidRPr="0057246E" w:rsidRDefault="00561C20" w:rsidP="00F75424">
      <w:pPr>
        <w:jc w:val="center"/>
      </w:pPr>
    </w:p>
    <w:p w14:paraId="30E51DD8" w14:textId="77777777" w:rsidR="004B4A60" w:rsidRPr="002F0A13" w:rsidRDefault="00561C20" w:rsidP="002F0A13"/>
    <w:p w14:paraId="60B6A98E" w14:textId="77777777" w:rsidR="004B4A60" w:rsidRDefault="00561C20" w:rsidP="00F75424">
      <w:pPr>
        <w:jc w:val="center"/>
      </w:pPr>
      <w:bookmarkStart w:id="1" w:name="memo"/>
      <w:bookmarkEnd w:id="1"/>
    </w:p>
    <w:p w14:paraId="5A938E5E" w14:textId="77777777" w:rsidR="0097629D" w:rsidRDefault="00561C20" w:rsidP="00F75424">
      <w:pPr>
        <w:jc w:val="center"/>
      </w:pPr>
    </w:p>
    <w:p w14:paraId="69C9878F" w14:textId="77777777" w:rsidR="0097629D" w:rsidRDefault="00561C20" w:rsidP="00F75424">
      <w:pPr>
        <w:jc w:val="center"/>
      </w:pPr>
    </w:p>
    <w:p w14:paraId="736269DD" w14:textId="77777777" w:rsidR="0097629D" w:rsidRDefault="00561C20" w:rsidP="00F75424">
      <w:pPr>
        <w:jc w:val="center"/>
      </w:pPr>
    </w:p>
    <w:p w14:paraId="21843939" w14:textId="77777777" w:rsidR="0097629D" w:rsidRPr="00C26F2D" w:rsidRDefault="00561C20" w:rsidP="00F75424">
      <w:pPr>
        <w:jc w:val="center"/>
      </w:pPr>
    </w:p>
    <w:p w14:paraId="689415F3" w14:textId="77777777" w:rsidR="004B4A60" w:rsidRPr="0057246E" w:rsidRDefault="00561C20" w:rsidP="004B4A60"/>
    <w:p w14:paraId="141AE7BE" w14:textId="77777777" w:rsidR="00C26F2D" w:rsidRDefault="00561C2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A70FE5F" w14:textId="77777777" w:rsidR="00561C20" w:rsidRPr="00A613B0" w:rsidRDefault="00561C20" w:rsidP="00561C20">
      <w:pPr>
        <w:pStyle w:val="ATSHeading1"/>
        <w:rPr>
          <w:lang w:val="en-US"/>
        </w:rPr>
      </w:pPr>
      <w:r w:rsidRPr="00A613B0">
        <w:rPr>
          <w:lang w:val="en-US"/>
        </w:rPr>
        <w:lastRenderedPageBreak/>
        <w:t>Ice Sheet Instability, Long-term Sea-level Rise, and</w:t>
      </w:r>
      <w:r>
        <w:rPr>
          <w:lang w:val="en-US"/>
        </w:rPr>
        <w:t xml:space="preserve"> </w:t>
      </w:r>
      <w:r w:rsidRPr="00A613B0">
        <w:rPr>
          <w:lang w:val="en-US"/>
        </w:rPr>
        <w:t xml:space="preserve">Southern Ocean Acidification: Time for Coordinated Action by Antarctic Treaty Parties </w:t>
      </w:r>
    </w:p>
    <w:p w14:paraId="3BDB6C50" w14:textId="77777777" w:rsidR="00561C20" w:rsidRPr="00F7036F" w:rsidRDefault="00561C20" w:rsidP="00561C20">
      <w:pPr>
        <w:jc w:val="center"/>
        <w:rPr>
          <w:rFonts w:ascii="Arial" w:hAnsi="Arial" w:cs="Arial"/>
          <w:b/>
          <w:bCs/>
          <w:szCs w:val="22"/>
        </w:rPr>
      </w:pPr>
      <w:r w:rsidRPr="00F7036F">
        <w:rPr>
          <w:rFonts w:ascii="Arial" w:hAnsi="Arial" w:cs="Arial"/>
          <w:b/>
          <w:bCs/>
          <w:szCs w:val="22"/>
        </w:rPr>
        <w:t>Information Paper submitted by ASOC</w:t>
      </w:r>
    </w:p>
    <w:p w14:paraId="6BD6FED2" w14:textId="77777777" w:rsidR="00561C20" w:rsidRDefault="00561C20" w:rsidP="00561C20">
      <w:pPr>
        <w:pStyle w:val="ATSHeading2"/>
        <w:spacing w:before="240"/>
      </w:pPr>
      <w:r>
        <w:t>Summary</w:t>
      </w:r>
    </w:p>
    <w:p w14:paraId="31FA9C40" w14:textId="77777777" w:rsidR="00561C20" w:rsidRDefault="00561C20" w:rsidP="00561C20">
      <w:pPr>
        <w:pStyle w:val="Body"/>
        <w:spacing w:before="120"/>
        <w:rPr>
          <w:rFonts w:ascii="Times New Roman" w:hAnsi="Times New Roman"/>
          <w:color w:val="auto"/>
        </w:rPr>
      </w:pPr>
      <w:r>
        <w:rPr>
          <w:rFonts w:ascii="Times New Roman" w:hAnsi="Times New Roman"/>
          <w:color w:val="auto"/>
        </w:rPr>
        <w:t>In addressing climate change, t</w:t>
      </w:r>
      <w:r w:rsidRPr="00836208">
        <w:rPr>
          <w:rFonts w:ascii="Times New Roman" w:hAnsi="Times New Roman"/>
          <w:color w:val="auto"/>
        </w:rPr>
        <w:t xml:space="preserve">he </w:t>
      </w:r>
      <w:proofErr w:type="gramStart"/>
      <w:r w:rsidRPr="00836208">
        <w:rPr>
          <w:rFonts w:ascii="Times New Roman" w:hAnsi="Times New Roman"/>
          <w:color w:val="auto"/>
        </w:rPr>
        <w:t>ma</w:t>
      </w:r>
      <w:r>
        <w:rPr>
          <w:rFonts w:ascii="Times New Roman" w:hAnsi="Times New Roman"/>
          <w:color w:val="auto"/>
        </w:rPr>
        <w:t>in focus</w:t>
      </w:r>
      <w:proofErr w:type="gramEnd"/>
      <w:r>
        <w:rPr>
          <w:rFonts w:ascii="Times New Roman" w:hAnsi="Times New Roman"/>
          <w:color w:val="auto"/>
        </w:rPr>
        <w:t xml:space="preserve"> of Antarctic Treaty System bodies </w:t>
      </w:r>
      <w:r w:rsidRPr="00836208">
        <w:rPr>
          <w:rFonts w:ascii="Times New Roman" w:hAnsi="Times New Roman"/>
          <w:color w:val="auto"/>
        </w:rPr>
        <w:t xml:space="preserve">has been </w:t>
      </w:r>
      <w:r>
        <w:rPr>
          <w:rFonts w:ascii="Times New Roman" w:hAnsi="Times New Roman"/>
          <w:color w:val="auto"/>
        </w:rPr>
        <w:t xml:space="preserve">ecosystem </w:t>
      </w:r>
      <w:r w:rsidRPr="00836208">
        <w:rPr>
          <w:rFonts w:ascii="Times New Roman" w:hAnsi="Times New Roman"/>
          <w:color w:val="auto"/>
        </w:rPr>
        <w:t>impacts on Antarctica</w:t>
      </w:r>
      <w:r>
        <w:rPr>
          <w:rFonts w:ascii="Times New Roman" w:hAnsi="Times New Roman"/>
          <w:color w:val="auto"/>
        </w:rPr>
        <w:t xml:space="preserve"> and the Southern Ocean</w:t>
      </w:r>
      <w:r w:rsidRPr="00836208">
        <w:rPr>
          <w:rFonts w:ascii="Times New Roman" w:hAnsi="Times New Roman"/>
          <w:color w:val="auto"/>
        </w:rPr>
        <w:t xml:space="preserve">. However, </w:t>
      </w:r>
      <w:r>
        <w:rPr>
          <w:rFonts w:ascii="Times New Roman" w:hAnsi="Times New Roman"/>
          <w:color w:val="auto"/>
        </w:rPr>
        <w:t xml:space="preserve">it is time these bodies began to address more directly the impacts of these changes on the entire planet, as current research makes clear that these will be massive, catastrophic, essentially </w:t>
      </w:r>
      <w:proofErr w:type="gramStart"/>
      <w:r>
        <w:rPr>
          <w:rFonts w:ascii="Times New Roman" w:hAnsi="Times New Roman"/>
          <w:color w:val="auto"/>
        </w:rPr>
        <w:t>permanent</w:t>
      </w:r>
      <w:proofErr w:type="gramEnd"/>
      <w:r>
        <w:rPr>
          <w:rFonts w:ascii="Times New Roman" w:hAnsi="Times New Roman"/>
          <w:color w:val="auto"/>
        </w:rPr>
        <w:t xml:space="preserve"> and potentially rapid; especially with current rates of CO</w:t>
      </w:r>
      <w:r w:rsidRPr="00C36BC8">
        <w:rPr>
          <w:rFonts w:ascii="Times New Roman" w:hAnsi="Times New Roman"/>
          <w:color w:val="auto"/>
          <w:vertAlign w:val="subscript"/>
        </w:rPr>
        <w:t>2</w:t>
      </w:r>
      <w:r>
        <w:rPr>
          <w:rFonts w:ascii="Times New Roman" w:hAnsi="Times New Roman"/>
          <w:color w:val="auto"/>
        </w:rPr>
        <w:t xml:space="preserve"> increase in the atmosphere, primarily from fossil fuel use.  The ATCM should charge the </w:t>
      </w:r>
      <w:r w:rsidRPr="00CA3F47">
        <w:rPr>
          <w:rFonts w:ascii="Times New Roman" w:hAnsi="Times New Roman"/>
          <w:color w:val="auto"/>
        </w:rPr>
        <w:t>Secretariat</w:t>
      </w:r>
      <w:r>
        <w:rPr>
          <w:rFonts w:ascii="Times New Roman" w:hAnsi="Times New Roman"/>
        </w:rPr>
        <w:t xml:space="preserve"> and successive </w:t>
      </w:r>
      <w:r w:rsidRPr="00CA3F47">
        <w:rPr>
          <w:rFonts w:ascii="Times New Roman" w:hAnsi="Times New Roman"/>
        </w:rPr>
        <w:t>Chair</w:t>
      </w:r>
      <w:r>
        <w:rPr>
          <w:rFonts w:ascii="Times New Roman" w:hAnsi="Times New Roman"/>
        </w:rPr>
        <w:t>s</w:t>
      </w:r>
      <w:r w:rsidRPr="00CA3F47">
        <w:rPr>
          <w:rFonts w:ascii="Times New Roman" w:hAnsi="Times New Roman"/>
        </w:rPr>
        <w:t xml:space="preserve"> of the ATC</w:t>
      </w:r>
      <w:r>
        <w:rPr>
          <w:rFonts w:ascii="Times New Roman" w:hAnsi="Times New Roman"/>
        </w:rPr>
        <w:t>M and/or</w:t>
      </w:r>
      <w:r w:rsidRPr="00CA3F47">
        <w:rPr>
          <w:rFonts w:ascii="Times New Roman" w:hAnsi="Times New Roman"/>
        </w:rPr>
        <w:t xml:space="preserve"> the CEP </w:t>
      </w:r>
      <w:r>
        <w:rPr>
          <w:rFonts w:ascii="Times New Roman" w:hAnsi="Times New Roman"/>
          <w:color w:val="auto"/>
        </w:rPr>
        <w:t xml:space="preserve">with exploring ways to </w:t>
      </w:r>
      <w:r w:rsidRPr="00836208">
        <w:rPr>
          <w:rFonts w:ascii="Times New Roman" w:hAnsi="Times New Roman"/>
          <w:color w:val="auto"/>
        </w:rPr>
        <w:t>bring this science</w:t>
      </w:r>
      <w:r>
        <w:rPr>
          <w:rFonts w:ascii="Times New Roman" w:hAnsi="Times New Roman"/>
          <w:color w:val="auto"/>
        </w:rPr>
        <w:t xml:space="preserve"> and its policy implications to greater public and political</w:t>
      </w:r>
      <w:r w:rsidRPr="00836208">
        <w:rPr>
          <w:rFonts w:ascii="Times New Roman" w:hAnsi="Times New Roman"/>
          <w:color w:val="auto"/>
        </w:rPr>
        <w:t xml:space="preserve"> </w:t>
      </w:r>
      <w:r>
        <w:rPr>
          <w:rFonts w:ascii="Times New Roman" w:hAnsi="Times New Roman"/>
          <w:color w:val="auto"/>
        </w:rPr>
        <w:t xml:space="preserve">attention, including at COP-27 in Egypt in November 2022.  ATCPs should do </w:t>
      </w:r>
      <w:proofErr w:type="gramStart"/>
      <w:r>
        <w:rPr>
          <w:rFonts w:ascii="Times New Roman" w:hAnsi="Times New Roman"/>
          <w:color w:val="auto"/>
        </w:rPr>
        <w:t>likewise, and</w:t>
      </w:r>
      <w:proofErr w:type="gramEnd"/>
      <w:r>
        <w:rPr>
          <w:rFonts w:ascii="Times New Roman" w:hAnsi="Times New Roman"/>
          <w:color w:val="auto"/>
        </w:rPr>
        <w:t xml:space="preserve"> re-examine their Nationally Determined Contributions (NDCs) in light of the non-adaptable impacts, on both national and global levels, of irreversible Antarctic change. </w:t>
      </w:r>
    </w:p>
    <w:p w14:paraId="764914B2" w14:textId="77777777" w:rsidR="00561C20" w:rsidRPr="00A84790" w:rsidRDefault="00561C20" w:rsidP="00561C20">
      <w:pPr>
        <w:pStyle w:val="ATSHeading2"/>
        <w:spacing w:before="360"/>
      </w:pPr>
      <w:r w:rsidRPr="00A84790">
        <w:t>Introduction</w:t>
      </w:r>
    </w:p>
    <w:p w14:paraId="6CABDB82" w14:textId="77777777" w:rsidR="00561C20" w:rsidRDefault="00561C20" w:rsidP="00561C20">
      <w:pPr>
        <w:pStyle w:val="Body"/>
        <w:spacing w:before="120" w:after="120"/>
        <w:rPr>
          <w:rFonts w:ascii="Times New Roman" w:hAnsi="Times New Roman"/>
          <w:color w:val="auto"/>
        </w:rPr>
      </w:pPr>
      <w:r>
        <w:rPr>
          <w:rFonts w:ascii="Times New Roman" w:hAnsi="Times New Roman"/>
          <w:color w:val="auto"/>
        </w:rPr>
        <w:t>Traditionally, the Antarctic Treaty System has focused its climate change work on documenting the impacts of global warming on Antarctic continental and Southern Ocean marine ecosystems.  As research on ice sheet and Southern Ocean dynamics has expanded exponentially over the past two decades however, it has become apparent that these have strong implications for climate ambition, in particular the need to avoid overshoot of the Paris Agreement temperature limit of 1.5°C, and especially 2°C. This is because peak temperatures, and CO</w:t>
      </w:r>
      <w:r w:rsidRPr="001B01F7">
        <w:rPr>
          <w:rFonts w:ascii="Times New Roman" w:hAnsi="Times New Roman"/>
          <w:color w:val="auto"/>
          <w:vertAlign w:val="subscript"/>
        </w:rPr>
        <w:t>2</w:t>
      </w:r>
      <w:r>
        <w:rPr>
          <w:rFonts w:ascii="Times New Roman" w:hAnsi="Times New Roman"/>
          <w:color w:val="auto"/>
        </w:rPr>
        <w:t xml:space="preserve"> concentration levels in the atmosphere largely set the risk of irreversible ice sheet collapse and resulting sea-level rise, as well as Southern Ocean acidification. The narrative of climate change in Antarctica today is therefore no longer solely one of the impacts on the region itself; but of the massive global impacts from a rapidly changing Antarctica causing essentially permanent sea-level rise, as well as other impacts due to loss of Southern Ocean keystone species from essentially permanent acidification. The IPCC, in its 2022 Sixth Assessment (AR6), characterized these impending changes, absent rapid emissions reductions, as “beyond the limits of adaptation.”</w:t>
      </w:r>
      <w:r>
        <w:rPr>
          <w:rStyle w:val="Refdenotaalpie"/>
          <w:rFonts w:ascii="Times New Roman" w:hAnsi="Times New Roman"/>
          <w:color w:val="auto"/>
        </w:rPr>
        <w:footnoteReference w:id="1"/>
      </w:r>
    </w:p>
    <w:p w14:paraId="18110B55" w14:textId="77777777" w:rsidR="00561C20" w:rsidRPr="00A84790" w:rsidRDefault="00561C20" w:rsidP="00561C20">
      <w:pPr>
        <w:pStyle w:val="ATSHeading2"/>
        <w:spacing w:before="360"/>
      </w:pPr>
      <w:r>
        <w:t>Converging Models and Ancient Records of Antarctic Sea-level Rise</w:t>
      </w:r>
    </w:p>
    <w:p w14:paraId="60EC6E27" w14:textId="77777777" w:rsidR="00561C20" w:rsidRPr="00C13F55" w:rsidRDefault="00561C20" w:rsidP="00561C20">
      <w:pPr>
        <w:pStyle w:val="Body"/>
        <w:spacing w:before="120" w:after="120"/>
        <w:rPr>
          <w:rFonts w:ascii="Times New Roman" w:hAnsi="Times New Roman"/>
          <w:color w:val="auto"/>
        </w:rPr>
      </w:pPr>
      <w:r w:rsidRPr="00C13F55">
        <w:rPr>
          <w:rFonts w:ascii="Times New Roman" w:hAnsi="Times New Roman"/>
          <w:color w:val="auto"/>
        </w:rPr>
        <w:t xml:space="preserve">Antarctica holds enough ice to raise </w:t>
      </w:r>
      <w:r>
        <w:rPr>
          <w:rFonts w:ascii="Times New Roman" w:hAnsi="Times New Roman"/>
          <w:color w:val="auto"/>
        </w:rPr>
        <w:t xml:space="preserve">current </w:t>
      </w:r>
      <w:r w:rsidRPr="00C13F55">
        <w:rPr>
          <w:rFonts w:ascii="Times New Roman" w:hAnsi="Times New Roman"/>
          <w:color w:val="auto"/>
        </w:rPr>
        <w:t>global sea level by 58 meters. Exp</w:t>
      </w:r>
      <w:r>
        <w:rPr>
          <w:rFonts w:ascii="Times New Roman" w:hAnsi="Times New Roman"/>
          <w:color w:val="auto"/>
        </w:rPr>
        <w:t>onentially exp</w:t>
      </w:r>
      <w:r w:rsidRPr="00C13F55">
        <w:rPr>
          <w:rFonts w:ascii="Times New Roman" w:hAnsi="Times New Roman"/>
          <w:color w:val="auto"/>
        </w:rPr>
        <w:t xml:space="preserve">anding research, especially over the past </w:t>
      </w:r>
      <w:r>
        <w:rPr>
          <w:rFonts w:ascii="Times New Roman" w:hAnsi="Times New Roman"/>
          <w:color w:val="auto"/>
        </w:rPr>
        <w:t xml:space="preserve">two </w:t>
      </w:r>
      <w:r w:rsidRPr="00C13F55">
        <w:rPr>
          <w:rFonts w:ascii="Times New Roman" w:hAnsi="Times New Roman"/>
          <w:color w:val="auto"/>
        </w:rPr>
        <w:t>decade</w:t>
      </w:r>
      <w:r>
        <w:rPr>
          <w:rFonts w:ascii="Times New Roman" w:hAnsi="Times New Roman"/>
          <w:color w:val="auto"/>
        </w:rPr>
        <w:t>s</w:t>
      </w:r>
      <w:r w:rsidRPr="00C13F55">
        <w:rPr>
          <w:rFonts w:ascii="Times New Roman" w:hAnsi="Times New Roman"/>
          <w:color w:val="auto"/>
        </w:rPr>
        <w:t xml:space="preserve"> shows that the risks of non-reversible melting processes increase as temperature and rates of warming rise, affecting the stability of buttressing ice shelves and the marine-based portions of the ice sheet. While this primarily affects the West Antarctic Ice Sheet (WAIS), parts of East Antarctica are similarly marine-based and therefore vulnerable.</w:t>
      </w:r>
      <w:r>
        <w:rPr>
          <w:rStyle w:val="Refdenotaalpie"/>
          <w:rFonts w:ascii="Times New Roman" w:hAnsi="Times New Roman"/>
          <w:color w:val="auto"/>
        </w:rPr>
        <w:footnoteReference w:id="2"/>
      </w:r>
      <w:r w:rsidRPr="00C13F55">
        <w:rPr>
          <w:rFonts w:ascii="Times New Roman" w:hAnsi="Times New Roman"/>
          <w:color w:val="auto"/>
        </w:rPr>
        <w:t xml:space="preserve">  Together, these portions of the ice sheet may hold up to 20 meters of global sea-level rise (SLR). </w:t>
      </w:r>
      <w:r>
        <w:rPr>
          <w:rFonts w:ascii="Times New Roman" w:hAnsi="Times New Roman"/>
          <w:color w:val="auto"/>
        </w:rPr>
        <w:t>While still limited to a few studies, this r</w:t>
      </w:r>
      <w:r w:rsidRPr="00C13F55">
        <w:rPr>
          <w:rFonts w:ascii="Times New Roman" w:hAnsi="Times New Roman"/>
          <w:color w:val="auto"/>
        </w:rPr>
        <w:t>ecent</w:t>
      </w:r>
      <w:r>
        <w:rPr>
          <w:rFonts w:ascii="Times New Roman" w:hAnsi="Times New Roman"/>
          <w:color w:val="auto"/>
        </w:rPr>
        <w:t>, more sophisticated</w:t>
      </w:r>
      <w:r w:rsidRPr="00C13F55">
        <w:rPr>
          <w:rFonts w:ascii="Times New Roman" w:hAnsi="Times New Roman"/>
          <w:color w:val="auto"/>
        </w:rPr>
        <w:t xml:space="preserve"> modeling </w:t>
      </w:r>
      <w:r>
        <w:rPr>
          <w:rFonts w:ascii="Times New Roman" w:hAnsi="Times New Roman"/>
          <w:color w:val="auto"/>
        </w:rPr>
        <w:t xml:space="preserve">that takes into account the physical properties of the ice sheet also </w:t>
      </w:r>
      <w:proofErr w:type="gramStart"/>
      <w:r w:rsidRPr="00C13F55">
        <w:rPr>
          <w:rFonts w:ascii="Times New Roman" w:hAnsi="Times New Roman"/>
          <w:color w:val="auto"/>
        </w:rPr>
        <w:t>show</w:t>
      </w:r>
      <w:r>
        <w:rPr>
          <w:rFonts w:ascii="Times New Roman" w:hAnsi="Times New Roman"/>
          <w:color w:val="auto"/>
        </w:rPr>
        <w:t>s</w:t>
      </w:r>
      <w:proofErr w:type="gramEnd"/>
      <w:r w:rsidRPr="00C13F55">
        <w:rPr>
          <w:rFonts w:ascii="Times New Roman" w:hAnsi="Times New Roman"/>
          <w:color w:val="auto"/>
        </w:rPr>
        <w:t xml:space="preserve"> their collapse may be unexpectedly rapid</w:t>
      </w:r>
      <w:r>
        <w:rPr>
          <w:rFonts w:ascii="Times New Roman" w:hAnsi="Times New Roman"/>
          <w:color w:val="auto"/>
        </w:rPr>
        <w:t>.  This could</w:t>
      </w:r>
      <w:r w:rsidRPr="00C13F55">
        <w:rPr>
          <w:rFonts w:ascii="Times New Roman" w:hAnsi="Times New Roman"/>
          <w:color w:val="auto"/>
        </w:rPr>
        <w:t xml:space="preserve"> lead to annual rates of 5</w:t>
      </w:r>
      <w:r>
        <w:rPr>
          <w:rFonts w:ascii="Times New Roman" w:hAnsi="Times New Roman"/>
          <w:color w:val="auto"/>
        </w:rPr>
        <w:t xml:space="preserve"> </w:t>
      </w:r>
      <w:r w:rsidRPr="00C13F55">
        <w:rPr>
          <w:rFonts w:ascii="Times New Roman" w:hAnsi="Times New Roman"/>
          <w:color w:val="auto"/>
        </w:rPr>
        <w:t xml:space="preserve">cm SLR by the middle </w:t>
      </w:r>
      <w:r w:rsidRPr="00C13F55">
        <w:rPr>
          <w:rFonts w:ascii="Times New Roman" w:hAnsi="Times New Roman"/>
          <w:color w:val="auto"/>
        </w:rPr>
        <w:lastRenderedPageBreak/>
        <w:t>of the next century; and 10 meters total by 2300 from Antarctica alone</w:t>
      </w:r>
      <w:r>
        <w:rPr>
          <w:rFonts w:ascii="Times New Roman" w:hAnsi="Times New Roman"/>
          <w:color w:val="auto"/>
        </w:rPr>
        <w:t>; findings noted as a matter of concern in IPCC AR6</w:t>
      </w:r>
      <w:r w:rsidRPr="00C13F55">
        <w:rPr>
          <w:rFonts w:ascii="Times New Roman" w:hAnsi="Times New Roman"/>
          <w:color w:val="auto"/>
        </w:rPr>
        <w:t>.</w:t>
      </w:r>
      <w:r>
        <w:rPr>
          <w:rStyle w:val="Refdenotaalpie"/>
          <w:rFonts w:ascii="Times New Roman" w:hAnsi="Times New Roman"/>
          <w:color w:val="auto"/>
        </w:rPr>
        <w:footnoteReference w:id="3"/>
      </w:r>
    </w:p>
    <w:p w14:paraId="694AC9CC" w14:textId="77777777" w:rsidR="00561C20" w:rsidRDefault="00561C20" w:rsidP="00561C20">
      <w:pPr>
        <w:pStyle w:val="Body"/>
        <w:spacing w:before="120" w:after="120"/>
        <w:rPr>
          <w:rFonts w:ascii="Times New Roman" w:hAnsi="Times New Roman"/>
          <w:color w:val="auto"/>
        </w:rPr>
      </w:pPr>
      <w:r>
        <w:rPr>
          <w:rFonts w:ascii="Times New Roman" w:hAnsi="Times New Roman"/>
          <w:color w:val="auto"/>
        </w:rPr>
        <w:t>While these figures may at first seem extreme, they track well with the paleo-climactic record.  In Earth’s past, w</w:t>
      </w:r>
      <w:r w:rsidRPr="00836208">
        <w:rPr>
          <w:rFonts w:ascii="Times New Roman" w:hAnsi="Times New Roman"/>
          <w:color w:val="auto"/>
        </w:rPr>
        <w:t>arming of even 1</w:t>
      </w:r>
      <w:r w:rsidRPr="00311014">
        <w:rPr>
          <w:rFonts w:ascii="Times New Roman" w:hAnsi="Times New Roman"/>
          <w:color w:val="auto"/>
          <w:lang w:val="en-GB"/>
        </w:rPr>
        <w:t>°</w:t>
      </w:r>
      <w:r w:rsidRPr="00836208">
        <w:rPr>
          <w:rFonts w:ascii="Times New Roman" w:hAnsi="Times New Roman"/>
          <w:color w:val="auto"/>
        </w:rPr>
        <w:t xml:space="preserve">C </w:t>
      </w:r>
      <w:r>
        <w:rPr>
          <w:rFonts w:ascii="Times New Roman" w:hAnsi="Times New Roman"/>
          <w:color w:val="auto"/>
        </w:rPr>
        <w:t xml:space="preserve">above pre-industrial levels </w:t>
      </w:r>
      <w:r w:rsidRPr="00836208">
        <w:rPr>
          <w:rFonts w:ascii="Times New Roman" w:hAnsi="Times New Roman"/>
          <w:color w:val="auto"/>
        </w:rPr>
        <w:t>resulted in very different coastlines</w:t>
      </w:r>
      <w:r>
        <w:rPr>
          <w:rFonts w:ascii="Times New Roman" w:hAnsi="Times New Roman"/>
          <w:color w:val="auto"/>
        </w:rPr>
        <w:t xml:space="preserve"> than those of today, at 3-6 meters above contemporary; and 12-20 meters at 2°C.</w:t>
      </w:r>
      <w:r>
        <w:rPr>
          <w:rStyle w:val="Refdenotaalpie"/>
          <w:rFonts w:ascii="Times New Roman" w:hAnsi="Times New Roman"/>
          <w:color w:val="auto"/>
        </w:rPr>
        <w:footnoteReference w:id="4"/>
      </w:r>
      <w:r>
        <w:rPr>
          <w:rFonts w:ascii="Times New Roman" w:hAnsi="Times New Roman"/>
          <w:color w:val="auto"/>
        </w:rPr>
        <w:t xml:space="preserve">  The rate of change, and ability to adapt to swings in sea levels and flooding is also important.  Here again, Earth’s past indicates that we should have a high level of concern. </w:t>
      </w:r>
      <w:r w:rsidRPr="00836208">
        <w:rPr>
          <w:rFonts w:ascii="Times New Roman" w:hAnsi="Times New Roman"/>
          <w:color w:val="auto"/>
        </w:rPr>
        <w:t>While some of these past changes occurred over thousands of years, there have also been periods where ex</w:t>
      </w:r>
      <w:r>
        <w:rPr>
          <w:rFonts w:ascii="Times New Roman" w:hAnsi="Times New Roman"/>
          <w:color w:val="auto"/>
        </w:rPr>
        <w:t xml:space="preserve">tremely fast sea-level rises (up to 4 meters per century) </w:t>
      </w:r>
      <w:r w:rsidRPr="00836208">
        <w:rPr>
          <w:rFonts w:ascii="Times New Roman" w:hAnsi="Times New Roman"/>
          <w:color w:val="auto"/>
        </w:rPr>
        <w:t>occurred d</w:t>
      </w:r>
      <w:r>
        <w:rPr>
          <w:rFonts w:ascii="Times New Roman" w:hAnsi="Times New Roman"/>
          <w:color w:val="auto"/>
        </w:rPr>
        <w:t xml:space="preserve">ue to rapid ice sheet collapse. Termed </w:t>
      </w:r>
      <w:r w:rsidRPr="00836208">
        <w:rPr>
          <w:rFonts w:ascii="Times New Roman" w:hAnsi="Times New Roman"/>
          <w:color w:val="auto"/>
          <w:rtl/>
          <w:lang w:val="ar-SA"/>
        </w:rPr>
        <w:t>“</w:t>
      </w:r>
      <w:r w:rsidRPr="00836208">
        <w:rPr>
          <w:rFonts w:ascii="Times New Roman" w:hAnsi="Times New Roman"/>
          <w:color w:val="auto"/>
        </w:rPr>
        <w:t xml:space="preserve">melt-water pulses”, the </w:t>
      </w:r>
      <w:r>
        <w:rPr>
          <w:rFonts w:ascii="Times New Roman" w:hAnsi="Times New Roman"/>
          <w:color w:val="auto"/>
        </w:rPr>
        <w:t xml:space="preserve">last of these took place </w:t>
      </w:r>
      <w:r w:rsidRPr="00836208">
        <w:rPr>
          <w:rFonts w:ascii="Times New Roman" w:hAnsi="Times New Roman"/>
          <w:color w:val="auto"/>
        </w:rPr>
        <w:t>14,000 years ago</w:t>
      </w:r>
      <w:r>
        <w:rPr>
          <w:rFonts w:ascii="Times New Roman" w:hAnsi="Times New Roman"/>
          <w:color w:val="auto"/>
        </w:rPr>
        <w:t>:</w:t>
      </w:r>
      <w:r w:rsidRPr="00836208">
        <w:rPr>
          <w:rFonts w:ascii="Times New Roman" w:hAnsi="Times New Roman"/>
          <w:color w:val="auto"/>
        </w:rPr>
        <w:t xml:space="preserve"> when global sea levels rose between 15–18 met</w:t>
      </w:r>
      <w:r>
        <w:rPr>
          <w:rFonts w:ascii="Times New Roman" w:hAnsi="Times New Roman"/>
          <w:color w:val="auto"/>
        </w:rPr>
        <w:t>er</w:t>
      </w:r>
      <w:r w:rsidRPr="00836208">
        <w:rPr>
          <w:rFonts w:ascii="Times New Roman" w:hAnsi="Times New Roman"/>
          <w:color w:val="auto"/>
        </w:rPr>
        <w:t>s in just 350 years,</w:t>
      </w:r>
      <w:r>
        <w:rPr>
          <w:rFonts w:ascii="Times New Roman" w:hAnsi="Times New Roman"/>
          <w:color w:val="auto"/>
        </w:rPr>
        <w:t xml:space="preserve"> likely</w:t>
      </w:r>
      <w:r w:rsidRPr="00836208">
        <w:rPr>
          <w:rFonts w:ascii="Times New Roman" w:hAnsi="Times New Roman"/>
          <w:color w:val="auto"/>
        </w:rPr>
        <w:t xml:space="preserve"> </w:t>
      </w:r>
      <w:r>
        <w:rPr>
          <w:rFonts w:ascii="Times New Roman" w:hAnsi="Times New Roman"/>
          <w:color w:val="auto"/>
        </w:rPr>
        <w:t>when</w:t>
      </w:r>
      <w:r w:rsidRPr="00836208">
        <w:rPr>
          <w:rFonts w:ascii="Times New Roman" w:hAnsi="Times New Roman"/>
          <w:color w:val="auto"/>
        </w:rPr>
        <w:t xml:space="preserve"> the Laurentide Ice Sheet over Canada collapsed.</w:t>
      </w:r>
    </w:p>
    <w:p w14:paraId="752C8C12" w14:textId="77777777" w:rsidR="00561C20" w:rsidRPr="00507938" w:rsidRDefault="00561C20" w:rsidP="00561C20">
      <w:pPr>
        <w:pStyle w:val="ATSHeading2"/>
        <w:spacing w:before="360"/>
      </w:pPr>
      <w:r w:rsidRPr="00507938">
        <w:t xml:space="preserve">Improving Models </w:t>
      </w:r>
      <w:r>
        <w:t xml:space="preserve">and Observations </w:t>
      </w:r>
      <w:r w:rsidRPr="00507938">
        <w:t>of Ice Sheet Loss</w:t>
      </w:r>
    </w:p>
    <w:p w14:paraId="49067D22" w14:textId="77777777" w:rsidR="00561C20" w:rsidRPr="00836208" w:rsidRDefault="00561C20" w:rsidP="00561C20">
      <w:pPr>
        <w:pStyle w:val="Body"/>
        <w:spacing w:before="120" w:after="120"/>
        <w:rPr>
          <w:rFonts w:ascii="Times New Roman" w:hAnsi="Times New Roman"/>
          <w:color w:val="auto"/>
        </w:rPr>
      </w:pPr>
      <w:r>
        <w:rPr>
          <w:rFonts w:ascii="Times New Roman" w:hAnsi="Times New Roman"/>
          <w:color w:val="auto"/>
        </w:rPr>
        <w:t>Today, m</w:t>
      </w:r>
      <w:r w:rsidRPr="00836208">
        <w:rPr>
          <w:rFonts w:ascii="Times New Roman" w:hAnsi="Times New Roman"/>
          <w:color w:val="auto"/>
        </w:rPr>
        <w:t>uch of the WAIS sits over a vast archipelago of islands separated by extremel</w:t>
      </w:r>
      <w:r>
        <w:rPr>
          <w:rFonts w:ascii="Times New Roman" w:hAnsi="Times New Roman"/>
          <w:color w:val="auto"/>
        </w:rPr>
        <w:t>y deep ocean basins. Its</w:t>
      </w:r>
      <w:r w:rsidRPr="00836208">
        <w:rPr>
          <w:rFonts w:ascii="Times New Roman" w:hAnsi="Times New Roman"/>
          <w:color w:val="auto"/>
        </w:rPr>
        <w:t xml:space="preserve"> ice r</w:t>
      </w:r>
      <w:r>
        <w:rPr>
          <w:rFonts w:ascii="Times New Roman" w:hAnsi="Times New Roman"/>
          <w:color w:val="auto"/>
        </w:rPr>
        <w:t>ests on marine sediments that are up to 4</w:t>
      </w:r>
      <w:r w:rsidRPr="00836208">
        <w:rPr>
          <w:rFonts w:ascii="Times New Roman" w:hAnsi="Times New Roman"/>
          <w:color w:val="auto"/>
        </w:rPr>
        <w:t xml:space="preserve"> km below sea level, sloping downwards toward its cent</w:t>
      </w:r>
      <w:r>
        <w:rPr>
          <w:rFonts w:ascii="Times New Roman" w:hAnsi="Times New Roman"/>
          <w:color w:val="auto"/>
        </w:rPr>
        <w:t>er</w:t>
      </w:r>
      <w:r w:rsidRPr="00836208">
        <w:rPr>
          <w:rFonts w:ascii="Times New Roman" w:hAnsi="Times New Roman"/>
          <w:color w:val="auto"/>
        </w:rPr>
        <w:t>.</w:t>
      </w:r>
      <w:r>
        <w:rPr>
          <w:rFonts w:ascii="Times New Roman" w:hAnsi="Times New Roman"/>
          <w:color w:val="auto"/>
        </w:rPr>
        <w:t xml:space="preserve"> </w:t>
      </w:r>
      <w:r w:rsidRPr="00836208">
        <w:rPr>
          <w:rFonts w:ascii="Times New Roman" w:hAnsi="Times New Roman"/>
          <w:color w:val="auto"/>
        </w:rPr>
        <w:t xml:space="preserve"> As warm water melts the edges of the ice sheet, it retreats into</w:t>
      </w:r>
      <w:r>
        <w:rPr>
          <w:rFonts w:ascii="Times New Roman" w:hAnsi="Times New Roman"/>
          <w:color w:val="auto"/>
        </w:rPr>
        <w:t xml:space="preserve"> these deep ocean basins, exposing</w:t>
      </w:r>
      <w:r w:rsidRPr="00836208">
        <w:rPr>
          <w:rFonts w:ascii="Times New Roman" w:hAnsi="Times New Roman"/>
          <w:color w:val="auto"/>
        </w:rPr>
        <w:t xml:space="preserve"> more and more of the underside of the ice sheet to warming waters</w:t>
      </w:r>
      <w:r>
        <w:rPr>
          <w:rFonts w:ascii="Times New Roman" w:hAnsi="Times New Roman"/>
          <w:color w:val="auto"/>
        </w:rPr>
        <w:t>.  This</w:t>
      </w:r>
      <w:r w:rsidRPr="00836208">
        <w:rPr>
          <w:rFonts w:ascii="Times New Roman" w:hAnsi="Times New Roman"/>
          <w:color w:val="auto"/>
        </w:rPr>
        <w:t xml:space="preserve"> rapidly </w:t>
      </w:r>
      <w:r>
        <w:rPr>
          <w:rFonts w:ascii="Times New Roman" w:hAnsi="Times New Roman"/>
          <w:color w:val="auto"/>
        </w:rPr>
        <w:t>forces</w:t>
      </w:r>
      <w:r w:rsidRPr="00836208">
        <w:rPr>
          <w:rFonts w:ascii="Times New Roman" w:hAnsi="Times New Roman"/>
          <w:color w:val="auto"/>
        </w:rPr>
        <w:t xml:space="preserve"> furthe</w:t>
      </w:r>
      <w:r>
        <w:rPr>
          <w:rFonts w:ascii="Times New Roman" w:hAnsi="Times New Roman"/>
          <w:color w:val="auto"/>
        </w:rPr>
        <w:t>r melting and eventually causes</w:t>
      </w:r>
      <w:r w:rsidRPr="00836208">
        <w:rPr>
          <w:rFonts w:ascii="Times New Roman" w:hAnsi="Times New Roman"/>
          <w:color w:val="auto"/>
        </w:rPr>
        <w:t xml:space="preserve"> the ic</w:t>
      </w:r>
      <w:r>
        <w:rPr>
          <w:rFonts w:ascii="Times New Roman" w:hAnsi="Times New Roman"/>
          <w:color w:val="auto"/>
        </w:rPr>
        <w:t>e sheet to become unstable. That</w:t>
      </w:r>
      <w:r w:rsidRPr="00836208">
        <w:rPr>
          <w:rFonts w:ascii="Times New Roman" w:hAnsi="Times New Roman"/>
          <w:color w:val="auto"/>
        </w:rPr>
        <w:t xml:space="preserve"> process, known as Marine Ice Sheet Instability, may cause rapid ice sheet loss to occur over a few centuries or less.</w:t>
      </w:r>
      <w:r>
        <w:rPr>
          <w:rFonts w:ascii="Times New Roman" w:hAnsi="Times New Roman"/>
          <w:color w:val="auto"/>
        </w:rPr>
        <w:t xml:space="preserve"> </w:t>
      </w:r>
      <w:r w:rsidRPr="00836208">
        <w:rPr>
          <w:rFonts w:ascii="Times New Roman" w:hAnsi="Times New Roman"/>
          <w:color w:val="auto"/>
        </w:rPr>
        <w:t>Similar conditions exist in parts of East Antarctica and have become far better documented on the continent through coordinated scientific efforts over the past five years.</w:t>
      </w:r>
      <w:r>
        <w:rPr>
          <w:rStyle w:val="Refdenotaalpie"/>
          <w:rFonts w:ascii="Times New Roman" w:hAnsi="Times New Roman"/>
          <w:color w:val="auto"/>
        </w:rPr>
        <w:footnoteReference w:id="5"/>
      </w:r>
    </w:p>
    <w:p w14:paraId="18FB5F17" w14:textId="77777777" w:rsidR="00561C20" w:rsidRDefault="00561C20" w:rsidP="00561C20">
      <w:pPr>
        <w:pStyle w:val="Body"/>
        <w:spacing w:before="120" w:after="120"/>
        <w:rPr>
          <w:rFonts w:ascii="Times New Roman" w:hAnsi="Times New Roman"/>
          <w:color w:val="auto"/>
        </w:rPr>
      </w:pPr>
      <w:r>
        <w:rPr>
          <w:rFonts w:ascii="Times New Roman" w:hAnsi="Times New Roman"/>
          <w:color w:val="auto"/>
        </w:rPr>
        <w:t xml:space="preserve">Ice shelves also play a strong role in stabilizing much of the Antarctic ice sheet, buttressing (holding back) the land-based ice behind. Once an ice shelf disappears, as has occurred on the Antarctic Peninsula as well as Greenland, the outlet glaciers from the main ice sheet may speed up their discharge of ice into the ocean by several times. Once collapsed, ice shelves rarely re-form. </w:t>
      </w:r>
      <w:proofErr w:type="gramStart"/>
      <w:r>
        <w:rPr>
          <w:rFonts w:ascii="Times New Roman" w:hAnsi="Times New Roman"/>
          <w:color w:val="auto"/>
        </w:rPr>
        <w:t>On</w:t>
      </w:r>
      <w:proofErr w:type="gramEnd"/>
      <w:r>
        <w:rPr>
          <w:rFonts w:ascii="Times New Roman" w:hAnsi="Times New Roman"/>
          <w:color w:val="auto"/>
        </w:rPr>
        <w:t xml:space="preserve"> Greenland and the Antarctic Peninsula, there is no observed record of an ice shelf returning</w:t>
      </w:r>
      <w:r w:rsidRPr="00836208">
        <w:rPr>
          <w:rFonts w:ascii="Times New Roman" w:hAnsi="Times New Roman"/>
          <w:color w:val="auto"/>
        </w:rPr>
        <w:t xml:space="preserve"> </w:t>
      </w:r>
      <w:r>
        <w:rPr>
          <w:rFonts w:ascii="Times New Roman" w:hAnsi="Times New Roman"/>
          <w:color w:val="auto"/>
        </w:rPr>
        <w:t>even under a period of colder atmospheric temperatures, likely because the warmer surrounding ocean waters prevent ice shelf restoration.</w:t>
      </w:r>
    </w:p>
    <w:p w14:paraId="7E7BB1BF" w14:textId="77777777" w:rsidR="00561C20" w:rsidRPr="00EE4FFF" w:rsidRDefault="00561C20" w:rsidP="00561C20">
      <w:pPr>
        <w:pStyle w:val="ATSHeading2"/>
        <w:spacing w:before="360"/>
      </w:pPr>
      <w:r w:rsidRPr="00EE4FFF">
        <w:t>Extreme Modern Era Rates of CO2 and Temperature Rise</w:t>
      </w:r>
    </w:p>
    <w:p w14:paraId="6A5ED5A9" w14:textId="77777777" w:rsidR="00561C20" w:rsidRDefault="00561C20" w:rsidP="00561C20">
      <w:pPr>
        <w:pStyle w:val="Body"/>
        <w:spacing w:before="120" w:after="120"/>
        <w:rPr>
          <w:rFonts w:ascii="Times New Roman" w:hAnsi="Times New Roman"/>
          <w:color w:val="auto"/>
        </w:rPr>
      </w:pPr>
      <w:r>
        <w:rPr>
          <w:rFonts w:ascii="Times New Roman" w:hAnsi="Times New Roman"/>
          <w:color w:val="auto"/>
        </w:rPr>
        <w:t>Significantly, t</w:t>
      </w:r>
      <w:r w:rsidRPr="00836208">
        <w:rPr>
          <w:rFonts w:ascii="Times New Roman" w:hAnsi="Times New Roman"/>
          <w:color w:val="auto"/>
        </w:rPr>
        <w:t>he observed human-induced global temperature rises over recent decades</w:t>
      </w:r>
      <w:r>
        <w:rPr>
          <w:rFonts w:ascii="Times New Roman" w:hAnsi="Times New Roman"/>
          <w:color w:val="auto"/>
        </w:rPr>
        <w:t>, now unequivocally attributed by the Inter-government Panel on Climate Change largely to human greenhouse gas emissions</w:t>
      </w:r>
      <w:r>
        <w:rPr>
          <w:rStyle w:val="Refdenotaalpie"/>
          <w:rFonts w:ascii="Times New Roman" w:hAnsi="Times New Roman"/>
          <w:color w:val="auto"/>
        </w:rPr>
        <w:footnoteReference w:id="6"/>
      </w:r>
      <w:r>
        <w:rPr>
          <w:rFonts w:ascii="Times New Roman" w:hAnsi="Times New Roman"/>
          <w:color w:val="auto"/>
        </w:rPr>
        <w:t>,</w:t>
      </w:r>
      <w:r w:rsidRPr="00836208">
        <w:rPr>
          <w:rFonts w:ascii="Times New Roman" w:hAnsi="Times New Roman"/>
          <w:color w:val="auto"/>
        </w:rPr>
        <w:t xml:space="preserve"> is much faster than anything documented in the Earth</w:t>
      </w:r>
      <w:r w:rsidRPr="00836208">
        <w:rPr>
          <w:rFonts w:ascii="Times New Roman" w:hAnsi="Times New Roman"/>
          <w:color w:val="auto"/>
          <w:rtl/>
        </w:rPr>
        <w:t>’</w:t>
      </w:r>
      <w:r w:rsidRPr="00836208">
        <w:rPr>
          <w:rFonts w:ascii="Times New Roman" w:hAnsi="Times New Roman"/>
          <w:color w:val="auto"/>
        </w:rPr>
        <w:t>s past. CO</w:t>
      </w:r>
      <w:r w:rsidRPr="001B01F7">
        <w:rPr>
          <w:rFonts w:ascii="Times New Roman" w:hAnsi="Times New Roman"/>
          <w:color w:val="auto"/>
          <w:vertAlign w:val="subscript"/>
        </w:rPr>
        <w:t>2</w:t>
      </w:r>
      <w:r w:rsidRPr="00836208">
        <w:rPr>
          <w:rFonts w:ascii="Times New Roman" w:hAnsi="Times New Roman"/>
          <w:color w:val="auto"/>
        </w:rPr>
        <w:t xml:space="preserve"> increases in the last 50 years are 200 times greater than during the end of the last Ice Age</w:t>
      </w:r>
      <w:r>
        <w:rPr>
          <w:rFonts w:ascii="Times New Roman" w:hAnsi="Times New Roman"/>
          <w:color w:val="auto"/>
        </w:rPr>
        <w:t xml:space="preserve"> and period of rapid meltwater SLR 14,000 years ago.  This</w:t>
      </w:r>
      <w:r w:rsidRPr="00836208">
        <w:rPr>
          <w:rFonts w:ascii="Times New Roman" w:hAnsi="Times New Roman"/>
          <w:color w:val="auto"/>
        </w:rPr>
        <w:t xml:space="preserve"> means that future rates of ice sheet loss and </w:t>
      </w:r>
      <w:r>
        <w:rPr>
          <w:rFonts w:ascii="Times New Roman" w:hAnsi="Times New Roman"/>
          <w:color w:val="auto"/>
        </w:rPr>
        <w:t>SLR</w:t>
      </w:r>
      <w:r w:rsidRPr="00836208">
        <w:rPr>
          <w:rFonts w:ascii="Times New Roman" w:hAnsi="Times New Roman"/>
          <w:color w:val="auto"/>
        </w:rPr>
        <w:t xml:space="preserve"> could increase even further beyond the acceleration that has been observed over the past few decades</w:t>
      </w:r>
      <w:r>
        <w:rPr>
          <w:rFonts w:ascii="Times New Roman" w:hAnsi="Times New Roman"/>
          <w:color w:val="auto"/>
        </w:rPr>
        <w:t xml:space="preserve">, </w:t>
      </w:r>
      <w:r w:rsidRPr="00836208">
        <w:rPr>
          <w:rFonts w:ascii="Times New Roman" w:hAnsi="Times New Roman"/>
          <w:color w:val="auto"/>
        </w:rPr>
        <w:t xml:space="preserve">and potentially be more rapid than at any other time in </w:t>
      </w:r>
      <w:r>
        <w:rPr>
          <w:rFonts w:ascii="Times New Roman" w:hAnsi="Times New Roman"/>
          <w:color w:val="auto"/>
        </w:rPr>
        <w:t xml:space="preserve">at least </w:t>
      </w:r>
      <w:r w:rsidRPr="00836208">
        <w:rPr>
          <w:rFonts w:ascii="Times New Roman" w:hAnsi="Times New Roman"/>
          <w:color w:val="auto"/>
        </w:rPr>
        <w:t>the past 130,000 years.</w:t>
      </w:r>
    </w:p>
    <w:p w14:paraId="5337962D" w14:textId="77777777" w:rsidR="00561C20" w:rsidRPr="00944175" w:rsidRDefault="00561C20" w:rsidP="00561C20">
      <w:pPr>
        <w:pStyle w:val="Body"/>
        <w:spacing w:before="120" w:after="120"/>
        <w:rPr>
          <w:rFonts w:ascii="Times New Roman" w:hAnsi="Times New Roman"/>
          <w:color w:val="auto"/>
        </w:rPr>
      </w:pPr>
      <w:r>
        <w:rPr>
          <w:rFonts w:ascii="Times New Roman" w:hAnsi="Times New Roman"/>
          <w:color w:val="auto"/>
        </w:rPr>
        <w:lastRenderedPageBreak/>
        <w:t>This record from Earth’s past indicates that the gradient between 1°C and 2°C of warming holds high levels of risk for human societies on a global level.</w:t>
      </w:r>
      <w:r w:rsidRPr="00836208">
        <w:rPr>
          <w:rFonts w:ascii="Times New Roman" w:hAnsi="Times New Roman"/>
          <w:color w:val="auto"/>
        </w:rPr>
        <w:t xml:space="preserve"> </w:t>
      </w:r>
      <w:r>
        <w:rPr>
          <w:rFonts w:ascii="Times New Roman" w:hAnsi="Times New Roman"/>
          <w:color w:val="auto"/>
        </w:rPr>
        <w:t>Today’s b</w:t>
      </w:r>
      <w:r w:rsidRPr="00836208">
        <w:rPr>
          <w:rFonts w:ascii="Times New Roman" w:hAnsi="Times New Roman"/>
          <w:color w:val="auto"/>
        </w:rPr>
        <w:t>etter und</w:t>
      </w:r>
      <w:r>
        <w:rPr>
          <w:rFonts w:ascii="Times New Roman" w:hAnsi="Times New Roman"/>
          <w:color w:val="auto"/>
        </w:rPr>
        <w:t>erstanding of ice sheet behavio</w:t>
      </w:r>
      <w:r w:rsidRPr="00836208">
        <w:rPr>
          <w:rFonts w:ascii="Times New Roman" w:hAnsi="Times New Roman"/>
          <w:color w:val="auto"/>
        </w:rPr>
        <w:t xml:space="preserve">r, especially interactions between the ice and surrounding warming oceans informs us that ice sheet collapse and potentially rapid </w:t>
      </w:r>
      <w:r>
        <w:rPr>
          <w:rFonts w:ascii="Times New Roman" w:hAnsi="Times New Roman"/>
          <w:color w:val="auto"/>
        </w:rPr>
        <w:t>SLR</w:t>
      </w:r>
      <w:r w:rsidRPr="00836208">
        <w:rPr>
          <w:rFonts w:ascii="Times New Roman" w:hAnsi="Times New Roman"/>
          <w:color w:val="auto"/>
        </w:rPr>
        <w:t xml:space="preserve"> cannot be ruled out.</w:t>
      </w:r>
    </w:p>
    <w:p w14:paraId="168917C3" w14:textId="77777777" w:rsidR="00561C20" w:rsidRPr="00E61096" w:rsidRDefault="00561C20" w:rsidP="00561C20">
      <w:pPr>
        <w:pStyle w:val="ATSHeading2"/>
        <w:spacing w:before="360"/>
      </w:pPr>
      <w:r w:rsidRPr="00E61096">
        <w:t xml:space="preserve">Irreversible </w:t>
      </w:r>
      <w:r>
        <w:t>Ecosystem</w:t>
      </w:r>
      <w:r w:rsidRPr="00E61096">
        <w:t xml:space="preserve"> Impacts of Rapid CO2 Rise from Southern Ocean Acidification</w:t>
      </w:r>
    </w:p>
    <w:p w14:paraId="24615E65" w14:textId="77777777" w:rsidR="00561C20" w:rsidRDefault="00561C20" w:rsidP="00561C20">
      <w:pPr>
        <w:spacing w:before="120" w:after="120"/>
      </w:pPr>
      <w:r>
        <w:t>In addition to ice sheet loss from anthropogenic warming, the rise in CO</w:t>
      </w:r>
      <w:r w:rsidRPr="005B5B45">
        <w:rPr>
          <w:vertAlign w:val="subscript"/>
        </w:rPr>
        <w:t>2</w:t>
      </w:r>
      <w:r>
        <w:t xml:space="preserve"> has led to levels of ocean acidification unprecedented in at least the past 3 million years. The Southern Ocean has absorbed up to 40% of anthropogenic CO</w:t>
      </w:r>
      <w:r w:rsidRPr="005B5B45">
        <w:rPr>
          <w:vertAlign w:val="subscript"/>
        </w:rPr>
        <w:t>2</w:t>
      </w:r>
      <w:r>
        <w:t xml:space="preserve"> emissions from fossil fuel use over the past two centuries, thereby performing an invaluable ecosystem service by slowing global warming.  This is because its colder and fresher waters take up CO</w:t>
      </w:r>
      <w:r w:rsidRPr="005B5B45">
        <w:rPr>
          <w:vertAlign w:val="subscript"/>
        </w:rPr>
        <w:t>2</w:t>
      </w:r>
      <w:r>
        <w:t xml:space="preserve"> more readily than the mid-latitude and tropical oceans (a process also observed in the Arctic).  However, this has come at a high cost, as both polar oceans have become the most acidic on the planet.</w:t>
      </w:r>
    </w:p>
    <w:p w14:paraId="466F1844" w14:textId="77777777" w:rsidR="00561C20" w:rsidRDefault="00561C20" w:rsidP="00561C20">
      <w:pPr>
        <w:spacing w:before="120" w:after="120"/>
      </w:pPr>
      <w:r>
        <w:t xml:space="preserve">Shell damage to pteropods (a </w:t>
      </w:r>
      <w:proofErr w:type="gramStart"/>
      <w:r>
        <w:t>small shelled</w:t>
      </w:r>
      <w:proofErr w:type="gramEnd"/>
      <w:r>
        <w:t xml:space="preserve"> invertebrate at the base of the food chain) from corrosive waters was observed in samples from scattered regions of the Southern Ocean as early as 2008</w:t>
      </w:r>
      <w:r>
        <w:rPr>
          <w:rStyle w:val="Refdenotaalpie"/>
        </w:rPr>
        <w:footnoteReference w:id="7"/>
      </w:r>
      <w:r>
        <w:t>, when CO</w:t>
      </w:r>
      <w:r w:rsidRPr="00C80496">
        <w:rPr>
          <w:vertAlign w:val="subscript"/>
        </w:rPr>
        <w:t>2</w:t>
      </w:r>
      <w:r>
        <w:t xml:space="preserve"> levels were still below 400ppm. At today’s 420ppm, these regions and observations of shell damage are expanding rapidly at both poles.</w:t>
      </w:r>
    </w:p>
    <w:p w14:paraId="2F02BECC" w14:textId="77777777" w:rsidR="00561C20" w:rsidRDefault="00561C20" w:rsidP="00561C20">
      <w:pPr>
        <w:spacing w:before="120" w:after="120"/>
      </w:pPr>
      <w:r>
        <w:t>Should atmospheric CO</w:t>
      </w:r>
      <w:r w:rsidRPr="00C80496">
        <w:rPr>
          <w:vertAlign w:val="subscript"/>
        </w:rPr>
        <w:t>2</w:t>
      </w:r>
      <w:r>
        <w:t xml:space="preserve"> levels reach 450ppm – which at current rates of CO</w:t>
      </w:r>
      <w:r w:rsidRPr="00C80496">
        <w:rPr>
          <w:vertAlign w:val="subscript"/>
        </w:rPr>
        <w:t>2</w:t>
      </w:r>
      <w:r>
        <w:t xml:space="preserve"> increase given lack of concrete action on fossil fuel use, will occur in just 11 years – it is believed</w:t>
      </w:r>
      <w:r>
        <w:rPr>
          <w:rStyle w:val="Refdenotaalpie"/>
        </w:rPr>
        <w:footnoteReference w:id="8"/>
      </w:r>
      <w:r>
        <w:t xml:space="preserve"> that these regions of higher acidity in the Southern Ocean will have significant impacts on the ability of all species to reproduce, whether through acidification impacts on the shelled organisms at the base of most food chains, or directly from the additional pressures of warming waters from continued atmospheric heating; and less saline waters due to continued ice sheet melt.  Invasive species from lower latitudes will add to pressures on native Southern Ocean marine and marine-dependent species.  Higher still atmospheric levels of CO</w:t>
      </w:r>
      <w:r w:rsidRPr="00C80496">
        <w:rPr>
          <w:vertAlign w:val="subscript"/>
        </w:rPr>
        <w:t>2</w:t>
      </w:r>
      <w:r>
        <w:t xml:space="preserve">, beyond 450ppm will cause non-survivable levels of acidification to spread northwards, including into the southwestern Atlantic, home to the largest concentrations of Antarctic krill.  </w:t>
      </w:r>
    </w:p>
    <w:p w14:paraId="175E66A3" w14:textId="77777777" w:rsidR="00561C20" w:rsidRDefault="00561C20" w:rsidP="00561C20">
      <w:pPr>
        <w:spacing w:before="120" w:after="120"/>
      </w:pPr>
      <w:r>
        <w:t>Ocean acidification is an essentially non-reversible process on any human timescale.  The corrosive waters caused by CO</w:t>
      </w:r>
      <w:r w:rsidRPr="00C80496">
        <w:rPr>
          <w:vertAlign w:val="subscript"/>
        </w:rPr>
        <w:t>2</w:t>
      </w:r>
      <w:r>
        <w:t xml:space="preserve"> absorption will persist 30-50,000 years before pH levels can return to those of today.  The level of acidification, in other words, will be set entirely by peak CO</w:t>
      </w:r>
      <w:r w:rsidRPr="00C80496">
        <w:rPr>
          <w:vertAlign w:val="subscript"/>
        </w:rPr>
        <w:t>2</w:t>
      </w:r>
      <w:r>
        <w:t xml:space="preserve"> levels in the atmosphere; stabilize only when CO</w:t>
      </w:r>
      <w:r w:rsidRPr="00C80496">
        <w:rPr>
          <w:vertAlign w:val="subscript"/>
        </w:rPr>
        <w:t>2</w:t>
      </w:r>
      <w:r>
        <w:t xml:space="preserve"> levels decrease; but then take thousands of years to return to survivable levels. Should CO</w:t>
      </w:r>
      <w:r w:rsidRPr="00C80496">
        <w:rPr>
          <w:vertAlign w:val="subscript"/>
        </w:rPr>
        <w:t>2</w:t>
      </w:r>
      <w:r>
        <w:t xml:space="preserve"> levels continue to rise, a mass extinction event in the Southern Ocean becomes unavoidable.</w:t>
      </w:r>
      <w:r>
        <w:rPr>
          <w:rStyle w:val="Refdenotaalpie"/>
        </w:rPr>
        <w:footnoteReference w:id="9"/>
      </w:r>
      <w:r>
        <w:t xml:space="preserve"> In addition to loss of endemic Antarctic species and ecosystems, this will have far-reaching negative impacts on global fisheries and food production.</w:t>
      </w:r>
    </w:p>
    <w:p w14:paraId="1B943C7B" w14:textId="77777777" w:rsidR="00561C20" w:rsidRDefault="00561C20" w:rsidP="00561C20">
      <w:pPr>
        <w:pStyle w:val="ATSHeading2"/>
        <w:spacing w:before="240"/>
      </w:pPr>
      <w:r w:rsidRPr="00AC3B5D">
        <w:t>Recommendations</w:t>
      </w:r>
    </w:p>
    <w:p w14:paraId="20E0F62E" w14:textId="77777777" w:rsidR="00561C20" w:rsidRPr="00944175" w:rsidRDefault="00561C20" w:rsidP="00561C20">
      <w:pPr>
        <w:pStyle w:val="Body"/>
        <w:spacing w:before="120" w:after="120"/>
        <w:rPr>
          <w:rFonts w:ascii="Times New Roman" w:hAnsi="Times New Roman"/>
          <w:color w:val="auto"/>
        </w:rPr>
      </w:pPr>
      <w:r>
        <w:rPr>
          <w:rFonts w:ascii="Times New Roman" w:hAnsi="Times New Roman"/>
          <w:color w:val="auto"/>
        </w:rPr>
        <w:t>The ramifications of fast-evolving Antarctic science, and its clear communication</w:t>
      </w:r>
      <w:r w:rsidRPr="00836208">
        <w:rPr>
          <w:rFonts w:ascii="Times New Roman" w:hAnsi="Times New Roman"/>
          <w:color w:val="auto"/>
        </w:rPr>
        <w:t xml:space="preserve"> </w:t>
      </w:r>
      <w:r>
        <w:rPr>
          <w:rFonts w:ascii="Times New Roman" w:hAnsi="Times New Roman"/>
          <w:color w:val="auto"/>
        </w:rPr>
        <w:t>by ATCM bodies and ATCPs should comprise a matter of highest concern to the Treaty System.  Specifically:</w:t>
      </w:r>
    </w:p>
    <w:p w14:paraId="7150FEBA" w14:textId="77777777" w:rsidR="00561C20" w:rsidRDefault="00561C20" w:rsidP="00561C20">
      <w:pPr>
        <w:pStyle w:val="Prrafodelista"/>
        <w:numPr>
          <w:ilvl w:val="0"/>
          <w:numId w:val="21"/>
        </w:numPr>
      </w:pPr>
      <w:r>
        <w:t>ATCPs should work to bring these scientific findings to strong global attention at the 27</w:t>
      </w:r>
      <w:r w:rsidRPr="00581C97">
        <w:rPr>
          <w:vertAlign w:val="superscript"/>
        </w:rPr>
        <w:t>th</w:t>
      </w:r>
      <w:r>
        <w:t xml:space="preserve"> Conference of Parties (COP-27) of the United Nations Framework Convention on Climate Change (UNFCCC) in Sharm-al-Sheikh, Egypt in November 2022; and at </w:t>
      </w:r>
      <w:r>
        <w:lastRenderedPageBreak/>
        <w:t xml:space="preserve">COP-28 in Dubai, United Arab Emirates, especially </w:t>
      </w:r>
      <w:proofErr w:type="gramStart"/>
      <w:r>
        <w:t>in light of</w:t>
      </w:r>
      <w:proofErr w:type="gramEnd"/>
      <w:r>
        <w:t xml:space="preserve"> the vulnerability of both host nations to even moderate levels of SLR.</w:t>
      </w:r>
      <w:r>
        <w:rPr>
          <w:rStyle w:val="Refdenotaalpie"/>
        </w:rPr>
        <w:footnoteReference w:id="10"/>
      </w:r>
    </w:p>
    <w:p w14:paraId="4B49125E" w14:textId="77777777" w:rsidR="00561C20" w:rsidRDefault="00561C20" w:rsidP="00561C20">
      <w:pPr>
        <w:pStyle w:val="Prrafodelista"/>
        <w:numPr>
          <w:ilvl w:val="0"/>
          <w:numId w:val="21"/>
        </w:numPr>
      </w:pPr>
      <w:r>
        <w:t xml:space="preserve">ATCPs should further re-examine and revise their own NDCs </w:t>
      </w:r>
      <w:proofErr w:type="gramStart"/>
      <w:r>
        <w:t>in light of</w:t>
      </w:r>
      <w:proofErr w:type="gramEnd"/>
      <w:r>
        <w:t xml:space="preserve"> the non-adaptable impacts, on both national and global levels, of irreversible Antarctic change.</w:t>
      </w:r>
    </w:p>
    <w:p w14:paraId="4D527019" w14:textId="77777777" w:rsidR="00561C20" w:rsidRDefault="00561C20" w:rsidP="00561C20">
      <w:pPr>
        <w:pStyle w:val="Prrafodelista"/>
        <w:numPr>
          <w:ilvl w:val="0"/>
          <w:numId w:val="21"/>
        </w:numPr>
      </w:pPr>
      <w:r>
        <w:t>Future ATCMs should regularly consider developments in Antarctic science that have implications for global impacts and limits of national adaptation by ATCPs and other governments, including consideration of potential inputs from ATCMs into other appropriate forums.</w:t>
      </w:r>
    </w:p>
    <w:p w14:paraId="6EA341A7" w14:textId="77777777" w:rsidR="00561C20" w:rsidRDefault="00561C20" w:rsidP="00561C20">
      <w:pPr>
        <w:pStyle w:val="Prrafodelista"/>
        <w:numPr>
          <w:ilvl w:val="0"/>
          <w:numId w:val="21"/>
        </w:numPr>
      </w:pPr>
      <w:r>
        <w:t>The ATCM should agree on ways to bring this science and its policy implications to greater public and political</w:t>
      </w:r>
      <w:r w:rsidRPr="00836208">
        <w:t xml:space="preserve"> </w:t>
      </w:r>
      <w:r>
        <w:t xml:space="preserve">attention at future COPs, for example by charging the Secretariat, </w:t>
      </w:r>
      <w:proofErr w:type="gramStart"/>
      <w:r>
        <w:t>CEP</w:t>
      </w:r>
      <w:proofErr w:type="gramEnd"/>
      <w:r>
        <w:t xml:space="preserve"> or successive Chairs of the ATCM to do so.</w:t>
      </w:r>
    </w:p>
    <w:p w14:paraId="081A83F4" w14:textId="77777777" w:rsidR="00561C20" w:rsidRDefault="00561C20" w:rsidP="00561C20">
      <w:pPr>
        <w:pStyle w:val="Prrafodelista"/>
        <w:numPr>
          <w:ilvl w:val="0"/>
          <w:numId w:val="21"/>
        </w:numPr>
      </w:pPr>
      <w:r>
        <w:t xml:space="preserve">The ATCM might also request SCAR officially to represent Antarctica at each COP, </w:t>
      </w:r>
      <w:proofErr w:type="gramStart"/>
      <w:r>
        <w:t>in light of</w:t>
      </w:r>
      <w:proofErr w:type="gramEnd"/>
      <w:r>
        <w:t xml:space="preserve"> the reality that this 10% of Earth’s land mass otherwise is unrepresented within the Framework Convention.</w:t>
      </w:r>
    </w:p>
    <w:p w14:paraId="7C44EAD9" w14:textId="77777777" w:rsidR="00561C20" w:rsidRDefault="00561C20" w:rsidP="00561C20"/>
    <w:p w14:paraId="359412FE" w14:textId="77777777" w:rsidR="00561C20" w:rsidRDefault="00561C20" w:rsidP="00952E9F"/>
    <w:sectPr w:rsidR="00561C2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DCD53" w14:textId="77777777" w:rsidR="00000000" w:rsidRDefault="00561C20">
      <w:r>
        <w:separator/>
      </w:r>
    </w:p>
  </w:endnote>
  <w:endnote w:type="continuationSeparator" w:id="0">
    <w:p w14:paraId="6905F75C" w14:textId="77777777" w:rsidR="00000000" w:rsidRDefault="0056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mbria"/>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F743" w14:textId="77777777" w:rsidR="00FA0B9F" w:rsidRDefault="00561C20" w:rsidP="00CF5C82">
    <w:pPr>
      <w:framePr w:wrap="around" w:vAnchor="text" w:hAnchor="margin" w:xAlign="right" w:y="1"/>
    </w:pPr>
    <w:r>
      <w:fldChar w:fldCharType="begin"/>
    </w:r>
    <w:r>
      <w:instrText xml:space="preserve">PAGE  </w:instrText>
    </w:r>
    <w:r>
      <w:fldChar w:fldCharType="separate"/>
    </w:r>
    <w:r>
      <w:fldChar w:fldCharType="end"/>
    </w:r>
  </w:p>
  <w:p w14:paraId="52EC9D3B" w14:textId="77777777" w:rsidR="00FA0B9F" w:rsidRDefault="00561C2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BCD6" w14:textId="77777777" w:rsidR="00FA0B9F" w:rsidRDefault="00561C2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652223A" w14:textId="6259FCD2" w:rsidR="00FA0B9F" w:rsidRDefault="00561C2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7EADD" w14:textId="77777777" w:rsidR="00561C20" w:rsidRDefault="00561C2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9BBF" w14:textId="77777777" w:rsidR="00E311C9" w:rsidRDefault="00561C2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F19EC7D" w14:textId="77777777" w:rsidR="00E311C9" w:rsidRDefault="00561C2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119B" w14:textId="77777777" w:rsidR="00000000" w:rsidRDefault="00561C20">
      <w:r>
        <w:separator/>
      </w:r>
    </w:p>
  </w:footnote>
  <w:footnote w:type="continuationSeparator" w:id="0">
    <w:p w14:paraId="4735E01B" w14:textId="77777777" w:rsidR="00000000" w:rsidRDefault="00561C20">
      <w:r>
        <w:continuationSeparator/>
      </w:r>
    </w:p>
  </w:footnote>
  <w:footnote w:id="1">
    <w:p w14:paraId="7AF28469" w14:textId="77777777" w:rsidR="00561C20" w:rsidRPr="00944175" w:rsidRDefault="00561C20" w:rsidP="00561C20">
      <w:pPr>
        <w:rPr>
          <w:sz w:val="19"/>
          <w:szCs w:val="19"/>
          <w:lang w:val="en-US"/>
        </w:rPr>
      </w:pPr>
      <w:r w:rsidRPr="00944175">
        <w:rPr>
          <w:rStyle w:val="Refdenotaalpie"/>
          <w:sz w:val="19"/>
          <w:szCs w:val="19"/>
        </w:rPr>
        <w:footnoteRef/>
      </w:r>
      <w:r w:rsidRPr="00944175">
        <w:rPr>
          <w:sz w:val="19"/>
          <w:szCs w:val="19"/>
        </w:rPr>
        <w:t xml:space="preserve"> </w:t>
      </w:r>
      <w:r w:rsidRPr="00944175">
        <w:rPr>
          <w:rFonts w:cs="Segoe UI"/>
          <w:color w:val="212529"/>
          <w:sz w:val="19"/>
          <w:szCs w:val="19"/>
          <w:shd w:val="clear" w:color="auto" w:fill="FFFFFF"/>
          <w:lang w:val="en-US"/>
        </w:rPr>
        <w:t>IPCC, 2022: </w:t>
      </w:r>
      <w:r w:rsidRPr="00944175">
        <w:rPr>
          <w:rFonts w:cs="Segoe UI"/>
          <w:i/>
          <w:color w:val="212529"/>
          <w:sz w:val="19"/>
          <w:szCs w:val="19"/>
          <w:shd w:val="clear" w:color="auto" w:fill="FFFFFF"/>
          <w:lang w:val="en-US"/>
        </w:rPr>
        <w:t>Climate Change 2022: Impacts, Adaptation, and Vulnerability. </w:t>
      </w:r>
      <w:r w:rsidRPr="00944175">
        <w:rPr>
          <w:rFonts w:cs="Segoe UI"/>
          <w:color w:val="212529"/>
          <w:sz w:val="19"/>
          <w:szCs w:val="19"/>
          <w:shd w:val="clear" w:color="auto" w:fill="FFFFFF"/>
          <w:lang w:val="en-US"/>
        </w:rPr>
        <w:t xml:space="preserve">Contribution of Working Group II to the Sixth Assessment Report of the Intergovernmental Panel on Climate Change [H.-O. </w:t>
      </w:r>
      <w:proofErr w:type="spellStart"/>
      <w:r w:rsidRPr="00944175">
        <w:rPr>
          <w:rFonts w:cs="Segoe UI"/>
          <w:color w:val="212529"/>
          <w:sz w:val="19"/>
          <w:szCs w:val="19"/>
          <w:shd w:val="clear" w:color="auto" w:fill="FFFFFF"/>
          <w:lang w:val="en-US"/>
        </w:rPr>
        <w:t>Pörtner</w:t>
      </w:r>
      <w:proofErr w:type="spellEnd"/>
      <w:r w:rsidRPr="00944175">
        <w:rPr>
          <w:rFonts w:cs="Segoe UI"/>
          <w:color w:val="212529"/>
          <w:sz w:val="19"/>
          <w:szCs w:val="19"/>
          <w:shd w:val="clear" w:color="auto" w:fill="FFFFFF"/>
          <w:lang w:val="en-US"/>
        </w:rPr>
        <w:t xml:space="preserve">, D.C. Roberts, M. </w:t>
      </w:r>
      <w:proofErr w:type="spellStart"/>
      <w:r w:rsidRPr="00944175">
        <w:rPr>
          <w:rFonts w:cs="Segoe UI"/>
          <w:color w:val="212529"/>
          <w:sz w:val="19"/>
          <w:szCs w:val="19"/>
          <w:shd w:val="clear" w:color="auto" w:fill="FFFFFF"/>
          <w:lang w:val="en-US"/>
        </w:rPr>
        <w:t>Tignor</w:t>
      </w:r>
      <w:proofErr w:type="spellEnd"/>
      <w:r w:rsidRPr="00944175">
        <w:rPr>
          <w:rFonts w:cs="Segoe UI"/>
          <w:color w:val="212529"/>
          <w:sz w:val="19"/>
          <w:szCs w:val="19"/>
          <w:shd w:val="clear" w:color="auto" w:fill="FFFFFF"/>
          <w:lang w:val="en-US"/>
        </w:rPr>
        <w:t xml:space="preserve">, E.S. </w:t>
      </w:r>
      <w:proofErr w:type="spellStart"/>
      <w:r w:rsidRPr="00944175">
        <w:rPr>
          <w:rFonts w:cs="Segoe UI"/>
          <w:color w:val="212529"/>
          <w:sz w:val="19"/>
          <w:szCs w:val="19"/>
          <w:shd w:val="clear" w:color="auto" w:fill="FFFFFF"/>
          <w:lang w:val="en-US"/>
        </w:rPr>
        <w:t>Poloczanska</w:t>
      </w:r>
      <w:proofErr w:type="spellEnd"/>
      <w:r w:rsidRPr="00944175">
        <w:rPr>
          <w:rFonts w:cs="Segoe UI"/>
          <w:color w:val="212529"/>
          <w:sz w:val="19"/>
          <w:szCs w:val="19"/>
          <w:shd w:val="clear" w:color="auto" w:fill="FFFFFF"/>
          <w:lang w:val="en-US"/>
        </w:rPr>
        <w:t xml:space="preserve">, K. </w:t>
      </w:r>
      <w:proofErr w:type="spellStart"/>
      <w:r w:rsidRPr="00944175">
        <w:rPr>
          <w:rFonts w:cs="Segoe UI"/>
          <w:color w:val="212529"/>
          <w:sz w:val="19"/>
          <w:szCs w:val="19"/>
          <w:shd w:val="clear" w:color="auto" w:fill="FFFFFF"/>
          <w:lang w:val="en-US"/>
        </w:rPr>
        <w:t>Mintenbeck</w:t>
      </w:r>
      <w:proofErr w:type="spellEnd"/>
      <w:r w:rsidRPr="00944175">
        <w:rPr>
          <w:rFonts w:cs="Segoe UI"/>
          <w:color w:val="212529"/>
          <w:sz w:val="19"/>
          <w:szCs w:val="19"/>
          <w:shd w:val="clear" w:color="auto" w:fill="FFFFFF"/>
          <w:lang w:val="en-US"/>
        </w:rPr>
        <w:t xml:space="preserve">, A. </w:t>
      </w:r>
      <w:proofErr w:type="spellStart"/>
      <w:r w:rsidRPr="00944175">
        <w:rPr>
          <w:rFonts w:cs="Segoe UI"/>
          <w:color w:val="212529"/>
          <w:sz w:val="19"/>
          <w:szCs w:val="19"/>
          <w:shd w:val="clear" w:color="auto" w:fill="FFFFFF"/>
          <w:lang w:val="en-US"/>
        </w:rPr>
        <w:t>Alegría</w:t>
      </w:r>
      <w:proofErr w:type="spellEnd"/>
      <w:r w:rsidRPr="00944175">
        <w:rPr>
          <w:rFonts w:cs="Segoe UI"/>
          <w:color w:val="212529"/>
          <w:sz w:val="19"/>
          <w:szCs w:val="19"/>
          <w:shd w:val="clear" w:color="auto" w:fill="FFFFFF"/>
          <w:lang w:val="en-US"/>
        </w:rPr>
        <w:t xml:space="preserve">, M. Craig, S. </w:t>
      </w:r>
      <w:proofErr w:type="spellStart"/>
      <w:r w:rsidRPr="00944175">
        <w:rPr>
          <w:rFonts w:cs="Segoe UI"/>
          <w:color w:val="212529"/>
          <w:sz w:val="19"/>
          <w:szCs w:val="19"/>
          <w:shd w:val="clear" w:color="auto" w:fill="FFFFFF"/>
          <w:lang w:val="en-US"/>
        </w:rPr>
        <w:t>Langsdorf</w:t>
      </w:r>
      <w:proofErr w:type="spellEnd"/>
      <w:r w:rsidRPr="00944175">
        <w:rPr>
          <w:rFonts w:cs="Segoe UI"/>
          <w:color w:val="212529"/>
          <w:sz w:val="19"/>
          <w:szCs w:val="19"/>
          <w:shd w:val="clear" w:color="auto" w:fill="FFFFFF"/>
          <w:lang w:val="en-US"/>
        </w:rPr>
        <w:t xml:space="preserve">, S. </w:t>
      </w:r>
      <w:proofErr w:type="spellStart"/>
      <w:r w:rsidRPr="00944175">
        <w:rPr>
          <w:rFonts w:cs="Segoe UI"/>
          <w:color w:val="212529"/>
          <w:sz w:val="19"/>
          <w:szCs w:val="19"/>
          <w:shd w:val="clear" w:color="auto" w:fill="FFFFFF"/>
          <w:lang w:val="en-US"/>
        </w:rPr>
        <w:t>Löschke</w:t>
      </w:r>
      <w:proofErr w:type="spellEnd"/>
      <w:r w:rsidRPr="00944175">
        <w:rPr>
          <w:rFonts w:cs="Segoe UI"/>
          <w:color w:val="212529"/>
          <w:sz w:val="19"/>
          <w:szCs w:val="19"/>
          <w:shd w:val="clear" w:color="auto" w:fill="FFFFFF"/>
          <w:lang w:val="en-US"/>
        </w:rPr>
        <w:t xml:space="preserve">, V. </w:t>
      </w:r>
      <w:proofErr w:type="spellStart"/>
      <w:r w:rsidRPr="00944175">
        <w:rPr>
          <w:rFonts w:cs="Segoe UI"/>
          <w:color w:val="212529"/>
          <w:sz w:val="19"/>
          <w:szCs w:val="19"/>
          <w:shd w:val="clear" w:color="auto" w:fill="FFFFFF"/>
          <w:lang w:val="en-US"/>
        </w:rPr>
        <w:t>Möller</w:t>
      </w:r>
      <w:proofErr w:type="spellEnd"/>
      <w:r w:rsidRPr="00944175">
        <w:rPr>
          <w:rFonts w:cs="Segoe UI"/>
          <w:color w:val="212529"/>
          <w:sz w:val="19"/>
          <w:szCs w:val="19"/>
          <w:shd w:val="clear" w:color="auto" w:fill="FFFFFF"/>
          <w:lang w:val="en-US"/>
        </w:rPr>
        <w:t xml:space="preserve">, A. </w:t>
      </w:r>
      <w:proofErr w:type="spellStart"/>
      <w:r w:rsidRPr="00944175">
        <w:rPr>
          <w:rFonts w:cs="Segoe UI"/>
          <w:color w:val="212529"/>
          <w:sz w:val="19"/>
          <w:szCs w:val="19"/>
          <w:shd w:val="clear" w:color="auto" w:fill="FFFFFF"/>
          <w:lang w:val="en-US"/>
        </w:rPr>
        <w:t>Okem</w:t>
      </w:r>
      <w:proofErr w:type="spellEnd"/>
      <w:r w:rsidRPr="00944175">
        <w:rPr>
          <w:rFonts w:cs="Segoe UI"/>
          <w:color w:val="212529"/>
          <w:sz w:val="19"/>
          <w:szCs w:val="19"/>
          <w:shd w:val="clear" w:color="auto" w:fill="FFFFFF"/>
          <w:lang w:val="en-US"/>
        </w:rPr>
        <w:t>, B. Rama (eds.)]. Cambridge University Press. In Press.</w:t>
      </w:r>
    </w:p>
  </w:footnote>
  <w:footnote w:id="2">
    <w:p w14:paraId="44CE9A78" w14:textId="77777777" w:rsidR="00561C20" w:rsidRPr="00311014" w:rsidRDefault="00561C20" w:rsidP="00561C20">
      <w:pPr>
        <w:shd w:val="clear" w:color="auto" w:fill="FFFFFF"/>
        <w:rPr>
          <w:rFonts w:cstheme="majorHAnsi"/>
          <w:color w:val="222222"/>
          <w:sz w:val="20"/>
          <w:lang w:val="it-IT"/>
        </w:rPr>
      </w:pPr>
      <w:r w:rsidRPr="00944175">
        <w:rPr>
          <w:rStyle w:val="Refdenotaalpie"/>
          <w:sz w:val="19"/>
          <w:szCs w:val="19"/>
        </w:rPr>
        <w:footnoteRef/>
      </w:r>
      <w:r w:rsidRPr="00944175">
        <w:rPr>
          <w:sz w:val="19"/>
          <w:szCs w:val="19"/>
        </w:rPr>
        <w:t xml:space="preserve"> </w:t>
      </w:r>
      <w:r w:rsidRPr="00944175">
        <w:rPr>
          <w:rFonts w:cstheme="majorHAnsi"/>
          <w:color w:val="222222"/>
          <w:sz w:val="19"/>
          <w:szCs w:val="19"/>
          <w:lang w:val="en-US"/>
        </w:rPr>
        <w:t xml:space="preserve">Blackburn, T., Edwards, G., </w:t>
      </w:r>
      <w:proofErr w:type="spellStart"/>
      <w:r w:rsidRPr="00944175">
        <w:rPr>
          <w:rFonts w:cstheme="majorHAnsi"/>
          <w:color w:val="222222"/>
          <w:sz w:val="19"/>
          <w:szCs w:val="19"/>
          <w:lang w:val="en-US"/>
        </w:rPr>
        <w:t>Tulaczyk</w:t>
      </w:r>
      <w:proofErr w:type="spellEnd"/>
      <w:r w:rsidRPr="00944175">
        <w:rPr>
          <w:rFonts w:cstheme="majorHAnsi"/>
          <w:color w:val="222222"/>
          <w:sz w:val="19"/>
          <w:szCs w:val="19"/>
          <w:lang w:val="en-US"/>
        </w:rPr>
        <w:t xml:space="preserve">, S., Scudder, M., </w:t>
      </w:r>
      <w:proofErr w:type="spellStart"/>
      <w:r w:rsidRPr="00944175">
        <w:rPr>
          <w:rFonts w:cstheme="majorHAnsi"/>
          <w:color w:val="222222"/>
          <w:sz w:val="19"/>
          <w:szCs w:val="19"/>
          <w:lang w:val="en-US"/>
        </w:rPr>
        <w:t>Piccione</w:t>
      </w:r>
      <w:proofErr w:type="spellEnd"/>
      <w:r w:rsidRPr="00944175">
        <w:rPr>
          <w:rFonts w:cstheme="majorHAnsi"/>
          <w:color w:val="222222"/>
          <w:sz w:val="19"/>
          <w:szCs w:val="19"/>
          <w:lang w:val="en-US"/>
        </w:rPr>
        <w:t xml:space="preserve">, G., </w:t>
      </w:r>
      <w:proofErr w:type="spellStart"/>
      <w:r w:rsidRPr="00944175">
        <w:rPr>
          <w:rFonts w:cstheme="majorHAnsi"/>
          <w:color w:val="222222"/>
          <w:sz w:val="19"/>
          <w:szCs w:val="19"/>
          <w:lang w:val="en-US"/>
        </w:rPr>
        <w:t>Hallet</w:t>
      </w:r>
      <w:proofErr w:type="spellEnd"/>
      <w:r w:rsidRPr="00944175">
        <w:rPr>
          <w:rFonts w:cstheme="majorHAnsi"/>
          <w:color w:val="222222"/>
          <w:sz w:val="19"/>
          <w:szCs w:val="19"/>
          <w:lang w:val="en-US"/>
        </w:rPr>
        <w:t xml:space="preserve">, B., . . . </w:t>
      </w:r>
      <w:proofErr w:type="spellStart"/>
      <w:r w:rsidRPr="00944175">
        <w:rPr>
          <w:rFonts w:cstheme="majorHAnsi"/>
          <w:color w:val="222222"/>
          <w:sz w:val="19"/>
          <w:szCs w:val="19"/>
          <w:lang w:val="en-US"/>
        </w:rPr>
        <w:t>Babbe</w:t>
      </w:r>
      <w:proofErr w:type="spellEnd"/>
      <w:r w:rsidRPr="00944175">
        <w:rPr>
          <w:rFonts w:cstheme="majorHAnsi"/>
          <w:color w:val="222222"/>
          <w:sz w:val="19"/>
          <w:szCs w:val="19"/>
          <w:lang w:val="en-US"/>
        </w:rPr>
        <w:t xml:space="preserve">, J. (2020). Ice retreat in Wilkes Basin of East Antarctica during a warm interglacial. </w:t>
      </w:r>
      <w:r w:rsidRPr="00944175">
        <w:rPr>
          <w:rFonts w:cstheme="majorHAnsi"/>
          <w:color w:val="222222"/>
          <w:sz w:val="19"/>
          <w:szCs w:val="19"/>
          <w:lang w:val="it-IT"/>
        </w:rPr>
        <w:t xml:space="preserve">Nature, 554–559. </w:t>
      </w:r>
      <w:r>
        <w:fldChar w:fldCharType="begin"/>
      </w:r>
      <w:r>
        <w:instrText xml:space="preserve"> HYPERLINK "https://doi.org/10.26022/IEDA/111548" </w:instrText>
      </w:r>
      <w:r>
        <w:fldChar w:fldCharType="separate"/>
      </w:r>
      <w:r w:rsidRPr="00944175">
        <w:rPr>
          <w:rStyle w:val="Hipervnculo"/>
          <w:rFonts w:cstheme="majorHAnsi"/>
          <w:color w:val="006699"/>
          <w:sz w:val="19"/>
          <w:szCs w:val="19"/>
          <w:shd w:val="clear" w:color="auto" w:fill="FFFFFF"/>
          <w:lang w:val="it-IT"/>
        </w:rPr>
        <w:t>https://doi.org/10.26022/IEDA/111548</w:t>
      </w:r>
      <w:r>
        <w:rPr>
          <w:rStyle w:val="Hipervnculo"/>
          <w:rFonts w:cstheme="majorHAnsi"/>
          <w:color w:val="006699"/>
          <w:sz w:val="19"/>
          <w:szCs w:val="19"/>
          <w:shd w:val="clear" w:color="auto" w:fill="FFFFFF"/>
          <w:lang w:val="it-IT"/>
        </w:rPr>
        <w:fldChar w:fldCharType="end"/>
      </w:r>
    </w:p>
  </w:footnote>
  <w:footnote w:id="3">
    <w:p w14:paraId="4508BDD8" w14:textId="77777777" w:rsidR="00561C20" w:rsidRPr="00944175" w:rsidRDefault="00561C20" w:rsidP="00561C20">
      <w:pPr>
        <w:pStyle w:val="Textonotapie"/>
        <w:rPr>
          <w:sz w:val="19"/>
          <w:szCs w:val="19"/>
        </w:rPr>
      </w:pPr>
      <w:r w:rsidRPr="00944175">
        <w:rPr>
          <w:rStyle w:val="Refdenotaalpie"/>
          <w:sz w:val="19"/>
          <w:szCs w:val="19"/>
        </w:rPr>
        <w:footnoteRef/>
      </w:r>
      <w:r w:rsidRPr="00944175">
        <w:rPr>
          <w:sz w:val="19"/>
          <w:szCs w:val="19"/>
          <w:lang w:val="it-IT"/>
        </w:rPr>
        <w:t xml:space="preserve"> </w:t>
      </w:r>
      <w:r w:rsidRPr="00944175">
        <w:rPr>
          <w:rFonts w:cstheme="majorHAnsi"/>
          <w:color w:val="222222"/>
          <w:sz w:val="19"/>
          <w:szCs w:val="19"/>
          <w:lang w:val="it-IT"/>
        </w:rPr>
        <w:t xml:space="preserve">DeConto, R., Pollard, D., Alley, R., Velicogna, I., Gasson, E., Gomez, N., . . . </w:t>
      </w:r>
      <w:r w:rsidRPr="00944175">
        <w:rPr>
          <w:rFonts w:cstheme="majorHAnsi"/>
          <w:color w:val="222222"/>
          <w:sz w:val="19"/>
          <w:szCs w:val="19"/>
          <w:lang w:val="en-US"/>
        </w:rPr>
        <w:t xml:space="preserve">Dutton, A. (2021). The Paris Climate Agreement and future sea-level rise from Antarctica. Nature, 83-89. </w:t>
      </w:r>
      <w:hyperlink r:id="rId1" w:history="1">
        <w:r w:rsidRPr="00944175">
          <w:rPr>
            <w:rStyle w:val="Hipervnculo"/>
            <w:rFonts w:cstheme="majorHAnsi"/>
            <w:color w:val="006699"/>
            <w:sz w:val="19"/>
            <w:szCs w:val="19"/>
            <w:shd w:val="clear" w:color="auto" w:fill="FFFFFF"/>
          </w:rPr>
          <w:t>https://doi.org/10.1038/s41586-021-03427-0</w:t>
        </w:r>
      </w:hyperlink>
    </w:p>
  </w:footnote>
  <w:footnote w:id="4">
    <w:p w14:paraId="7B67CF8C" w14:textId="77777777" w:rsidR="00561C20" w:rsidRPr="00944175" w:rsidRDefault="00561C20" w:rsidP="00561C20">
      <w:pPr>
        <w:rPr>
          <w:rFonts w:cstheme="majorHAnsi"/>
          <w:sz w:val="19"/>
          <w:szCs w:val="19"/>
          <w:lang w:eastAsia="en-GB"/>
        </w:rPr>
      </w:pPr>
      <w:r w:rsidRPr="00944175">
        <w:rPr>
          <w:rStyle w:val="Refdenotaalpie"/>
          <w:sz w:val="19"/>
          <w:szCs w:val="19"/>
        </w:rPr>
        <w:footnoteRef/>
      </w:r>
      <w:r w:rsidRPr="00944175">
        <w:rPr>
          <w:sz w:val="19"/>
          <w:szCs w:val="19"/>
        </w:rPr>
        <w:t xml:space="preserve"> </w:t>
      </w:r>
      <w:r w:rsidRPr="00944175">
        <w:rPr>
          <w:rFonts w:cstheme="majorHAnsi"/>
          <w:sz w:val="19"/>
          <w:szCs w:val="19"/>
          <w:lang w:val="en-US"/>
        </w:rPr>
        <w:t xml:space="preserve">Dutton, A., Carlson, A., Long, A., Milne, G., Clark, P., </w:t>
      </w:r>
      <w:proofErr w:type="spellStart"/>
      <w:r w:rsidRPr="00944175">
        <w:rPr>
          <w:rFonts w:cstheme="majorHAnsi"/>
          <w:sz w:val="19"/>
          <w:szCs w:val="19"/>
          <w:lang w:val="en-US"/>
        </w:rPr>
        <w:t>DeConto</w:t>
      </w:r>
      <w:proofErr w:type="spellEnd"/>
      <w:r w:rsidRPr="00944175">
        <w:rPr>
          <w:rFonts w:cstheme="majorHAnsi"/>
          <w:sz w:val="19"/>
          <w:szCs w:val="19"/>
          <w:lang w:val="en-US"/>
        </w:rPr>
        <w:t xml:space="preserve">, R., . . . </w:t>
      </w:r>
      <w:proofErr w:type="spellStart"/>
      <w:r w:rsidRPr="00944175">
        <w:rPr>
          <w:rFonts w:cstheme="majorHAnsi"/>
          <w:sz w:val="19"/>
          <w:szCs w:val="19"/>
          <w:lang w:val="en-US"/>
        </w:rPr>
        <w:t>Raymon</w:t>
      </w:r>
      <w:proofErr w:type="spellEnd"/>
      <w:r w:rsidRPr="00944175">
        <w:rPr>
          <w:rFonts w:cstheme="majorHAnsi"/>
          <w:sz w:val="19"/>
          <w:szCs w:val="19"/>
          <w:lang w:val="en-US"/>
        </w:rPr>
        <w:t xml:space="preserve">, M. (2015). Sea-level rise due to polar ice-sheet mass loss during past warm periods. </w:t>
      </w:r>
      <w:r w:rsidRPr="00944175">
        <w:rPr>
          <w:rFonts w:cstheme="majorHAnsi"/>
          <w:sz w:val="19"/>
          <w:szCs w:val="19"/>
        </w:rPr>
        <w:t>Science. https://</w:t>
      </w:r>
      <w:hyperlink r:id="rId2" w:history="1">
        <w:r w:rsidRPr="00944175">
          <w:rPr>
            <w:rStyle w:val="Hipervnculo"/>
            <w:rFonts w:cstheme="majorHAnsi"/>
            <w:sz w:val="19"/>
            <w:szCs w:val="19"/>
          </w:rPr>
          <w:t>DOI.org/10.1126/science.aaa4019</w:t>
        </w:r>
      </w:hyperlink>
    </w:p>
  </w:footnote>
  <w:footnote w:id="5">
    <w:p w14:paraId="58922405" w14:textId="77777777" w:rsidR="00561C20" w:rsidRPr="00944175" w:rsidRDefault="00561C20" w:rsidP="00561C20">
      <w:pPr>
        <w:shd w:val="clear" w:color="auto" w:fill="FFFFFF"/>
        <w:rPr>
          <w:rFonts w:cstheme="majorHAnsi"/>
          <w:sz w:val="19"/>
          <w:szCs w:val="19"/>
          <w:lang w:val="en-US"/>
        </w:rPr>
      </w:pPr>
      <w:r w:rsidRPr="00944175">
        <w:rPr>
          <w:rStyle w:val="Refdenotaalpie"/>
          <w:sz w:val="19"/>
          <w:szCs w:val="19"/>
        </w:rPr>
        <w:footnoteRef/>
      </w:r>
      <w:r w:rsidRPr="00944175">
        <w:rPr>
          <w:sz w:val="19"/>
          <w:szCs w:val="19"/>
        </w:rPr>
        <w:t xml:space="preserve"> </w:t>
      </w:r>
      <w:r w:rsidRPr="00944175">
        <w:rPr>
          <w:rFonts w:cstheme="majorHAnsi"/>
          <w:sz w:val="19"/>
          <w:szCs w:val="19"/>
          <w:lang w:val="en-US"/>
        </w:rPr>
        <w:t xml:space="preserve">Crawford, A., Benn, D., Todd, J., </w:t>
      </w:r>
      <w:proofErr w:type="spellStart"/>
      <w:r w:rsidRPr="00944175">
        <w:rPr>
          <w:rFonts w:cstheme="majorHAnsi"/>
          <w:sz w:val="19"/>
          <w:szCs w:val="19"/>
          <w:lang w:val="en-US"/>
        </w:rPr>
        <w:t>Åström</w:t>
      </w:r>
      <w:proofErr w:type="spellEnd"/>
      <w:r w:rsidRPr="00944175">
        <w:rPr>
          <w:rFonts w:cstheme="majorHAnsi"/>
          <w:sz w:val="19"/>
          <w:szCs w:val="19"/>
          <w:lang w:val="en-US"/>
        </w:rPr>
        <w:t xml:space="preserve">, J., </w:t>
      </w:r>
      <w:proofErr w:type="spellStart"/>
      <w:r w:rsidRPr="00944175">
        <w:rPr>
          <w:rFonts w:cstheme="majorHAnsi"/>
          <w:sz w:val="19"/>
          <w:szCs w:val="19"/>
          <w:lang w:val="en-US"/>
        </w:rPr>
        <w:t>Bassis</w:t>
      </w:r>
      <w:proofErr w:type="spellEnd"/>
      <w:r w:rsidRPr="00944175">
        <w:rPr>
          <w:rFonts w:cstheme="majorHAnsi"/>
          <w:sz w:val="19"/>
          <w:szCs w:val="19"/>
          <w:lang w:val="en-US"/>
        </w:rPr>
        <w:t xml:space="preserve">, J., &amp; Zwinger, T. (2021). Marine ice-cliff instability modeling shows mixed-mode ice-cliff failure and yields calving rate parameterization. Nature Communications. </w:t>
      </w:r>
      <w:hyperlink r:id="rId3" w:history="1">
        <w:r w:rsidRPr="00944175">
          <w:rPr>
            <w:rStyle w:val="Hipervnculo"/>
            <w:rFonts w:cstheme="majorHAnsi"/>
            <w:sz w:val="19"/>
            <w:szCs w:val="19"/>
            <w:shd w:val="clear" w:color="auto" w:fill="FFFFFF"/>
          </w:rPr>
          <w:t>https://doi.org/10.1038/s41467-021-23070-7</w:t>
        </w:r>
      </w:hyperlink>
    </w:p>
  </w:footnote>
  <w:footnote w:id="6">
    <w:p w14:paraId="797CBEE3" w14:textId="77777777" w:rsidR="00561C20" w:rsidRPr="00DB6760" w:rsidRDefault="00561C20" w:rsidP="00561C20">
      <w:pPr>
        <w:rPr>
          <w:rFonts w:cstheme="majorHAnsi"/>
          <w:sz w:val="20"/>
        </w:rPr>
      </w:pPr>
      <w:r w:rsidRPr="00944175">
        <w:rPr>
          <w:rStyle w:val="Refdenotaalpie"/>
          <w:sz w:val="19"/>
          <w:szCs w:val="19"/>
        </w:rPr>
        <w:footnoteRef/>
      </w:r>
      <w:r w:rsidRPr="00944175">
        <w:rPr>
          <w:sz w:val="19"/>
          <w:szCs w:val="19"/>
        </w:rPr>
        <w:t xml:space="preserve"> </w:t>
      </w:r>
      <w:r w:rsidRPr="00944175">
        <w:rPr>
          <w:rFonts w:cstheme="majorHAnsi"/>
          <w:sz w:val="19"/>
          <w:szCs w:val="19"/>
        </w:rPr>
        <w:t>IPCC, 2021: Climate Change 2021: The Physical Science Basis. Contribution of Working Group I to the Sixth Assessment Report of the Intergovernmental Panel on Climate Change [Masson-</w:t>
      </w:r>
      <w:proofErr w:type="spellStart"/>
      <w:r w:rsidRPr="00944175">
        <w:rPr>
          <w:rFonts w:cstheme="majorHAnsi"/>
          <w:sz w:val="19"/>
          <w:szCs w:val="19"/>
        </w:rPr>
        <w:t>Delmotte</w:t>
      </w:r>
      <w:proofErr w:type="spellEnd"/>
      <w:r w:rsidRPr="00944175">
        <w:rPr>
          <w:rFonts w:cstheme="majorHAnsi"/>
          <w:sz w:val="19"/>
          <w:szCs w:val="19"/>
        </w:rPr>
        <w:t xml:space="preserve">, V., P. </w:t>
      </w:r>
      <w:proofErr w:type="spellStart"/>
      <w:r w:rsidRPr="00944175">
        <w:rPr>
          <w:rFonts w:cstheme="majorHAnsi"/>
          <w:sz w:val="19"/>
          <w:szCs w:val="19"/>
        </w:rPr>
        <w:t>Zhai</w:t>
      </w:r>
      <w:proofErr w:type="spellEnd"/>
      <w:r w:rsidRPr="00944175">
        <w:rPr>
          <w:rFonts w:cstheme="majorHAnsi"/>
          <w:sz w:val="19"/>
          <w:szCs w:val="19"/>
        </w:rPr>
        <w:t xml:space="preserve">, A. Pirani, S. L. Connors, C. </w:t>
      </w:r>
      <w:proofErr w:type="spellStart"/>
      <w:r w:rsidRPr="00944175">
        <w:rPr>
          <w:rFonts w:cstheme="majorHAnsi"/>
          <w:sz w:val="19"/>
          <w:szCs w:val="19"/>
        </w:rPr>
        <w:t>Péan</w:t>
      </w:r>
      <w:proofErr w:type="spellEnd"/>
      <w:r w:rsidRPr="00944175">
        <w:rPr>
          <w:rFonts w:cstheme="majorHAnsi"/>
          <w:sz w:val="19"/>
          <w:szCs w:val="19"/>
        </w:rPr>
        <w:t xml:space="preserve">, S. Berger, N. </w:t>
      </w:r>
      <w:proofErr w:type="spellStart"/>
      <w:r w:rsidRPr="00944175">
        <w:rPr>
          <w:rFonts w:cstheme="majorHAnsi"/>
          <w:sz w:val="19"/>
          <w:szCs w:val="19"/>
        </w:rPr>
        <w:t>Caud</w:t>
      </w:r>
      <w:proofErr w:type="spellEnd"/>
      <w:r w:rsidRPr="00944175">
        <w:rPr>
          <w:rFonts w:cstheme="majorHAnsi"/>
          <w:sz w:val="19"/>
          <w:szCs w:val="19"/>
        </w:rPr>
        <w:t xml:space="preserve">, Y. Chen, L. Goldfarb, M. I. </w:t>
      </w:r>
      <w:proofErr w:type="spellStart"/>
      <w:r w:rsidRPr="00944175">
        <w:rPr>
          <w:rFonts w:cstheme="majorHAnsi"/>
          <w:sz w:val="19"/>
          <w:szCs w:val="19"/>
        </w:rPr>
        <w:t>Gomis</w:t>
      </w:r>
      <w:proofErr w:type="spellEnd"/>
      <w:r w:rsidRPr="00944175">
        <w:rPr>
          <w:rFonts w:cstheme="majorHAnsi"/>
          <w:sz w:val="19"/>
          <w:szCs w:val="19"/>
        </w:rPr>
        <w:t xml:space="preserve">, M. Huang, K. </w:t>
      </w:r>
      <w:proofErr w:type="spellStart"/>
      <w:r w:rsidRPr="00944175">
        <w:rPr>
          <w:rFonts w:cstheme="majorHAnsi"/>
          <w:sz w:val="19"/>
          <w:szCs w:val="19"/>
        </w:rPr>
        <w:t>Leitzell</w:t>
      </w:r>
      <w:proofErr w:type="spellEnd"/>
      <w:r w:rsidRPr="00944175">
        <w:rPr>
          <w:rFonts w:cstheme="majorHAnsi"/>
          <w:sz w:val="19"/>
          <w:szCs w:val="19"/>
        </w:rPr>
        <w:t xml:space="preserve">, E. </w:t>
      </w:r>
      <w:proofErr w:type="spellStart"/>
      <w:r w:rsidRPr="00944175">
        <w:rPr>
          <w:rFonts w:cstheme="majorHAnsi"/>
          <w:sz w:val="19"/>
          <w:szCs w:val="19"/>
        </w:rPr>
        <w:t>Lonnoy</w:t>
      </w:r>
      <w:proofErr w:type="spellEnd"/>
      <w:r w:rsidRPr="00944175">
        <w:rPr>
          <w:rFonts w:cstheme="majorHAnsi"/>
          <w:sz w:val="19"/>
          <w:szCs w:val="19"/>
        </w:rPr>
        <w:t xml:space="preserve">, J. B. R. Matthews, T. K. </w:t>
      </w:r>
      <w:proofErr w:type="spellStart"/>
      <w:r w:rsidRPr="00944175">
        <w:rPr>
          <w:rFonts w:cstheme="majorHAnsi"/>
          <w:sz w:val="19"/>
          <w:szCs w:val="19"/>
        </w:rPr>
        <w:t>Maycock</w:t>
      </w:r>
      <w:proofErr w:type="spellEnd"/>
      <w:r w:rsidRPr="00944175">
        <w:rPr>
          <w:rFonts w:cstheme="majorHAnsi"/>
          <w:sz w:val="19"/>
          <w:szCs w:val="19"/>
        </w:rPr>
        <w:t xml:space="preserve">, T. Waterfield, O. </w:t>
      </w:r>
      <w:proofErr w:type="spellStart"/>
      <w:r w:rsidRPr="00944175">
        <w:rPr>
          <w:rFonts w:cstheme="majorHAnsi"/>
          <w:sz w:val="19"/>
          <w:szCs w:val="19"/>
        </w:rPr>
        <w:t>Yelekçi</w:t>
      </w:r>
      <w:proofErr w:type="spellEnd"/>
      <w:r w:rsidRPr="00944175">
        <w:rPr>
          <w:rFonts w:cstheme="majorHAnsi"/>
          <w:sz w:val="19"/>
          <w:szCs w:val="19"/>
        </w:rPr>
        <w:t>, R. Yu and B. Zhou (eds.)]. Cambridge University Press. In Press.</w:t>
      </w:r>
    </w:p>
  </w:footnote>
  <w:footnote w:id="7">
    <w:p w14:paraId="41B3F9F5" w14:textId="77777777" w:rsidR="00561C20" w:rsidRPr="00944175" w:rsidRDefault="00561C20" w:rsidP="00561C20">
      <w:pPr>
        <w:pStyle w:val="NormalWeb"/>
        <w:spacing w:before="0" w:beforeAutospacing="0" w:after="0" w:afterAutospacing="0"/>
        <w:jc w:val="left"/>
        <w:rPr>
          <w:rFonts w:eastAsiaTheme="minorHAnsi" w:cs="Arial"/>
          <w:sz w:val="19"/>
          <w:szCs w:val="19"/>
          <w:lang w:val="en-US" w:eastAsia="en-US"/>
        </w:rPr>
      </w:pPr>
      <w:r w:rsidRPr="00944175">
        <w:rPr>
          <w:rStyle w:val="Refdenotaalpie"/>
          <w:sz w:val="19"/>
          <w:szCs w:val="19"/>
        </w:rPr>
        <w:footnoteRef/>
      </w:r>
      <w:r w:rsidRPr="00944175">
        <w:rPr>
          <w:sz w:val="19"/>
          <w:szCs w:val="19"/>
        </w:rPr>
        <w:t xml:space="preserve"> </w:t>
      </w:r>
      <w:proofErr w:type="spellStart"/>
      <w:r w:rsidRPr="00944175">
        <w:rPr>
          <w:rFonts w:eastAsiaTheme="minorHAnsi" w:cs="Arial"/>
          <w:sz w:val="19"/>
          <w:szCs w:val="19"/>
          <w:lang w:val="en-US" w:eastAsia="en-US"/>
        </w:rPr>
        <w:t>Bednaršek</w:t>
      </w:r>
      <w:proofErr w:type="spellEnd"/>
      <w:r w:rsidRPr="00944175">
        <w:rPr>
          <w:rFonts w:eastAsiaTheme="minorHAnsi" w:cs="Arial"/>
          <w:sz w:val="19"/>
          <w:szCs w:val="19"/>
          <w:lang w:val="en-US" w:eastAsia="en-US"/>
        </w:rPr>
        <w:t xml:space="preserve"> N, Tarling GA, Bakker DCE, Fielding S, Feely RA. Dissolution Dominating Calcification Process in Polar Pteropods Close to the Point of Aragonite Undersaturation. Ross P, ed. </w:t>
      </w:r>
      <w:proofErr w:type="spellStart"/>
      <w:r w:rsidRPr="00944175">
        <w:rPr>
          <w:rFonts w:eastAsiaTheme="minorHAnsi" w:cs="Arial"/>
          <w:i/>
          <w:iCs/>
          <w:sz w:val="19"/>
          <w:szCs w:val="19"/>
          <w:lang w:val="en-US" w:eastAsia="en-US"/>
        </w:rPr>
        <w:t>PLoS</w:t>
      </w:r>
      <w:proofErr w:type="spellEnd"/>
      <w:r w:rsidRPr="00944175">
        <w:rPr>
          <w:rFonts w:eastAsiaTheme="minorHAnsi" w:cs="Arial"/>
          <w:i/>
          <w:iCs/>
          <w:sz w:val="19"/>
          <w:szCs w:val="19"/>
          <w:lang w:val="en-US" w:eastAsia="en-US"/>
        </w:rPr>
        <w:t xml:space="preserve"> ONE</w:t>
      </w:r>
      <w:r w:rsidRPr="00944175">
        <w:rPr>
          <w:rFonts w:eastAsiaTheme="minorHAnsi" w:cs="Arial"/>
          <w:sz w:val="19"/>
          <w:szCs w:val="19"/>
          <w:lang w:val="en-US" w:eastAsia="en-US"/>
        </w:rPr>
        <w:t>. 2014;9(10</w:t>
      </w:r>
      <w:proofErr w:type="gramStart"/>
      <w:r w:rsidRPr="00944175">
        <w:rPr>
          <w:rFonts w:eastAsiaTheme="minorHAnsi" w:cs="Arial"/>
          <w:sz w:val="19"/>
          <w:szCs w:val="19"/>
          <w:lang w:val="en-US" w:eastAsia="en-US"/>
        </w:rPr>
        <w:t>):e</w:t>
      </w:r>
      <w:proofErr w:type="gramEnd"/>
      <w:r w:rsidRPr="00944175">
        <w:rPr>
          <w:rFonts w:eastAsiaTheme="minorHAnsi" w:cs="Arial"/>
          <w:sz w:val="19"/>
          <w:szCs w:val="19"/>
          <w:lang w:val="en-US" w:eastAsia="en-US"/>
        </w:rPr>
        <w:t xml:space="preserve">109183. </w:t>
      </w:r>
      <w:proofErr w:type="gramStart"/>
      <w:r w:rsidRPr="00944175">
        <w:rPr>
          <w:rFonts w:eastAsiaTheme="minorHAnsi" w:cs="Arial"/>
          <w:sz w:val="19"/>
          <w:szCs w:val="19"/>
          <w:lang w:val="en-US" w:eastAsia="en-US"/>
        </w:rPr>
        <w:t>doi:10.1371/journal.pone</w:t>
      </w:r>
      <w:proofErr w:type="gramEnd"/>
      <w:r w:rsidRPr="00944175">
        <w:rPr>
          <w:rFonts w:eastAsiaTheme="minorHAnsi" w:cs="Arial"/>
          <w:sz w:val="19"/>
          <w:szCs w:val="19"/>
          <w:lang w:val="en-US" w:eastAsia="en-US"/>
        </w:rPr>
        <w:t>.0109183.</w:t>
      </w:r>
    </w:p>
  </w:footnote>
  <w:footnote w:id="8">
    <w:p w14:paraId="308910A2" w14:textId="77777777" w:rsidR="00561C20" w:rsidRPr="00944175" w:rsidRDefault="00561C20" w:rsidP="00561C20">
      <w:pPr>
        <w:pStyle w:val="NormalWeb"/>
        <w:spacing w:before="0" w:beforeAutospacing="0" w:after="0" w:afterAutospacing="0"/>
        <w:jc w:val="left"/>
        <w:rPr>
          <w:sz w:val="19"/>
          <w:szCs w:val="19"/>
        </w:rPr>
      </w:pPr>
      <w:r w:rsidRPr="00944175">
        <w:rPr>
          <w:rStyle w:val="Refdenotaalpie"/>
          <w:sz w:val="19"/>
          <w:szCs w:val="19"/>
        </w:rPr>
        <w:footnoteRef/>
      </w:r>
      <w:r w:rsidRPr="00944175">
        <w:rPr>
          <w:sz w:val="19"/>
          <w:szCs w:val="19"/>
        </w:rPr>
        <w:t xml:space="preserve"> </w:t>
      </w:r>
      <w:r w:rsidRPr="00944175">
        <w:rPr>
          <w:rFonts w:cs="Arial"/>
          <w:sz w:val="19"/>
          <w:szCs w:val="19"/>
        </w:rPr>
        <w:t xml:space="preserve">McNeil BI, </w:t>
      </w:r>
      <w:proofErr w:type="spellStart"/>
      <w:r w:rsidRPr="00944175">
        <w:rPr>
          <w:rFonts w:cs="Arial"/>
          <w:sz w:val="19"/>
          <w:szCs w:val="19"/>
        </w:rPr>
        <w:t>Matear</w:t>
      </w:r>
      <w:proofErr w:type="spellEnd"/>
      <w:r w:rsidRPr="00944175">
        <w:rPr>
          <w:rFonts w:cs="Arial"/>
          <w:sz w:val="19"/>
          <w:szCs w:val="19"/>
        </w:rPr>
        <w:t xml:space="preserve"> RJ. Southern Ocean acidification: A tipping point at 450-ppm atmospheric CO2. </w:t>
      </w:r>
      <w:r w:rsidRPr="00944175">
        <w:rPr>
          <w:rFonts w:cs="Arial"/>
          <w:i/>
          <w:iCs/>
          <w:sz w:val="19"/>
          <w:szCs w:val="19"/>
        </w:rPr>
        <w:t>Proceedings of the National Academy of Sciences of the United States of America</w:t>
      </w:r>
      <w:r w:rsidRPr="00944175">
        <w:rPr>
          <w:rFonts w:cs="Arial"/>
          <w:sz w:val="19"/>
          <w:szCs w:val="19"/>
        </w:rPr>
        <w:t>. 2008;105(48):18860-18864. doi:10.1073/pnas.0806318105.</w:t>
      </w:r>
    </w:p>
  </w:footnote>
  <w:footnote w:id="9">
    <w:p w14:paraId="154FEE85" w14:textId="77777777" w:rsidR="00561C20" w:rsidRDefault="00561C20" w:rsidP="00561C20">
      <w:pPr>
        <w:pStyle w:val="NormalWeb"/>
        <w:spacing w:before="0" w:beforeAutospacing="0" w:after="0" w:afterAutospacing="0"/>
        <w:jc w:val="left"/>
      </w:pPr>
      <w:r w:rsidRPr="00944175">
        <w:rPr>
          <w:rStyle w:val="Refdenotaalpie"/>
          <w:sz w:val="19"/>
          <w:szCs w:val="19"/>
        </w:rPr>
        <w:footnoteRef/>
      </w:r>
      <w:r w:rsidRPr="00944175">
        <w:rPr>
          <w:sz w:val="19"/>
          <w:szCs w:val="19"/>
        </w:rPr>
        <w:t xml:space="preserve"> </w:t>
      </w:r>
      <w:r w:rsidRPr="00944175">
        <w:rPr>
          <w:rFonts w:cs="Segoe UI"/>
          <w:sz w:val="19"/>
          <w:szCs w:val="19"/>
          <w:shd w:val="clear" w:color="auto" w:fill="FFFFFF"/>
        </w:rPr>
        <w:t xml:space="preserve">IPCC, 2019: IPCC Special Report on the Ocean and Cryosphere in a Changing Climate [H.-O. </w:t>
      </w:r>
      <w:proofErr w:type="spellStart"/>
      <w:r w:rsidRPr="00944175">
        <w:rPr>
          <w:rFonts w:cs="Segoe UI"/>
          <w:sz w:val="19"/>
          <w:szCs w:val="19"/>
          <w:shd w:val="clear" w:color="auto" w:fill="FFFFFF"/>
        </w:rPr>
        <w:t>Pörtner</w:t>
      </w:r>
      <w:proofErr w:type="spellEnd"/>
      <w:r w:rsidRPr="00944175">
        <w:rPr>
          <w:rFonts w:cs="Segoe UI"/>
          <w:sz w:val="19"/>
          <w:szCs w:val="19"/>
          <w:shd w:val="clear" w:color="auto" w:fill="FFFFFF"/>
        </w:rPr>
        <w:t>, D.C. Roberts, V. Masson-</w:t>
      </w:r>
      <w:proofErr w:type="spellStart"/>
      <w:r w:rsidRPr="00944175">
        <w:rPr>
          <w:rFonts w:cs="Segoe UI"/>
          <w:sz w:val="19"/>
          <w:szCs w:val="19"/>
          <w:shd w:val="clear" w:color="auto" w:fill="FFFFFF"/>
        </w:rPr>
        <w:t>Delmotte</w:t>
      </w:r>
      <w:proofErr w:type="spellEnd"/>
      <w:r w:rsidRPr="00944175">
        <w:rPr>
          <w:rFonts w:cs="Segoe UI"/>
          <w:sz w:val="19"/>
          <w:szCs w:val="19"/>
          <w:shd w:val="clear" w:color="auto" w:fill="FFFFFF"/>
        </w:rPr>
        <w:t xml:space="preserve">, P. </w:t>
      </w:r>
      <w:proofErr w:type="spellStart"/>
      <w:r w:rsidRPr="00944175">
        <w:rPr>
          <w:rFonts w:cs="Segoe UI"/>
          <w:sz w:val="19"/>
          <w:szCs w:val="19"/>
          <w:shd w:val="clear" w:color="auto" w:fill="FFFFFF"/>
        </w:rPr>
        <w:t>Zhai</w:t>
      </w:r>
      <w:proofErr w:type="spellEnd"/>
      <w:r w:rsidRPr="00944175">
        <w:rPr>
          <w:rFonts w:cs="Segoe UI"/>
          <w:sz w:val="19"/>
          <w:szCs w:val="19"/>
          <w:shd w:val="clear" w:color="auto" w:fill="FFFFFF"/>
        </w:rPr>
        <w:t xml:space="preserve">, M. </w:t>
      </w:r>
      <w:proofErr w:type="spellStart"/>
      <w:r w:rsidRPr="00944175">
        <w:rPr>
          <w:rFonts w:cs="Segoe UI"/>
          <w:sz w:val="19"/>
          <w:szCs w:val="19"/>
          <w:shd w:val="clear" w:color="auto" w:fill="FFFFFF"/>
        </w:rPr>
        <w:t>Tignor</w:t>
      </w:r>
      <w:proofErr w:type="spellEnd"/>
      <w:r w:rsidRPr="00944175">
        <w:rPr>
          <w:rFonts w:cs="Segoe UI"/>
          <w:sz w:val="19"/>
          <w:szCs w:val="19"/>
          <w:shd w:val="clear" w:color="auto" w:fill="FFFFFF"/>
        </w:rPr>
        <w:t xml:space="preserve">, E. </w:t>
      </w:r>
      <w:proofErr w:type="spellStart"/>
      <w:r w:rsidRPr="00944175">
        <w:rPr>
          <w:rFonts w:cs="Segoe UI"/>
          <w:sz w:val="19"/>
          <w:szCs w:val="19"/>
          <w:shd w:val="clear" w:color="auto" w:fill="FFFFFF"/>
        </w:rPr>
        <w:t>Poloczanska</w:t>
      </w:r>
      <w:proofErr w:type="spellEnd"/>
      <w:r w:rsidRPr="00944175">
        <w:rPr>
          <w:rFonts w:cs="Segoe UI"/>
          <w:sz w:val="19"/>
          <w:szCs w:val="19"/>
          <w:shd w:val="clear" w:color="auto" w:fill="FFFFFF"/>
        </w:rPr>
        <w:t xml:space="preserve">, K. </w:t>
      </w:r>
      <w:proofErr w:type="spellStart"/>
      <w:r w:rsidRPr="00944175">
        <w:rPr>
          <w:rFonts w:cs="Segoe UI"/>
          <w:sz w:val="19"/>
          <w:szCs w:val="19"/>
          <w:shd w:val="clear" w:color="auto" w:fill="FFFFFF"/>
        </w:rPr>
        <w:t>Mintenbeck</w:t>
      </w:r>
      <w:proofErr w:type="spellEnd"/>
      <w:r w:rsidRPr="00944175">
        <w:rPr>
          <w:rFonts w:cs="Segoe UI"/>
          <w:sz w:val="19"/>
          <w:szCs w:val="19"/>
          <w:shd w:val="clear" w:color="auto" w:fill="FFFFFF"/>
        </w:rPr>
        <w:t xml:space="preserve">, A. </w:t>
      </w:r>
      <w:proofErr w:type="spellStart"/>
      <w:r w:rsidRPr="00944175">
        <w:rPr>
          <w:rFonts w:cs="Segoe UI"/>
          <w:sz w:val="19"/>
          <w:szCs w:val="19"/>
          <w:shd w:val="clear" w:color="auto" w:fill="FFFFFF"/>
        </w:rPr>
        <w:t>Alegría</w:t>
      </w:r>
      <w:proofErr w:type="spellEnd"/>
      <w:r w:rsidRPr="00944175">
        <w:rPr>
          <w:rFonts w:cs="Segoe UI"/>
          <w:sz w:val="19"/>
          <w:szCs w:val="19"/>
          <w:shd w:val="clear" w:color="auto" w:fill="FFFFFF"/>
        </w:rPr>
        <w:t xml:space="preserve">, M. Nicolai, A. </w:t>
      </w:r>
      <w:proofErr w:type="spellStart"/>
      <w:r w:rsidRPr="00944175">
        <w:rPr>
          <w:rFonts w:cs="Segoe UI"/>
          <w:sz w:val="19"/>
          <w:szCs w:val="19"/>
          <w:shd w:val="clear" w:color="auto" w:fill="FFFFFF"/>
        </w:rPr>
        <w:t>Okem</w:t>
      </w:r>
      <w:proofErr w:type="spellEnd"/>
      <w:r w:rsidRPr="00944175">
        <w:rPr>
          <w:rFonts w:cs="Segoe UI"/>
          <w:sz w:val="19"/>
          <w:szCs w:val="19"/>
          <w:shd w:val="clear" w:color="auto" w:fill="FFFFFF"/>
        </w:rPr>
        <w:t xml:space="preserve">, J. </w:t>
      </w:r>
      <w:proofErr w:type="spellStart"/>
      <w:r w:rsidRPr="00944175">
        <w:rPr>
          <w:rFonts w:cs="Segoe UI"/>
          <w:sz w:val="19"/>
          <w:szCs w:val="19"/>
          <w:shd w:val="clear" w:color="auto" w:fill="FFFFFF"/>
        </w:rPr>
        <w:t>Petzold</w:t>
      </w:r>
      <w:proofErr w:type="spellEnd"/>
      <w:r w:rsidRPr="00944175">
        <w:rPr>
          <w:rFonts w:cs="Segoe UI"/>
          <w:sz w:val="19"/>
          <w:szCs w:val="19"/>
          <w:shd w:val="clear" w:color="auto" w:fill="FFFFFF"/>
        </w:rPr>
        <w:t xml:space="preserve">, B. Rama, N.M. </w:t>
      </w:r>
      <w:proofErr w:type="spellStart"/>
      <w:r w:rsidRPr="00944175">
        <w:rPr>
          <w:rFonts w:cs="Segoe UI"/>
          <w:sz w:val="19"/>
          <w:szCs w:val="19"/>
          <w:shd w:val="clear" w:color="auto" w:fill="FFFFFF"/>
        </w:rPr>
        <w:t>Weyer</w:t>
      </w:r>
      <w:proofErr w:type="spellEnd"/>
      <w:r w:rsidRPr="00944175">
        <w:rPr>
          <w:rFonts w:cs="Segoe UI"/>
          <w:sz w:val="19"/>
          <w:szCs w:val="19"/>
          <w:shd w:val="clear" w:color="auto" w:fill="FFFFFF"/>
        </w:rPr>
        <w:t xml:space="preserve"> (eds.)]. In press.</w:t>
      </w:r>
    </w:p>
  </w:footnote>
  <w:footnote w:id="10">
    <w:p w14:paraId="367E2BB9" w14:textId="77777777" w:rsidR="00561C20" w:rsidRPr="00944175" w:rsidRDefault="00561C20" w:rsidP="00561C20">
      <w:pPr>
        <w:pStyle w:val="Textonotapie"/>
        <w:rPr>
          <w:sz w:val="19"/>
          <w:szCs w:val="19"/>
        </w:rPr>
      </w:pPr>
      <w:r w:rsidRPr="00944175">
        <w:rPr>
          <w:rStyle w:val="Refdenotaalpie"/>
          <w:sz w:val="19"/>
          <w:szCs w:val="19"/>
        </w:rPr>
        <w:footnoteRef/>
      </w:r>
      <w:r w:rsidRPr="00944175">
        <w:rPr>
          <w:sz w:val="19"/>
          <w:szCs w:val="19"/>
        </w:rPr>
        <w:t xml:space="preserve"> Egypt is extremely vulnerable to rising sea levels.  Much of the Nile Delta is lost with just 1 meter of SLR; near-complete loss of agricultural lands occurs along the Nile well above Cairo at 10 meters SLR due to flooding and salinization.  In the UAE, most of the host city Dubai, including its busy international airport will be under water at 3 meters SLR.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5927" w14:textId="77777777" w:rsidR="00561C20" w:rsidRDefault="00561C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312601" w14:paraId="6195524E" w14:textId="77777777" w:rsidTr="00490760">
      <w:trPr>
        <w:trHeight w:val="344"/>
        <w:jc w:val="center"/>
      </w:trPr>
      <w:tc>
        <w:tcPr>
          <w:tcW w:w="5495" w:type="dxa"/>
        </w:tcPr>
        <w:p w14:paraId="12610F94" w14:textId="77777777" w:rsidR="00DB7C09" w:rsidRDefault="00561C20" w:rsidP="00F968D4"/>
      </w:tc>
      <w:tc>
        <w:tcPr>
          <w:tcW w:w="4253" w:type="dxa"/>
          <w:gridSpan w:val="2"/>
        </w:tcPr>
        <w:p w14:paraId="309F57D7" w14:textId="77777777" w:rsidR="00DB7C09" w:rsidRPr="00BD47E4" w:rsidRDefault="00561C20" w:rsidP="002A07BC">
          <w:pPr>
            <w:jc w:val="right"/>
            <w:rPr>
              <w:b/>
              <w:sz w:val="32"/>
              <w:szCs w:val="32"/>
            </w:rPr>
          </w:pPr>
          <w:bookmarkStart w:id="2" w:name="type"/>
          <w:r w:rsidRPr="00BD47E4">
            <w:rPr>
              <w:b/>
              <w:sz w:val="32"/>
              <w:szCs w:val="32"/>
            </w:rPr>
            <w:t>IP</w:t>
          </w:r>
          <w:bookmarkEnd w:id="2"/>
        </w:p>
      </w:tc>
      <w:tc>
        <w:tcPr>
          <w:tcW w:w="1524" w:type="dxa"/>
          <w:gridSpan w:val="2"/>
        </w:tcPr>
        <w:p w14:paraId="6BF999FC" w14:textId="77777777" w:rsidR="00DB7C09" w:rsidRPr="00BD47E4" w:rsidRDefault="00561C20" w:rsidP="00DB7C09">
          <w:pPr>
            <w:rPr>
              <w:b/>
              <w:sz w:val="32"/>
              <w:szCs w:val="32"/>
            </w:rPr>
          </w:pPr>
          <w:bookmarkStart w:id="3" w:name="number"/>
          <w:r w:rsidRPr="00BD47E4">
            <w:rPr>
              <w:b/>
              <w:sz w:val="32"/>
              <w:szCs w:val="32"/>
            </w:rPr>
            <w:t>90</w:t>
          </w:r>
          <w:bookmarkEnd w:id="3"/>
        </w:p>
      </w:tc>
    </w:tr>
    <w:tr w:rsidR="00312601" w14:paraId="64516FCD" w14:textId="77777777" w:rsidTr="00490760">
      <w:trPr>
        <w:trHeight w:val="2165"/>
        <w:jc w:val="center"/>
      </w:trPr>
      <w:tc>
        <w:tcPr>
          <w:tcW w:w="5495" w:type="dxa"/>
        </w:tcPr>
        <w:p w14:paraId="38835A9F" w14:textId="77777777" w:rsidR="00490760" w:rsidRPr="00EE4D48" w:rsidRDefault="00561C20" w:rsidP="002A07BC">
          <w:pPr>
            <w:rPr>
              <w:b/>
              <w:sz w:val="28"/>
              <w:szCs w:val="28"/>
            </w:rPr>
          </w:pPr>
          <w:r>
            <w:rPr>
              <w:noProof/>
            </w:rPr>
            <w:drawing>
              <wp:inline distT="0" distB="0" distL="0" distR="0" wp14:anchorId="523116DF" wp14:editId="40475625">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07167"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223848E6" w14:textId="77777777" w:rsidR="00490760" w:rsidRPr="00FE5146" w:rsidRDefault="00561C20" w:rsidP="00490760">
          <w:pPr>
            <w:jc w:val="right"/>
            <w:rPr>
              <w:sz w:val="144"/>
              <w:szCs w:val="144"/>
            </w:rPr>
          </w:pPr>
          <w:r w:rsidRPr="00FE5146">
            <w:rPr>
              <w:sz w:val="144"/>
              <w:szCs w:val="144"/>
            </w:rPr>
            <w:t>ENG</w:t>
          </w:r>
        </w:p>
      </w:tc>
    </w:tr>
    <w:tr w:rsidR="00312601" w14:paraId="55645DEC" w14:textId="77777777" w:rsidTr="00BD47E4">
      <w:trPr>
        <w:trHeight w:val="409"/>
        <w:jc w:val="center"/>
      </w:trPr>
      <w:tc>
        <w:tcPr>
          <w:tcW w:w="9039" w:type="dxa"/>
          <w:gridSpan w:val="2"/>
        </w:tcPr>
        <w:p w14:paraId="233AF9EB" w14:textId="77777777" w:rsidR="00BD47E4" w:rsidRDefault="00561C20" w:rsidP="002C30DA">
          <w:pPr>
            <w:jc w:val="right"/>
          </w:pPr>
          <w:r>
            <w:t>Agenda Item:</w:t>
          </w:r>
        </w:p>
      </w:tc>
      <w:tc>
        <w:tcPr>
          <w:tcW w:w="1843" w:type="dxa"/>
          <w:gridSpan w:val="2"/>
        </w:tcPr>
        <w:p w14:paraId="3AD3501E" w14:textId="77777777" w:rsidR="00561C20" w:rsidRDefault="00561C20" w:rsidP="002C30DA">
          <w:pPr>
            <w:jc w:val="right"/>
          </w:pPr>
          <w:bookmarkStart w:id="4" w:name="agenda"/>
          <w:r>
            <w:t xml:space="preserve">ATCM 16, </w:t>
          </w:r>
        </w:p>
        <w:p w14:paraId="28927C2C" w14:textId="40634177" w:rsidR="00BD47E4" w:rsidRDefault="00561C20" w:rsidP="002C30DA">
          <w:pPr>
            <w:jc w:val="right"/>
          </w:pPr>
          <w:r>
            <w:t>CEP 7a</w:t>
          </w:r>
          <w:bookmarkEnd w:id="4"/>
        </w:p>
      </w:tc>
      <w:tc>
        <w:tcPr>
          <w:tcW w:w="390" w:type="dxa"/>
        </w:tcPr>
        <w:p w14:paraId="16B2689F" w14:textId="77777777" w:rsidR="00BD47E4" w:rsidRDefault="00561C20" w:rsidP="00387A65">
          <w:pPr>
            <w:jc w:val="right"/>
          </w:pPr>
        </w:p>
      </w:tc>
    </w:tr>
    <w:tr w:rsidR="00312601" w14:paraId="045F6ED3" w14:textId="77777777" w:rsidTr="00BD47E4">
      <w:trPr>
        <w:trHeight w:val="397"/>
        <w:jc w:val="center"/>
      </w:trPr>
      <w:tc>
        <w:tcPr>
          <w:tcW w:w="9039" w:type="dxa"/>
          <w:gridSpan w:val="2"/>
        </w:tcPr>
        <w:p w14:paraId="06740F7D" w14:textId="77777777" w:rsidR="00BD47E4" w:rsidRDefault="00561C20" w:rsidP="002C30DA">
          <w:pPr>
            <w:jc w:val="right"/>
          </w:pPr>
          <w:r>
            <w:t>Presented by:</w:t>
          </w:r>
        </w:p>
      </w:tc>
      <w:tc>
        <w:tcPr>
          <w:tcW w:w="1843" w:type="dxa"/>
          <w:gridSpan w:val="2"/>
        </w:tcPr>
        <w:p w14:paraId="2D82DF57" w14:textId="77777777" w:rsidR="00BD47E4" w:rsidRDefault="00561C20" w:rsidP="002C30DA">
          <w:pPr>
            <w:jc w:val="right"/>
          </w:pPr>
          <w:bookmarkStart w:id="5" w:name="party"/>
          <w:r>
            <w:t>ASOC</w:t>
          </w:r>
          <w:bookmarkEnd w:id="5"/>
        </w:p>
      </w:tc>
      <w:tc>
        <w:tcPr>
          <w:tcW w:w="390" w:type="dxa"/>
        </w:tcPr>
        <w:p w14:paraId="10BED789" w14:textId="77777777" w:rsidR="00BD47E4" w:rsidRDefault="00561C20" w:rsidP="00387A65">
          <w:pPr>
            <w:jc w:val="right"/>
          </w:pPr>
        </w:p>
      </w:tc>
    </w:tr>
    <w:tr w:rsidR="00312601" w14:paraId="5B510229" w14:textId="77777777" w:rsidTr="00BD47E4">
      <w:trPr>
        <w:trHeight w:val="409"/>
        <w:jc w:val="center"/>
      </w:trPr>
      <w:tc>
        <w:tcPr>
          <w:tcW w:w="9039" w:type="dxa"/>
          <w:gridSpan w:val="2"/>
        </w:tcPr>
        <w:p w14:paraId="5C2B5623" w14:textId="77777777" w:rsidR="00BD47E4" w:rsidRDefault="00561C20" w:rsidP="002C30DA">
          <w:pPr>
            <w:jc w:val="right"/>
          </w:pPr>
          <w:r>
            <w:t>Original:</w:t>
          </w:r>
        </w:p>
      </w:tc>
      <w:tc>
        <w:tcPr>
          <w:tcW w:w="1843" w:type="dxa"/>
          <w:gridSpan w:val="2"/>
        </w:tcPr>
        <w:p w14:paraId="0594737B" w14:textId="77777777" w:rsidR="00BD47E4" w:rsidRDefault="00561C20" w:rsidP="002C30DA">
          <w:pPr>
            <w:jc w:val="right"/>
          </w:pPr>
          <w:bookmarkStart w:id="6" w:name="language"/>
          <w:r>
            <w:t>English</w:t>
          </w:r>
          <w:bookmarkEnd w:id="6"/>
        </w:p>
      </w:tc>
      <w:tc>
        <w:tcPr>
          <w:tcW w:w="390" w:type="dxa"/>
        </w:tcPr>
        <w:p w14:paraId="2B1EE557" w14:textId="77777777" w:rsidR="00BD47E4" w:rsidRDefault="00561C20" w:rsidP="00387A65">
          <w:pPr>
            <w:jc w:val="right"/>
          </w:pPr>
        </w:p>
      </w:tc>
    </w:tr>
    <w:tr w:rsidR="00312601" w14:paraId="72B297BB" w14:textId="77777777" w:rsidTr="00BD47E4">
      <w:trPr>
        <w:trHeight w:val="409"/>
        <w:jc w:val="center"/>
      </w:trPr>
      <w:tc>
        <w:tcPr>
          <w:tcW w:w="9039" w:type="dxa"/>
          <w:gridSpan w:val="2"/>
        </w:tcPr>
        <w:p w14:paraId="4DCCCAA4" w14:textId="77777777" w:rsidR="0097629D" w:rsidRDefault="00561C20" w:rsidP="002C30DA">
          <w:pPr>
            <w:jc w:val="right"/>
          </w:pPr>
          <w:r>
            <w:t>Submitted:</w:t>
          </w:r>
        </w:p>
      </w:tc>
      <w:tc>
        <w:tcPr>
          <w:tcW w:w="1843" w:type="dxa"/>
          <w:gridSpan w:val="2"/>
        </w:tcPr>
        <w:p w14:paraId="4486D70F" w14:textId="77777777" w:rsidR="0097629D" w:rsidRDefault="00561C20" w:rsidP="0097629D">
          <w:pPr>
            <w:jc w:val="right"/>
          </w:pPr>
          <w:bookmarkStart w:id="7" w:name="date_submission"/>
          <w:r>
            <w:t>22/4/2022</w:t>
          </w:r>
          <w:bookmarkEnd w:id="7"/>
        </w:p>
      </w:tc>
      <w:tc>
        <w:tcPr>
          <w:tcW w:w="390" w:type="dxa"/>
        </w:tcPr>
        <w:p w14:paraId="03F5405B" w14:textId="77777777" w:rsidR="0097629D" w:rsidRDefault="00561C20" w:rsidP="00387A65">
          <w:pPr>
            <w:jc w:val="right"/>
          </w:pPr>
        </w:p>
      </w:tc>
    </w:tr>
  </w:tbl>
  <w:p w14:paraId="4873D55F" w14:textId="77777777" w:rsidR="00AE5DD0" w:rsidRDefault="00561C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C477" w14:textId="77777777" w:rsidR="00561C20" w:rsidRDefault="00561C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312601" w14:paraId="01E0DE42" w14:textId="77777777">
      <w:trPr>
        <w:trHeight w:val="354"/>
        <w:jc w:val="center"/>
      </w:trPr>
      <w:tc>
        <w:tcPr>
          <w:tcW w:w="9694" w:type="dxa"/>
        </w:tcPr>
        <w:p w14:paraId="6C324F05" w14:textId="20E80DAD" w:rsidR="00AE5DD0" w:rsidRPr="00BD47E4" w:rsidRDefault="00561C20" w:rsidP="00C26F2D">
          <w:pPr>
            <w:jc w:val="right"/>
            <w:rPr>
              <w:b/>
              <w:sz w:val="32"/>
              <w:szCs w:val="32"/>
            </w:rPr>
          </w:pPr>
          <w:r>
            <w:rPr>
              <w:b/>
              <w:sz w:val="32"/>
              <w:szCs w:val="32"/>
            </w:rPr>
            <w:t>IP</w:t>
          </w:r>
        </w:p>
      </w:tc>
      <w:tc>
        <w:tcPr>
          <w:tcW w:w="1332" w:type="dxa"/>
        </w:tcPr>
        <w:p w14:paraId="610E6FB8" w14:textId="75BBCAE2" w:rsidR="00AE5DD0" w:rsidRPr="00BD47E4" w:rsidRDefault="00561C20" w:rsidP="00080F4C">
          <w:pPr>
            <w:rPr>
              <w:b/>
              <w:sz w:val="32"/>
              <w:szCs w:val="32"/>
            </w:rPr>
          </w:pPr>
          <w:r>
            <w:rPr>
              <w:b/>
              <w:sz w:val="32"/>
              <w:szCs w:val="32"/>
            </w:rPr>
            <w:t>90</w:t>
          </w:r>
        </w:p>
      </w:tc>
    </w:tr>
  </w:tbl>
  <w:p w14:paraId="2ABB397C" w14:textId="77777777" w:rsidR="00AE5DD0" w:rsidRDefault="00561C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23C2F8C">
      <w:start w:val="1"/>
      <w:numFmt w:val="bullet"/>
      <w:pStyle w:val="ATSBullet1"/>
      <w:lvlText w:val=""/>
      <w:lvlJc w:val="left"/>
      <w:pPr>
        <w:tabs>
          <w:tab w:val="num" w:pos="360"/>
        </w:tabs>
        <w:ind w:left="360" w:hanging="360"/>
      </w:pPr>
      <w:rPr>
        <w:rFonts w:ascii="Symbol" w:hAnsi="Symbol" w:hint="default"/>
        <w:color w:val="auto"/>
      </w:rPr>
    </w:lvl>
    <w:lvl w:ilvl="1" w:tplc="689211F2" w:tentative="1">
      <w:start w:val="1"/>
      <w:numFmt w:val="bullet"/>
      <w:lvlText w:val="o"/>
      <w:lvlJc w:val="left"/>
      <w:pPr>
        <w:tabs>
          <w:tab w:val="num" w:pos="1440"/>
        </w:tabs>
        <w:ind w:left="1440" w:hanging="360"/>
      </w:pPr>
      <w:rPr>
        <w:rFonts w:ascii="Courier New" w:hAnsi="Courier New" w:cs="Courier New" w:hint="default"/>
      </w:rPr>
    </w:lvl>
    <w:lvl w:ilvl="2" w:tplc="C06683C2" w:tentative="1">
      <w:start w:val="1"/>
      <w:numFmt w:val="bullet"/>
      <w:lvlText w:val=""/>
      <w:lvlJc w:val="left"/>
      <w:pPr>
        <w:tabs>
          <w:tab w:val="num" w:pos="2160"/>
        </w:tabs>
        <w:ind w:left="2160" w:hanging="360"/>
      </w:pPr>
      <w:rPr>
        <w:rFonts w:ascii="Wingdings" w:hAnsi="Wingdings" w:hint="default"/>
      </w:rPr>
    </w:lvl>
    <w:lvl w:ilvl="3" w:tplc="275EB350" w:tentative="1">
      <w:start w:val="1"/>
      <w:numFmt w:val="bullet"/>
      <w:lvlText w:val=""/>
      <w:lvlJc w:val="left"/>
      <w:pPr>
        <w:tabs>
          <w:tab w:val="num" w:pos="2880"/>
        </w:tabs>
        <w:ind w:left="2880" w:hanging="360"/>
      </w:pPr>
      <w:rPr>
        <w:rFonts w:ascii="Symbol" w:hAnsi="Symbol" w:hint="default"/>
      </w:rPr>
    </w:lvl>
    <w:lvl w:ilvl="4" w:tplc="AA9A62D8" w:tentative="1">
      <w:start w:val="1"/>
      <w:numFmt w:val="bullet"/>
      <w:lvlText w:val="o"/>
      <w:lvlJc w:val="left"/>
      <w:pPr>
        <w:tabs>
          <w:tab w:val="num" w:pos="3600"/>
        </w:tabs>
        <w:ind w:left="3600" w:hanging="360"/>
      </w:pPr>
      <w:rPr>
        <w:rFonts w:ascii="Courier New" w:hAnsi="Courier New" w:cs="Courier New" w:hint="default"/>
      </w:rPr>
    </w:lvl>
    <w:lvl w:ilvl="5" w:tplc="8F4836B6" w:tentative="1">
      <w:start w:val="1"/>
      <w:numFmt w:val="bullet"/>
      <w:lvlText w:val=""/>
      <w:lvlJc w:val="left"/>
      <w:pPr>
        <w:tabs>
          <w:tab w:val="num" w:pos="4320"/>
        </w:tabs>
        <w:ind w:left="4320" w:hanging="360"/>
      </w:pPr>
      <w:rPr>
        <w:rFonts w:ascii="Wingdings" w:hAnsi="Wingdings" w:hint="default"/>
      </w:rPr>
    </w:lvl>
    <w:lvl w:ilvl="6" w:tplc="5D4CA4B4" w:tentative="1">
      <w:start w:val="1"/>
      <w:numFmt w:val="bullet"/>
      <w:lvlText w:val=""/>
      <w:lvlJc w:val="left"/>
      <w:pPr>
        <w:tabs>
          <w:tab w:val="num" w:pos="5040"/>
        </w:tabs>
        <w:ind w:left="5040" w:hanging="360"/>
      </w:pPr>
      <w:rPr>
        <w:rFonts w:ascii="Symbol" w:hAnsi="Symbol" w:hint="default"/>
      </w:rPr>
    </w:lvl>
    <w:lvl w:ilvl="7" w:tplc="2BA24534" w:tentative="1">
      <w:start w:val="1"/>
      <w:numFmt w:val="bullet"/>
      <w:lvlText w:val="o"/>
      <w:lvlJc w:val="left"/>
      <w:pPr>
        <w:tabs>
          <w:tab w:val="num" w:pos="5760"/>
        </w:tabs>
        <w:ind w:left="5760" w:hanging="360"/>
      </w:pPr>
      <w:rPr>
        <w:rFonts w:ascii="Courier New" w:hAnsi="Courier New" w:cs="Courier New" w:hint="default"/>
      </w:rPr>
    </w:lvl>
    <w:lvl w:ilvl="8" w:tplc="3B98B30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35CC2ECE">
      <w:start w:val="1"/>
      <w:numFmt w:val="decimal"/>
      <w:lvlText w:val="%1)"/>
      <w:lvlJc w:val="left"/>
      <w:pPr>
        <w:tabs>
          <w:tab w:val="num" w:pos="340"/>
        </w:tabs>
        <w:ind w:left="340" w:hanging="340"/>
      </w:pPr>
      <w:rPr>
        <w:rFonts w:hint="default"/>
      </w:rPr>
    </w:lvl>
    <w:lvl w:ilvl="1" w:tplc="ED88FAEE" w:tentative="1">
      <w:start w:val="1"/>
      <w:numFmt w:val="lowerLetter"/>
      <w:lvlText w:val="%2."/>
      <w:lvlJc w:val="left"/>
      <w:pPr>
        <w:tabs>
          <w:tab w:val="num" w:pos="1440"/>
        </w:tabs>
        <w:ind w:left="1440" w:hanging="360"/>
      </w:pPr>
    </w:lvl>
    <w:lvl w:ilvl="2" w:tplc="FDD8EDCA" w:tentative="1">
      <w:start w:val="1"/>
      <w:numFmt w:val="lowerRoman"/>
      <w:lvlText w:val="%3."/>
      <w:lvlJc w:val="right"/>
      <w:pPr>
        <w:tabs>
          <w:tab w:val="num" w:pos="2160"/>
        </w:tabs>
        <w:ind w:left="2160" w:hanging="180"/>
      </w:pPr>
    </w:lvl>
    <w:lvl w:ilvl="3" w:tplc="26120E34" w:tentative="1">
      <w:start w:val="1"/>
      <w:numFmt w:val="decimal"/>
      <w:lvlText w:val="%4."/>
      <w:lvlJc w:val="left"/>
      <w:pPr>
        <w:tabs>
          <w:tab w:val="num" w:pos="2880"/>
        </w:tabs>
        <w:ind w:left="2880" w:hanging="360"/>
      </w:pPr>
    </w:lvl>
    <w:lvl w:ilvl="4" w:tplc="27ECD40A" w:tentative="1">
      <w:start w:val="1"/>
      <w:numFmt w:val="lowerLetter"/>
      <w:lvlText w:val="%5."/>
      <w:lvlJc w:val="left"/>
      <w:pPr>
        <w:tabs>
          <w:tab w:val="num" w:pos="3600"/>
        </w:tabs>
        <w:ind w:left="3600" w:hanging="360"/>
      </w:pPr>
    </w:lvl>
    <w:lvl w:ilvl="5" w:tplc="2F08989C" w:tentative="1">
      <w:start w:val="1"/>
      <w:numFmt w:val="lowerRoman"/>
      <w:lvlText w:val="%6."/>
      <w:lvlJc w:val="right"/>
      <w:pPr>
        <w:tabs>
          <w:tab w:val="num" w:pos="4320"/>
        </w:tabs>
        <w:ind w:left="4320" w:hanging="180"/>
      </w:pPr>
    </w:lvl>
    <w:lvl w:ilvl="6" w:tplc="2EB8D23A" w:tentative="1">
      <w:start w:val="1"/>
      <w:numFmt w:val="decimal"/>
      <w:lvlText w:val="%7."/>
      <w:lvlJc w:val="left"/>
      <w:pPr>
        <w:tabs>
          <w:tab w:val="num" w:pos="5040"/>
        </w:tabs>
        <w:ind w:left="5040" w:hanging="360"/>
      </w:pPr>
    </w:lvl>
    <w:lvl w:ilvl="7" w:tplc="776E46FE" w:tentative="1">
      <w:start w:val="1"/>
      <w:numFmt w:val="lowerLetter"/>
      <w:lvlText w:val="%8."/>
      <w:lvlJc w:val="left"/>
      <w:pPr>
        <w:tabs>
          <w:tab w:val="num" w:pos="5760"/>
        </w:tabs>
        <w:ind w:left="5760" w:hanging="360"/>
      </w:pPr>
    </w:lvl>
    <w:lvl w:ilvl="8" w:tplc="E18C6DA8"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4BC2644">
      <w:start w:val="1"/>
      <w:numFmt w:val="decimal"/>
      <w:lvlText w:val="%1."/>
      <w:lvlJc w:val="left"/>
      <w:pPr>
        <w:tabs>
          <w:tab w:val="num" w:pos="1057"/>
        </w:tabs>
        <w:ind w:left="1057" w:hanging="360"/>
      </w:pPr>
      <w:rPr>
        <w:rFonts w:hint="default"/>
      </w:rPr>
    </w:lvl>
    <w:lvl w:ilvl="1" w:tplc="6D860652" w:tentative="1">
      <w:start w:val="1"/>
      <w:numFmt w:val="lowerLetter"/>
      <w:lvlText w:val="%2."/>
      <w:lvlJc w:val="left"/>
      <w:pPr>
        <w:tabs>
          <w:tab w:val="num" w:pos="2137"/>
        </w:tabs>
        <w:ind w:left="2137" w:hanging="360"/>
      </w:pPr>
    </w:lvl>
    <w:lvl w:ilvl="2" w:tplc="C97E7C20" w:tentative="1">
      <w:start w:val="1"/>
      <w:numFmt w:val="lowerRoman"/>
      <w:lvlText w:val="%3."/>
      <w:lvlJc w:val="right"/>
      <w:pPr>
        <w:tabs>
          <w:tab w:val="num" w:pos="2857"/>
        </w:tabs>
        <w:ind w:left="2857" w:hanging="180"/>
      </w:pPr>
    </w:lvl>
    <w:lvl w:ilvl="3" w:tplc="3648F124" w:tentative="1">
      <w:start w:val="1"/>
      <w:numFmt w:val="decimal"/>
      <w:lvlText w:val="%4."/>
      <w:lvlJc w:val="left"/>
      <w:pPr>
        <w:tabs>
          <w:tab w:val="num" w:pos="3577"/>
        </w:tabs>
        <w:ind w:left="3577" w:hanging="360"/>
      </w:pPr>
    </w:lvl>
    <w:lvl w:ilvl="4" w:tplc="99D64DC0" w:tentative="1">
      <w:start w:val="1"/>
      <w:numFmt w:val="lowerLetter"/>
      <w:lvlText w:val="%5."/>
      <w:lvlJc w:val="left"/>
      <w:pPr>
        <w:tabs>
          <w:tab w:val="num" w:pos="4297"/>
        </w:tabs>
        <w:ind w:left="4297" w:hanging="360"/>
      </w:pPr>
    </w:lvl>
    <w:lvl w:ilvl="5" w:tplc="14F8E206" w:tentative="1">
      <w:start w:val="1"/>
      <w:numFmt w:val="lowerRoman"/>
      <w:lvlText w:val="%6."/>
      <w:lvlJc w:val="right"/>
      <w:pPr>
        <w:tabs>
          <w:tab w:val="num" w:pos="5017"/>
        </w:tabs>
        <w:ind w:left="5017" w:hanging="180"/>
      </w:pPr>
    </w:lvl>
    <w:lvl w:ilvl="6" w:tplc="987E7FF0" w:tentative="1">
      <w:start w:val="1"/>
      <w:numFmt w:val="decimal"/>
      <w:lvlText w:val="%7."/>
      <w:lvlJc w:val="left"/>
      <w:pPr>
        <w:tabs>
          <w:tab w:val="num" w:pos="5737"/>
        </w:tabs>
        <w:ind w:left="5737" w:hanging="360"/>
      </w:pPr>
    </w:lvl>
    <w:lvl w:ilvl="7" w:tplc="BD2E2A9E" w:tentative="1">
      <w:start w:val="1"/>
      <w:numFmt w:val="lowerLetter"/>
      <w:lvlText w:val="%8."/>
      <w:lvlJc w:val="left"/>
      <w:pPr>
        <w:tabs>
          <w:tab w:val="num" w:pos="6457"/>
        </w:tabs>
        <w:ind w:left="6457" w:hanging="360"/>
      </w:pPr>
    </w:lvl>
    <w:lvl w:ilvl="8" w:tplc="4C0CCE46" w:tentative="1">
      <w:start w:val="1"/>
      <w:numFmt w:val="lowerRoman"/>
      <w:lvlText w:val="%9."/>
      <w:lvlJc w:val="right"/>
      <w:pPr>
        <w:tabs>
          <w:tab w:val="num" w:pos="7177"/>
        </w:tabs>
        <w:ind w:left="7177" w:hanging="180"/>
      </w:pPr>
    </w:lvl>
  </w:abstractNum>
  <w:abstractNum w:abstractNumId="14" w15:restartNumberingAfterBreak="0">
    <w:nsid w:val="6FFD199A"/>
    <w:multiLevelType w:val="hybridMultilevel"/>
    <w:tmpl w:val="F886E4F8"/>
    <w:lvl w:ilvl="0" w:tplc="7C90FC26">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2657C"/>
    <w:multiLevelType w:val="hybridMultilevel"/>
    <w:tmpl w:val="0A8E2A84"/>
    <w:lvl w:ilvl="0" w:tplc="0A18A5E4">
      <w:start w:val="1"/>
      <w:numFmt w:val="decimal"/>
      <w:pStyle w:val="ATSNumber1"/>
      <w:lvlText w:val="%1)"/>
      <w:lvlJc w:val="left"/>
      <w:pPr>
        <w:tabs>
          <w:tab w:val="num" w:pos="720"/>
        </w:tabs>
        <w:ind w:left="720" w:hanging="360"/>
      </w:pPr>
    </w:lvl>
    <w:lvl w:ilvl="1" w:tplc="AB046546" w:tentative="1">
      <w:start w:val="1"/>
      <w:numFmt w:val="lowerLetter"/>
      <w:lvlText w:val="%2."/>
      <w:lvlJc w:val="left"/>
      <w:pPr>
        <w:tabs>
          <w:tab w:val="num" w:pos="1440"/>
        </w:tabs>
        <w:ind w:left="1440" w:hanging="360"/>
      </w:pPr>
    </w:lvl>
    <w:lvl w:ilvl="2" w:tplc="BE1A5AEE" w:tentative="1">
      <w:start w:val="1"/>
      <w:numFmt w:val="lowerRoman"/>
      <w:lvlText w:val="%3."/>
      <w:lvlJc w:val="right"/>
      <w:pPr>
        <w:tabs>
          <w:tab w:val="num" w:pos="2160"/>
        </w:tabs>
        <w:ind w:left="2160" w:hanging="180"/>
      </w:pPr>
    </w:lvl>
    <w:lvl w:ilvl="3" w:tplc="F530BBAA" w:tentative="1">
      <w:start w:val="1"/>
      <w:numFmt w:val="decimal"/>
      <w:lvlText w:val="%4."/>
      <w:lvlJc w:val="left"/>
      <w:pPr>
        <w:tabs>
          <w:tab w:val="num" w:pos="2880"/>
        </w:tabs>
        <w:ind w:left="2880" w:hanging="360"/>
      </w:pPr>
    </w:lvl>
    <w:lvl w:ilvl="4" w:tplc="EDB83826" w:tentative="1">
      <w:start w:val="1"/>
      <w:numFmt w:val="lowerLetter"/>
      <w:lvlText w:val="%5."/>
      <w:lvlJc w:val="left"/>
      <w:pPr>
        <w:tabs>
          <w:tab w:val="num" w:pos="3600"/>
        </w:tabs>
        <w:ind w:left="3600" w:hanging="360"/>
      </w:pPr>
    </w:lvl>
    <w:lvl w:ilvl="5" w:tplc="647EA7F2" w:tentative="1">
      <w:start w:val="1"/>
      <w:numFmt w:val="lowerRoman"/>
      <w:lvlText w:val="%6."/>
      <w:lvlJc w:val="right"/>
      <w:pPr>
        <w:tabs>
          <w:tab w:val="num" w:pos="4320"/>
        </w:tabs>
        <w:ind w:left="4320" w:hanging="180"/>
      </w:pPr>
    </w:lvl>
    <w:lvl w:ilvl="6" w:tplc="6C0208B2" w:tentative="1">
      <w:start w:val="1"/>
      <w:numFmt w:val="decimal"/>
      <w:lvlText w:val="%7."/>
      <w:lvlJc w:val="left"/>
      <w:pPr>
        <w:tabs>
          <w:tab w:val="num" w:pos="5040"/>
        </w:tabs>
        <w:ind w:left="5040" w:hanging="360"/>
      </w:pPr>
    </w:lvl>
    <w:lvl w:ilvl="7" w:tplc="D108A768" w:tentative="1">
      <w:start w:val="1"/>
      <w:numFmt w:val="lowerLetter"/>
      <w:lvlText w:val="%8."/>
      <w:lvlJc w:val="left"/>
      <w:pPr>
        <w:tabs>
          <w:tab w:val="num" w:pos="5760"/>
        </w:tabs>
        <w:ind w:left="5760" w:hanging="360"/>
      </w:pPr>
    </w:lvl>
    <w:lvl w:ilvl="8" w:tplc="EC842904"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3CAACFD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244E0A9E" w:tentative="1">
      <w:start w:val="1"/>
      <w:numFmt w:val="bullet"/>
      <w:lvlText w:val="o"/>
      <w:lvlJc w:val="left"/>
      <w:pPr>
        <w:tabs>
          <w:tab w:val="num" w:pos="2517"/>
        </w:tabs>
        <w:ind w:left="2517" w:hanging="360"/>
      </w:pPr>
      <w:rPr>
        <w:rFonts w:ascii="Courier New" w:hAnsi="Courier New" w:cs="Courier New" w:hint="default"/>
      </w:rPr>
    </w:lvl>
    <w:lvl w:ilvl="2" w:tplc="B372AC1C" w:tentative="1">
      <w:start w:val="1"/>
      <w:numFmt w:val="bullet"/>
      <w:lvlText w:val=""/>
      <w:lvlJc w:val="left"/>
      <w:pPr>
        <w:tabs>
          <w:tab w:val="num" w:pos="3237"/>
        </w:tabs>
        <w:ind w:left="3237" w:hanging="360"/>
      </w:pPr>
      <w:rPr>
        <w:rFonts w:ascii="Wingdings" w:hAnsi="Wingdings" w:hint="default"/>
      </w:rPr>
    </w:lvl>
    <w:lvl w:ilvl="3" w:tplc="459E2148" w:tentative="1">
      <w:start w:val="1"/>
      <w:numFmt w:val="bullet"/>
      <w:lvlText w:val=""/>
      <w:lvlJc w:val="left"/>
      <w:pPr>
        <w:tabs>
          <w:tab w:val="num" w:pos="3957"/>
        </w:tabs>
        <w:ind w:left="3957" w:hanging="360"/>
      </w:pPr>
      <w:rPr>
        <w:rFonts w:ascii="Symbol" w:hAnsi="Symbol" w:hint="default"/>
      </w:rPr>
    </w:lvl>
    <w:lvl w:ilvl="4" w:tplc="334083C4" w:tentative="1">
      <w:start w:val="1"/>
      <w:numFmt w:val="bullet"/>
      <w:lvlText w:val="o"/>
      <w:lvlJc w:val="left"/>
      <w:pPr>
        <w:tabs>
          <w:tab w:val="num" w:pos="4677"/>
        </w:tabs>
        <w:ind w:left="4677" w:hanging="360"/>
      </w:pPr>
      <w:rPr>
        <w:rFonts w:ascii="Courier New" w:hAnsi="Courier New" w:cs="Courier New" w:hint="default"/>
      </w:rPr>
    </w:lvl>
    <w:lvl w:ilvl="5" w:tplc="749C1E2C" w:tentative="1">
      <w:start w:val="1"/>
      <w:numFmt w:val="bullet"/>
      <w:lvlText w:val=""/>
      <w:lvlJc w:val="left"/>
      <w:pPr>
        <w:tabs>
          <w:tab w:val="num" w:pos="5397"/>
        </w:tabs>
        <w:ind w:left="5397" w:hanging="360"/>
      </w:pPr>
      <w:rPr>
        <w:rFonts w:ascii="Wingdings" w:hAnsi="Wingdings" w:hint="default"/>
      </w:rPr>
    </w:lvl>
    <w:lvl w:ilvl="6" w:tplc="F0B28898" w:tentative="1">
      <w:start w:val="1"/>
      <w:numFmt w:val="bullet"/>
      <w:lvlText w:val=""/>
      <w:lvlJc w:val="left"/>
      <w:pPr>
        <w:tabs>
          <w:tab w:val="num" w:pos="6117"/>
        </w:tabs>
        <w:ind w:left="6117" w:hanging="360"/>
      </w:pPr>
      <w:rPr>
        <w:rFonts w:ascii="Symbol" w:hAnsi="Symbol" w:hint="default"/>
      </w:rPr>
    </w:lvl>
    <w:lvl w:ilvl="7" w:tplc="AD78765C" w:tentative="1">
      <w:start w:val="1"/>
      <w:numFmt w:val="bullet"/>
      <w:lvlText w:val="o"/>
      <w:lvlJc w:val="left"/>
      <w:pPr>
        <w:tabs>
          <w:tab w:val="num" w:pos="6837"/>
        </w:tabs>
        <w:ind w:left="6837" w:hanging="360"/>
      </w:pPr>
      <w:rPr>
        <w:rFonts w:ascii="Courier New" w:hAnsi="Courier New" w:cs="Courier New" w:hint="default"/>
      </w:rPr>
    </w:lvl>
    <w:lvl w:ilvl="8" w:tplc="0D6895B2"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B9CEC22C">
      <w:start w:val="1"/>
      <w:numFmt w:val="decimal"/>
      <w:pStyle w:val="ATSNumber2"/>
      <w:lvlText w:val="%1."/>
      <w:lvlJc w:val="left"/>
      <w:pPr>
        <w:tabs>
          <w:tab w:val="num" w:pos="720"/>
        </w:tabs>
        <w:ind w:left="720" w:hanging="360"/>
      </w:pPr>
      <w:rPr>
        <w:rFonts w:hint="default"/>
      </w:rPr>
    </w:lvl>
    <w:lvl w:ilvl="1" w:tplc="937EEFEA" w:tentative="1">
      <w:start w:val="1"/>
      <w:numFmt w:val="lowerLetter"/>
      <w:lvlText w:val="%2."/>
      <w:lvlJc w:val="left"/>
      <w:pPr>
        <w:tabs>
          <w:tab w:val="num" w:pos="1440"/>
        </w:tabs>
        <w:ind w:left="1440" w:hanging="360"/>
      </w:pPr>
    </w:lvl>
    <w:lvl w:ilvl="2" w:tplc="8E304672" w:tentative="1">
      <w:start w:val="1"/>
      <w:numFmt w:val="lowerRoman"/>
      <w:lvlText w:val="%3."/>
      <w:lvlJc w:val="right"/>
      <w:pPr>
        <w:tabs>
          <w:tab w:val="num" w:pos="2160"/>
        </w:tabs>
        <w:ind w:left="2160" w:hanging="180"/>
      </w:pPr>
    </w:lvl>
    <w:lvl w:ilvl="3" w:tplc="EA322B98" w:tentative="1">
      <w:start w:val="1"/>
      <w:numFmt w:val="decimal"/>
      <w:lvlText w:val="%4."/>
      <w:lvlJc w:val="left"/>
      <w:pPr>
        <w:tabs>
          <w:tab w:val="num" w:pos="2880"/>
        </w:tabs>
        <w:ind w:left="2880" w:hanging="360"/>
      </w:pPr>
    </w:lvl>
    <w:lvl w:ilvl="4" w:tplc="E304CEBA" w:tentative="1">
      <w:start w:val="1"/>
      <w:numFmt w:val="lowerLetter"/>
      <w:lvlText w:val="%5."/>
      <w:lvlJc w:val="left"/>
      <w:pPr>
        <w:tabs>
          <w:tab w:val="num" w:pos="3600"/>
        </w:tabs>
        <w:ind w:left="3600" w:hanging="360"/>
      </w:pPr>
    </w:lvl>
    <w:lvl w:ilvl="5" w:tplc="4CF02574" w:tentative="1">
      <w:start w:val="1"/>
      <w:numFmt w:val="lowerRoman"/>
      <w:lvlText w:val="%6."/>
      <w:lvlJc w:val="right"/>
      <w:pPr>
        <w:tabs>
          <w:tab w:val="num" w:pos="4320"/>
        </w:tabs>
        <w:ind w:left="4320" w:hanging="180"/>
      </w:pPr>
    </w:lvl>
    <w:lvl w:ilvl="6" w:tplc="4E1E610C" w:tentative="1">
      <w:start w:val="1"/>
      <w:numFmt w:val="decimal"/>
      <w:lvlText w:val="%7."/>
      <w:lvlJc w:val="left"/>
      <w:pPr>
        <w:tabs>
          <w:tab w:val="num" w:pos="5040"/>
        </w:tabs>
        <w:ind w:left="5040" w:hanging="360"/>
      </w:pPr>
    </w:lvl>
    <w:lvl w:ilvl="7" w:tplc="90325586" w:tentative="1">
      <w:start w:val="1"/>
      <w:numFmt w:val="lowerLetter"/>
      <w:lvlText w:val="%8."/>
      <w:lvlJc w:val="left"/>
      <w:pPr>
        <w:tabs>
          <w:tab w:val="num" w:pos="5760"/>
        </w:tabs>
        <w:ind w:left="5760" w:hanging="360"/>
      </w:pPr>
    </w:lvl>
    <w:lvl w:ilvl="8" w:tplc="6CEE783C" w:tentative="1">
      <w:start w:val="1"/>
      <w:numFmt w:val="lowerRoman"/>
      <w:lvlText w:val="%9."/>
      <w:lvlJc w:val="right"/>
      <w:pPr>
        <w:tabs>
          <w:tab w:val="num" w:pos="6480"/>
        </w:tabs>
        <w:ind w:left="6480" w:hanging="180"/>
      </w:pPr>
    </w:lvl>
  </w:abstractNum>
  <w:num w:numId="1" w16cid:durableId="1315793996">
    <w:abstractNumId w:val="9"/>
  </w:num>
  <w:num w:numId="2" w16cid:durableId="1873496948">
    <w:abstractNumId w:val="7"/>
  </w:num>
  <w:num w:numId="3" w16cid:durableId="1108356903">
    <w:abstractNumId w:val="6"/>
  </w:num>
  <w:num w:numId="4" w16cid:durableId="66808426">
    <w:abstractNumId w:val="5"/>
  </w:num>
  <w:num w:numId="5" w16cid:durableId="22172509">
    <w:abstractNumId w:val="4"/>
  </w:num>
  <w:num w:numId="6" w16cid:durableId="2052608212">
    <w:abstractNumId w:val="8"/>
  </w:num>
  <w:num w:numId="7" w16cid:durableId="2004620409">
    <w:abstractNumId w:val="3"/>
  </w:num>
  <w:num w:numId="8" w16cid:durableId="1262255152">
    <w:abstractNumId w:val="2"/>
  </w:num>
  <w:num w:numId="9" w16cid:durableId="68118093">
    <w:abstractNumId w:val="1"/>
  </w:num>
  <w:num w:numId="10" w16cid:durableId="2036149891">
    <w:abstractNumId w:val="0"/>
  </w:num>
  <w:num w:numId="11" w16cid:durableId="726104729">
    <w:abstractNumId w:val="11"/>
  </w:num>
  <w:num w:numId="12" w16cid:durableId="1337999716">
    <w:abstractNumId w:val="16"/>
  </w:num>
  <w:num w:numId="13" w16cid:durableId="714815240">
    <w:abstractNumId w:val="15"/>
  </w:num>
  <w:num w:numId="14" w16cid:durableId="1567951933">
    <w:abstractNumId w:val="12"/>
  </w:num>
  <w:num w:numId="15" w16cid:durableId="628361813">
    <w:abstractNumId w:val="13"/>
  </w:num>
  <w:num w:numId="16" w16cid:durableId="1284268831">
    <w:abstractNumId w:val="10"/>
  </w:num>
  <w:num w:numId="17" w16cid:durableId="1549223860">
    <w:abstractNumId w:val="11"/>
  </w:num>
  <w:num w:numId="18" w16cid:durableId="1203447448">
    <w:abstractNumId w:val="16"/>
  </w:num>
  <w:num w:numId="19" w16cid:durableId="1136413754">
    <w:abstractNumId w:val="15"/>
  </w:num>
  <w:num w:numId="20" w16cid:durableId="1447499889">
    <w:abstractNumId w:val="17"/>
  </w:num>
  <w:num w:numId="21" w16cid:durableId="12982957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01"/>
    <w:rsid w:val="00312601"/>
    <w:rsid w:val="00561C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9DEED1"/>
  <w15:chartTrackingRefBased/>
  <w15:docId w15:val="{C7C1CB67-FF7E-4354-89A3-2C283489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qFormat/>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561C20"/>
    <w:rPr>
      <w:sz w:val="22"/>
      <w:szCs w:val="22"/>
      <w:lang w:val="en-GB" w:eastAsia="en-US"/>
    </w:rPr>
  </w:style>
  <w:style w:type="paragraph" w:customStyle="1" w:styleId="Body">
    <w:name w:val="Body"/>
    <w:rsid w:val="00561C20"/>
    <w:pPr>
      <w:pBdr>
        <w:top w:val="nil"/>
        <w:left w:val="nil"/>
        <w:bottom w:val="nil"/>
        <w:right w:val="nil"/>
        <w:between w:val="nil"/>
        <w:bar w:val="nil"/>
      </w:pBdr>
    </w:pPr>
    <w:rPr>
      <w:rFonts w:ascii="Helvetica Neue" w:eastAsia="Arial Unicode MS" w:hAnsi="Helvetica Neue" w:cs="Arial Unicode MS"/>
      <w:color w:val="000000"/>
      <w:sz w:val="22"/>
      <w:szCs w:val="22"/>
      <w:bdr w:val="ni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3" Type="http://schemas.openxmlformats.org/officeDocument/2006/relationships/hyperlink" Target="https://doi.org/10.1038/s41467-021-23070-7" TargetMode="External"/><Relationship Id="rId2" Type="http://schemas.openxmlformats.org/officeDocument/2006/relationships/hyperlink" Target="https://doi.org/10.1126/science.aaa4019" TargetMode="External"/><Relationship Id="rId1" Type="http://schemas.openxmlformats.org/officeDocument/2006/relationships/hyperlink" Target="https://doi.org/10.1038/s41586-021-03427-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1725</Words>
  <Characters>9284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2022-04-25T13:07:00Z</dcterms:modified>
</cp:coreProperties>
</file>