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8FB15" w14:textId="77777777" w:rsidR="00C26F2D" w:rsidRDefault="00F07036" w:rsidP="009E619D">
      <w:pPr>
        <w:rPr>
          <w:lang w:val="es-ES_tradnl"/>
        </w:rPr>
      </w:pPr>
    </w:p>
    <w:p w14:paraId="12D50E67" w14:textId="77777777" w:rsidR="002F0A13" w:rsidRDefault="00F07036" w:rsidP="004B4A60">
      <w:pPr>
        <w:rPr>
          <w:b/>
          <w:u w:val="single"/>
          <w:lang w:val="es-ES_tradnl"/>
        </w:rPr>
      </w:pPr>
    </w:p>
    <w:p w14:paraId="12963A9F" w14:textId="77777777" w:rsidR="002F0A13" w:rsidRDefault="00F07036" w:rsidP="004B4A60">
      <w:pPr>
        <w:rPr>
          <w:b/>
          <w:u w:val="single"/>
          <w:lang w:val="es-ES_tradnl"/>
        </w:rPr>
      </w:pPr>
    </w:p>
    <w:p w14:paraId="285397E4" w14:textId="77777777" w:rsidR="002F0A13" w:rsidRDefault="00F07036" w:rsidP="004B4A60">
      <w:pPr>
        <w:rPr>
          <w:b/>
          <w:u w:val="single"/>
          <w:lang w:val="es-ES_tradnl"/>
        </w:rPr>
      </w:pPr>
    </w:p>
    <w:p w14:paraId="29F6CD29" w14:textId="77777777" w:rsidR="002F0A13" w:rsidRDefault="00F07036" w:rsidP="004B4A60">
      <w:pPr>
        <w:rPr>
          <w:b/>
          <w:u w:val="single"/>
          <w:lang w:val="es-ES_tradnl"/>
        </w:rPr>
      </w:pPr>
    </w:p>
    <w:p w14:paraId="7C2974BC" w14:textId="77777777" w:rsidR="00C26F2D" w:rsidRDefault="00F07036" w:rsidP="004B4A60">
      <w:pPr>
        <w:rPr>
          <w:b/>
          <w:u w:val="single"/>
          <w:lang w:val="es-ES_tradnl"/>
        </w:rPr>
      </w:pPr>
    </w:p>
    <w:p w14:paraId="5D703E24" w14:textId="77777777" w:rsidR="004B4A60" w:rsidRPr="00AB194F" w:rsidRDefault="00AB194F" w:rsidP="001B789F">
      <w:pPr>
        <w:pStyle w:val="ATSTitle"/>
      </w:pPr>
      <w:bookmarkStart w:id="0" w:name="name"/>
      <w:r>
        <w:t xml:space="preserve">Planning process for future capacity expansion of Petrel Base, Cape </w:t>
      </w:r>
      <w:proofErr w:type="spellStart"/>
      <w:r>
        <w:t>Welchness</w:t>
      </w:r>
      <w:proofErr w:type="spellEnd"/>
      <w:r>
        <w:t>, Dundee Island</w:t>
      </w:r>
      <w:bookmarkEnd w:id="0"/>
    </w:p>
    <w:p w14:paraId="360CD002" w14:textId="77777777" w:rsidR="004B4A60" w:rsidRPr="00AB194F" w:rsidRDefault="00F07036" w:rsidP="00F75424">
      <w:pPr>
        <w:jc w:val="center"/>
        <w:rPr>
          <w:lang w:val="es-AR"/>
        </w:rPr>
      </w:pPr>
    </w:p>
    <w:p w14:paraId="2494A9E8" w14:textId="77777777" w:rsidR="004B4A60" w:rsidRPr="00AB194F" w:rsidRDefault="00F07036" w:rsidP="002F0A13">
      <w:pPr>
        <w:rPr>
          <w:lang w:val="es-AR"/>
        </w:rPr>
      </w:pPr>
    </w:p>
    <w:p w14:paraId="7646E033" w14:textId="77777777" w:rsidR="004B4A60" w:rsidRPr="00AB194F" w:rsidRDefault="00F07036" w:rsidP="00F75424">
      <w:pPr>
        <w:jc w:val="center"/>
      </w:pPr>
      <w:bookmarkStart w:id="1" w:name="memo"/>
      <w:bookmarkEnd w:id="1"/>
    </w:p>
    <w:p w14:paraId="18140A34" w14:textId="77777777" w:rsidR="004B4A60" w:rsidRPr="00AB194F" w:rsidRDefault="00F07036" w:rsidP="004B4A60">
      <w:pPr>
        <w:rPr>
          <w:lang w:val="es-AR"/>
        </w:rPr>
      </w:pPr>
    </w:p>
    <w:p w14:paraId="53D8222A" w14:textId="77777777" w:rsidR="00C26F2D" w:rsidRPr="00AB194F" w:rsidRDefault="00F07036" w:rsidP="00952E9F">
      <w:pPr>
        <w:rPr>
          <w:lang w:val="es-AR"/>
        </w:rPr>
        <w:sectPr w:rsidR="00C26F2D" w:rsidRPr="00AB194F" w:rsidSect="000E1D5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709" w:footer="709" w:gutter="0"/>
          <w:cols w:space="708"/>
          <w:docGrid w:linePitch="360"/>
        </w:sectPr>
      </w:pPr>
    </w:p>
    <w:p w14:paraId="25A384B8" w14:textId="369E634B" w:rsidR="004B4A60" w:rsidRPr="00AB194F" w:rsidRDefault="00F07036" w:rsidP="00952E9F">
      <w:pPr>
        <w:rPr>
          <w:lang w:val="es-AR"/>
        </w:rPr>
      </w:pPr>
    </w:p>
    <w:p w14:paraId="3374FFD3" w14:textId="77777777" w:rsidR="00AB194F" w:rsidRPr="001A0691" w:rsidRDefault="00AB194F" w:rsidP="00AB194F">
      <w:pPr>
        <w:pBdr>
          <w:top w:val="nil"/>
          <w:left w:val="nil"/>
          <w:bottom w:val="nil"/>
          <w:right w:val="nil"/>
          <w:between w:val="nil"/>
        </w:pBdr>
        <w:spacing w:before="120" w:after="120"/>
        <w:jc w:val="center"/>
        <w:rPr>
          <w:rFonts w:ascii="Arial" w:eastAsia="Arial" w:hAnsi="Arial" w:cs="Arial"/>
          <w:b/>
          <w:color w:val="000000"/>
          <w:sz w:val="32"/>
          <w:szCs w:val="32"/>
        </w:rPr>
      </w:pPr>
      <w:r>
        <w:rPr>
          <w:rFonts w:ascii="Arial" w:hAnsi="Arial"/>
          <w:b/>
          <w:color w:val="000000"/>
          <w:sz w:val="32"/>
        </w:rPr>
        <w:t xml:space="preserve">Planning process for future capacity expansion of Petrel Base, Cape </w:t>
      </w:r>
      <w:proofErr w:type="spellStart"/>
      <w:r>
        <w:rPr>
          <w:rFonts w:ascii="Arial" w:hAnsi="Arial"/>
          <w:b/>
          <w:color w:val="000000"/>
          <w:sz w:val="32"/>
        </w:rPr>
        <w:t>Welchness</w:t>
      </w:r>
      <w:proofErr w:type="spellEnd"/>
      <w:r>
        <w:rPr>
          <w:rFonts w:ascii="Arial" w:hAnsi="Arial"/>
          <w:b/>
          <w:color w:val="000000"/>
          <w:sz w:val="32"/>
        </w:rPr>
        <w:t>, Dundee Island</w:t>
      </w:r>
    </w:p>
    <w:p w14:paraId="2A8704DD" w14:textId="68238F22" w:rsidR="00AB194F" w:rsidRPr="001A0691" w:rsidRDefault="00AB194F" w:rsidP="00AB194F">
      <w:pPr>
        <w:pBdr>
          <w:top w:val="nil"/>
          <w:left w:val="nil"/>
          <w:bottom w:val="nil"/>
          <w:right w:val="nil"/>
          <w:between w:val="nil"/>
        </w:pBdr>
        <w:spacing w:before="120" w:after="120"/>
        <w:jc w:val="center"/>
        <w:rPr>
          <w:b/>
          <w:color w:val="000000"/>
        </w:rPr>
      </w:pPr>
      <w:r>
        <w:rPr>
          <w:b/>
          <w:color w:val="000000"/>
        </w:rPr>
        <w:t xml:space="preserve">Information </w:t>
      </w:r>
      <w:r w:rsidR="00F07036">
        <w:rPr>
          <w:b/>
          <w:color w:val="000000"/>
        </w:rPr>
        <w:t xml:space="preserve">Paper </w:t>
      </w:r>
      <w:r>
        <w:rPr>
          <w:b/>
          <w:color w:val="000000"/>
        </w:rPr>
        <w:t>submitted by Argentina</w:t>
      </w:r>
    </w:p>
    <w:p w14:paraId="18D26981" w14:textId="77777777" w:rsidR="00AB194F" w:rsidRPr="001A0691" w:rsidRDefault="00AB194F" w:rsidP="00AB194F">
      <w:pPr>
        <w:pBdr>
          <w:top w:val="nil"/>
          <w:left w:val="nil"/>
          <w:bottom w:val="nil"/>
          <w:right w:val="nil"/>
          <w:between w:val="nil"/>
        </w:pBdr>
        <w:spacing w:before="120" w:after="120"/>
        <w:jc w:val="center"/>
        <w:rPr>
          <w:b/>
          <w:color w:val="000000"/>
          <w:lang w:val="es-AR"/>
        </w:rPr>
      </w:pPr>
    </w:p>
    <w:p w14:paraId="5B263DD2" w14:textId="77777777" w:rsidR="00AB194F" w:rsidRPr="001A0691" w:rsidRDefault="00AB194F" w:rsidP="00AB194F">
      <w:pPr>
        <w:spacing w:after="120"/>
        <w:rPr>
          <w:b/>
          <w:i/>
        </w:rPr>
      </w:pPr>
      <w:r>
        <w:rPr>
          <w:b/>
          <w:i/>
        </w:rPr>
        <w:t>Summary</w:t>
      </w:r>
    </w:p>
    <w:p w14:paraId="651E97D3"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 xml:space="preserve">This document reports on the planning process under development by the Argentine Antarctic Programme, linked to the capacity expansion of the Petrel Antarctic base. Information is included on the history and current situation of the base and on the current tasks and future plans so that the base can enable the logistical support capacities for this country’s scientific activities in Antarctica to be expanded and improved, with a view to the future challenges. </w:t>
      </w:r>
    </w:p>
    <w:p w14:paraId="61B36120" w14:textId="77777777" w:rsidR="00AB194F" w:rsidRPr="001A0691" w:rsidRDefault="00AB194F" w:rsidP="00AB194F">
      <w:pPr>
        <w:spacing w:line="360" w:lineRule="auto"/>
        <w:jc w:val="both"/>
        <w:rPr>
          <w:lang w:val="es-AR"/>
        </w:rPr>
      </w:pPr>
    </w:p>
    <w:p w14:paraId="39A202E9" w14:textId="77777777" w:rsidR="00AB194F" w:rsidRPr="001A0691" w:rsidRDefault="00AB194F" w:rsidP="00AB194F">
      <w:pPr>
        <w:spacing w:after="120"/>
        <w:rPr>
          <w:b/>
          <w:i/>
        </w:rPr>
      </w:pPr>
      <w:r>
        <w:rPr>
          <w:b/>
          <w:i/>
        </w:rPr>
        <w:t>Introduction</w:t>
      </w:r>
    </w:p>
    <w:p w14:paraId="175668E8"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Petrel Base was founded on 22 February 1967, operating as a permanently occupied base until 1976,</w:t>
      </w:r>
      <w:r>
        <w:t xml:space="preserve"> when </w:t>
      </w:r>
      <w:r>
        <w:rPr>
          <w:color w:val="000000"/>
        </w:rPr>
        <w:t>a fire completely destroyed the main lodging house</w:t>
      </w:r>
      <w:r>
        <w:t>.</w:t>
      </w:r>
      <w:r>
        <w:rPr>
          <w:color w:val="000000"/>
        </w:rPr>
        <w:t xml:space="preserve"> </w:t>
      </w:r>
      <w:r>
        <w:t>Since then</w:t>
      </w:r>
      <w:r>
        <w:rPr>
          <w:color w:val="000000"/>
        </w:rPr>
        <w:t>, the base has been maintained until the summer of 2021/2022 as a temporary one, housing summer working groups</w:t>
      </w:r>
      <w:r>
        <w:t xml:space="preserve"> </w:t>
      </w:r>
      <w:r>
        <w:rPr>
          <w:color w:val="000000"/>
        </w:rPr>
        <w:t>that carry</w:t>
      </w:r>
      <w:r>
        <w:t xml:space="preserve"> out periodic </w:t>
      </w:r>
      <w:r>
        <w:rPr>
          <w:color w:val="000000"/>
        </w:rPr>
        <w:t>maintenance tasks</w:t>
      </w:r>
      <w:r>
        <w:t xml:space="preserve">, </w:t>
      </w:r>
      <w:r>
        <w:rPr>
          <w:color w:val="000000"/>
        </w:rPr>
        <w:t xml:space="preserve">and providing support to scientists who conduct research work on the island. </w:t>
      </w:r>
    </w:p>
    <w:p w14:paraId="690351F6"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 xml:space="preserve">The Petrel Base facilities are located on a plain of loose stone material, known as Cape </w:t>
      </w:r>
      <w:proofErr w:type="spellStart"/>
      <w:r>
        <w:rPr>
          <w:color w:val="000000"/>
        </w:rPr>
        <w:t>Welchness</w:t>
      </w:r>
      <w:proofErr w:type="spellEnd"/>
      <w:r>
        <w:rPr>
          <w:color w:val="000000"/>
        </w:rPr>
        <w:t xml:space="preserve"> (Latitude: 63°28'40''S, Longitude: 56°13'37''W), the only sector of Dundee Island not covered by the Rosamaria Glacier.</w:t>
      </w:r>
    </w:p>
    <w:p w14:paraId="3F6C47B9" w14:textId="77777777" w:rsidR="00AB194F" w:rsidRPr="001A0691" w:rsidRDefault="00AB194F" w:rsidP="00AB194F">
      <w:pPr>
        <w:pBdr>
          <w:top w:val="nil"/>
          <w:left w:val="nil"/>
          <w:bottom w:val="nil"/>
          <w:right w:val="nil"/>
          <w:between w:val="nil"/>
        </w:pBdr>
        <w:spacing w:before="120" w:after="120"/>
        <w:jc w:val="both"/>
        <w:rPr>
          <w:color w:val="000000"/>
        </w:rPr>
      </w:pPr>
      <w:bookmarkStart w:id="8" w:name="_heading=h.gjdgxs"/>
      <w:bookmarkEnd w:id="8"/>
      <w:r>
        <w:rPr>
          <w:color w:val="000000"/>
        </w:rPr>
        <w:t xml:space="preserve">The sector of Dundee Island currently occupied by the Petrel Antarctic Base is a small, triangular-shaped peninsula of approximately 1.8 km </w:t>
      </w:r>
      <w:r>
        <w:rPr>
          <w:color w:val="000000"/>
          <w:vertAlign w:val="superscript"/>
        </w:rPr>
        <w:t>2</w:t>
      </w:r>
      <w:r>
        <w:rPr>
          <w:color w:val="000000"/>
        </w:rPr>
        <w:t xml:space="preserve"> , with two differentiated plains, reaching a height of 18 metres above sea level in the highest sector, and in its eastern margin, extending from south to north, a chain of moraines that rise to an elevation of 67 metres above sea level. </w:t>
      </w:r>
    </w:p>
    <w:p w14:paraId="380859A0"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The facilities are located mainly on the northern sector of the moraines, where the main house, a small workshop and a power plant are located, and on the elevated plain there is a depot, a hangar, a power plant, emergency housing, waste from old constructions, tanks for storing Antarctic Diesel, an antenna array and a cold room.</w:t>
      </w:r>
    </w:p>
    <w:p w14:paraId="33632BAA" w14:textId="77777777" w:rsidR="00AB194F" w:rsidRPr="001A0691" w:rsidRDefault="00AB194F" w:rsidP="00AB194F">
      <w:pPr>
        <w:pBdr>
          <w:top w:val="nil"/>
          <w:left w:val="nil"/>
          <w:bottom w:val="nil"/>
          <w:right w:val="nil"/>
          <w:between w:val="nil"/>
        </w:pBdr>
        <w:spacing w:before="120" w:after="120"/>
        <w:jc w:val="both"/>
        <w:rPr>
          <w:color w:val="000000"/>
          <w:lang w:val="es-AR"/>
        </w:rPr>
      </w:pPr>
    </w:p>
    <w:p w14:paraId="7E8ED8BE" w14:textId="77777777" w:rsidR="00AB194F" w:rsidRPr="001A0691" w:rsidRDefault="00AB194F" w:rsidP="00AB194F">
      <w:pPr>
        <w:spacing w:after="120"/>
        <w:rPr>
          <w:b/>
          <w:i/>
        </w:rPr>
      </w:pPr>
      <w:r>
        <w:rPr>
          <w:b/>
          <w:i/>
        </w:rPr>
        <w:t>Condition of the Base</w:t>
      </w:r>
    </w:p>
    <w:p w14:paraId="491DF5DF"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 xml:space="preserve">Two series of buildings are located in the area of the base. One series consists of the hangar, the former power plant, the emergency housing, the vehicle shed and the cold room. These are aligned perpendicularly to the Punta </w:t>
      </w:r>
      <w:proofErr w:type="spellStart"/>
      <w:r>
        <w:rPr>
          <w:color w:val="000000"/>
        </w:rPr>
        <w:t>Bajos</w:t>
      </w:r>
      <w:proofErr w:type="spellEnd"/>
      <w:r>
        <w:rPr>
          <w:color w:val="000000"/>
        </w:rPr>
        <w:t xml:space="preserve"> headland. The other series is made up of the main house, the power plant and a materials enclosure , arranged in columns in reference to the moraine deposit produced by past activity of the </w:t>
      </w:r>
      <w:proofErr w:type="spellStart"/>
      <w:r>
        <w:rPr>
          <w:color w:val="000000"/>
        </w:rPr>
        <w:t>Rosamaría</w:t>
      </w:r>
      <w:proofErr w:type="spellEnd"/>
      <w:r>
        <w:rPr>
          <w:color w:val="000000"/>
        </w:rPr>
        <w:t xml:space="preserve"> glacier. It is worth noting that these two groups of buildings are</w:t>
      </w:r>
      <w:r>
        <w:t xml:space="preserve"> at </w:t>
      </w:r>
      <w:r>
        <w:rPr>
          <w:color w:val="000000"/>
        </w:rPr>
        <w:t xml:space="preserve">least 500 metres apart. </w:t>
      </w:r>
    </w:p>
    <w:p w14:paraId="1D6E47CD"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These buildings date from the origins of the base and</w:t>
      </w:r>
      <w:r>
        <w:t xml:space="preserve"> are </w:t>
      </w:r>
      <w:r>
        <w:rPr>
          <w:color w:val="000000"/>
        </w:rPr>
        <w:t>currently in need of major maintenance and repair work. This situation limits the logistical support capacity for undertaking scientific projects at the base.</w:t>
      </w:r>
    </w:p>
    <w:p w14:paraId="2AC54A82" w14:textId="77777777" w:rsidR="00AB194F" w:rsidRPr="001A0691" w:rsidRDefault="00AB194F" w:rsidP="00AB194F">
      <w:pPr>
        <w:pBdr>
          <w:top w:val="nil"/>
          <w:left w:val="nil"/>
          <w:bottom w:val="nil"/>
          <w:right w:val="nil"/>
          <w:between w:val="nil"/>
        </w:pBdr>
        <w:spacing w:before="120" w:after="120"/>
        <w:jc w:val="both"/>
        <w:rPr>
          <w:color w:val="000000"/>
          <w:lang w:val="es-AR"/>
        </w:rPr>
      </w:pPr>
    </w:p>
    <w:p w14:paraId="6DC81831" w14:textId="77777777" w:rsidR="00AB194F" w:rsidRPr="001A0691" w:rsidRDefault="00AB194F" w:rsidP="00AB194F">
      <w:pPr>
        <w:spacing w:after="120"/>
        <w:rPr>
          <w:b/>
          <w:i/>
        </w:rPr>
      </w:pPr>
      <w:r>
        <w:rPr>
          <w:b/>
          <w:i/>
        </w:rPr>
        <w:t>Activities initiated and planned for the Base in the short term</w:t>
      </w:r>
    </w:p>
    <w:p w14:paraId="30550E22"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In order to expand</w:t>
      </w:r>
      <w:r>
        <w:t xml:space="preserve"> the </w:t>
      </w:r>
      <w:r>
        <w:rPr>
          <w:color w:val="000000"/>
        </w:rPr>
        <w:t>capabilities of the Petrel Antarctic base, a planning process has been initiated that involves, in addition to analysis work, performing tasks at the base that contribute to this planning process and the future plans for it.</w:t>
      </w:r>
    </w:p>
    <w:p w14:paraId="4A0BEB6B" w14:textId="77777777" w:rsidR="00AB194F" w:rsidRPr="001A0691" w:rsidRDefault="00AB194F" w:rsidP="00AB194F">
      <w:pPr>
        <w:pBdr>
          <w:top w:val="nil"/>
          <w:left w:val="nil"/>
          <w:bottom w:val="nil"/>
          <w:right w:val="nil"/>
          <w:between w:val="nil"/>
        </w:pBdr>
        <w:spacing w:before="120" w:after="120"/>
        <w:jc w:val="both"/>
        <w:rPr>
          <w:color w:val="000000"/>
          <w:lang w:val="es-AR"/>
        </w:rPr>
      </w:pPr>
    </w:p>
    <w:p w14:paraId="46534322" w14:textId="77777777" w:rsidR="00AB194F" w:rsidRPr="001A0691" w:rsidRDefault="00AB194F" w:rsidP="00AB194F">
      <w:pPr>
        <w:pBdr>
          <w:top w:val="nil"/>
          <w:left w:val="nil"/>
          <w:bottom w:val="nil"/>
          <w:right w:val="nil"/>
          <w:between w:val="nil"/>
        </w:pBdr>
        <w:spacing w:before="120" w:after="120"/>
        <w:jc w:val="both"/>
        <w:rPr>
          <w:color w:val="000000"/>
        </w:rPr>
      </w:pPr>
      <w:r>
        <w:lastRenderedPageBreak/>
        <w:t>In this regard</w:t>
      </w:r>
      <w:r>
        <w:rPr>
          <w:color w:val="000000"/>
        </w:rPr>
        <w:t xml:space="preserve">, works essential for the planning process have been initiated to study information at the base. Examples of these works include the collection of baseline environmental information, the study of meteorological and bathymetric information, and various operational feasibility studies. </w:t>
      </w:r>
    </w:p>
    <w:p w14:paraId="03435256"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So that these studies</w:t>
      </w:r>
      <w:r>
        <w:t xml:space="preserve"> could be conducted, it </w:t>
      </w:r>
      <w:r>
        <w:rPr>
          <w:color w:val="000000"/>
        </w:rPr>
        <w:t>was necessary to plan and execute maintenance tasks</w:t>
      </w:r>
      <w:r>
        <w:t xml:space="preserve"> </w:t>
      </w:r>
      <w:r>
        <w:rPr>
          <w:color w:val="000000"/>
        </w:rPr>
        <w:t xml:space="preserve">to make the base more habitable for the personnel assigned to carry out these tasks. </w:t>
      </w:r>
    </w:p>
    <w:p w14:paraId="48BA5EB2"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 xml:space="preserve">In this context, given that more time needed to be devoted to these tasks than the summer campaigns allow, it was assessed whether the staff could remain throughout the year. </w:t>
      </w:r>
      <w:r>
        <w:t>To this end, as a preliminary step, the environmental impact of continuing</w:t>
      </w:r>
      <w:r>
        <w:rPr>
          <w:color w:val="000000"/>
        </w:rPr>
        <w:t xml:space="preserve"> the activity at the base throughout the year</w:t>
      </w:r>
      <w:r>
        <w:t xml:space="preserve"> </w:t>
      </w:r>
      <w:r>
        <w:rPr>
          <w:color w:val="000000"/>
        </w:rPr>
        <w:t>was assessed</w:t>
      </w:r>
      <w:r>
        <w:t xml:space="preserve">, something which had not been done </w:t>
      </w:r>
      <w:r>
        <w:rPr>
          <w:color w:val="000000"/>
        </w:rPr>
        <w:t xml:space="preserve">since 1976. </w:t>
      </w:r>
      <w:r>
        <w:t xml:space="preserve">In this way </w:t>
      </w:r>
      <w:r>
        <w:rPr>
          <w:color w:val="000000"/>
        </w:rPr>
        <w:t>, the corresponding Initial Environmental Evaluation (IEE) was prepared by the Environmental Management and Tourism Programme of the</w:t>
      </w:r>
      <w:r>
        <w:t xml:space="preserve"> National Antarctic Directorate (DNA) </w:t>
      </w:r>
      <w:r>
        <w:rPr>
          <w:color w:val="000000"/>
        </w:rPr>
        <w:t xml:space="preserve">for the activities to be carried out in the 2021/2022 Summer Antarctic Campaign, and those to be conducted during a crew’s first winter stay in many decades. </w:t>
      </w:r>
    </w:p>
    <w:p w14:paraId="30CFA803"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The activities assessed and now underway address the tasks</w:t>
      </w:r>
      <w:r>
        <w:t xml:space="preserve"> related to the </w:t>
      </w:r>
      <w:r>
        <w:rPr>
          <w:color w:val="000000"/>
        </w:rPr>
        <w:t xml:space="preserve">improvement of the base, through the maintenance of the current accommodation, the refurbishment of the emergency housing, the fine-tuning of the base’s systems, and the removal of the unused fuel tanks. The plan for the next campaign is to transfer new tanks to be installed, and repair the hangar gate and its roof to store the road machinery. </w:t>
      </w:r>
    </w:p>
    <w:p w14:paraId="296D414D"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The IEE is available in the Electronic Information Exchange System of the Secretariat of the Antarctic Treaty.</w:t>
      </w:r>
    </w:p>
    <w:p w14:paraId="5F6EE204" w14:textId="77777777" w:rsidR="00AB194F" w:rsidRPr="001A0691" w:rsidRDefault="00AB194F" w:rsidP="00AB194F">
      <w:pPr>
        <w:spacing w:after="120"/>
        <w:rPr>
          <w:b/>
          <w:i/>
        </w:rPr>
      </w:pPr>
      <w:r>
        <w:rPr>
          <w:b/>
          <w:i/>
        </w:rPr>
        <w:t>Future plans</w:t>
      </w:r>
    </w:p>
    <w:p w14:paraId="3BE19263"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 xml:space="preserve">The objective of the Argentine Antarctic Programme is to increase the capabilities of the Petrel Antarctic base, in order to expand and improve the logistical support capabilities for this country's scientific activities in Antarctica, with a view to future challenges for science. </w:t>
      </w:r>
    </w:p>
    <w:p w14:paraId="57B9BF1F"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The ongoing planning process is being sustained by the information collected during the 2021/2022 summer, and by the analyses being conducted in the various agencies of the Argentine Antarctic Programme.</w:t>
      </w:r>
    </w:p>
    <w:p w14:paraId="0BE5FC54" w14:textId="77777777" w:rsidR="00AB194F" w:rsidRPr="001A0691" w:rsidRDefault="00AB194F" w:rsidP="00AB194F">
      <w:pPr>
        <w:pBdr>
          <w:top w:val="nil"/>
          <w:left w:val="nil"/>
          <w:bottom w:val="nil"/>
          <w:right w:val="nil"/>
          <w:between w:val="nil"/>
        </w:pBdr>
        <w:spacing w:before="120" w:after="120"/>
        <w:jc w:val="both"/>
        <w:rPr>
          <w:color w:val="000000"/>
        </w:rPr>
      </w:pPr>
      <w:r>
        <w:t xml:space="preserve">In this regard, </w:t>
      </w:r>
      <w:r>
        <w:rPr>
          <w:color w:val="000000"/>
        </w:rPr>
        <w:t xml:space="preserve">the construction of </w:t>
      </w:r>
      <w:r>
        <w:t xml:space="preserve">new accommodation and </w:t>
      </w:r>
      <w:r>
        <w:rPr>
          <w:color w:val="000000"/>
        </w:rPr>
        <w:t>new laboratories, the reconditioning of the base’s original airstrip and the construction of a dock are being assessed. This scheme</w:t>
      </w:r>
      <w:r>
        <w:t xml:space="preserve"> seeks</w:t>
      </w:r>
      <w:r>
        <w:rPr>
          <w:color w:val="000000"/>
        </w:rPr>
        <w:t xml:space="preserve"> to generate new capacities linked to scientific development in situ,</w:t>
      </w:r>
      <w:r>
        <w:t xml:space="preserve"> and</w:t>
      </w:r>
      <w:r>
        <w:rPr>
          <w:color w:val="000000"/>
        </w:rPr>
        <w:t xml:space="preserve"> to enable the logistical possibilities to be expanded. </w:t>
      </w:r>
    </w:p>
    <w:p w14:paraId="110DE3DB" w14:textId="77777777" w:rsidR="00AB194F" w:rsidRPr="001A0691" w:rsidRDefault="00AB194F" w:rsidP="00AB194F">
      <w:pPr>
        <w:pBdr>
          <w:top w:val="nil"/>
          <w:left w:val="nil"/>
          <w:bottom w:val="nil"/>
          <w:right w:val="nil"/>
          <w:between w:val="nil"/>
        </w:pBdr>
        <w:spacing w:before="120" w:after="120"/>
        <w:jc w:val="both"/>
        <w:rPr>
          <w:color w:val="000000"/>
        </w:rPr>
      </w:pPr>
      <w:r>
        <w:rPr>
          <w:color w:val="000000"/>
        </w:rPr>
        <w:t>As the planning stage progresses, the Parties will be informed of the activities to be included in the final project.</w:t>
      </w:r>
    </w:p>
    <w:p w14:paraId="5CEB0B05" w14:textId="77777777" w:rsidR="00AB194F" w:rsidRPr="001A0691" w:rsidRDefault="00AB194F" w:rsidP="00AB194F">
      <w:pPr>
        <w:pBdr>
          <w:top w:val="nil"/>
          <w:left w:val="nil"/>
          <w:bottom w:val="nil"/>
          <w:right w:val="nil"/>
          <w:between w:val="nil"/>
        </w:pBdr>
        <w:spacing w:before="120" w:after="120"/>
        <w:jc w:val="both"/>
      </w:pPr>
      <w:r>
        <w:rPr>
          <w:color w:val="000000"/>
        </w:rPr>
        <w:t>Likewise, taking into account</w:t>
      </w:r>
      <w:r>
        <w:t xml:space="preserve"> that it would be a </w:t>
      </w:r>
      <w:r>
        <w:rPr>
          <w:color w:val="000000"/>
        </w:rPr>
        <w:t>comprehensive modernisation activity,</w:t>
      </w:r>
      <w:r>
        <w:t xml:space="preserve"> it is </w:t>
      </w:r>
      <w:r>
        <w:rPr>
          <w:color w:val="000000"/>
        </w:rPr>
        <w:t>expected that it will be submitted</w:t>
      </w:r>
      <w:r>
        <w:t xml:space="preserve"> to </w:t>
      </w:r>
      <w:r>
        <w:rPr>
          <w:color w:val="000000"/>
        </w:rPr>
        <w:t>the Global Environmental Assessment process provided for in Annex I of the Madrid Protocol, to be considered by the other Parties to the Antarctic Treaty System.</w:t>
      </w:r>
    </w:p>
    <w:p w14:paraId="7553F428" w14:textId="77777777" w:rsidR="00AB194F" w:rsidRPr="00AB194F" w:rsidRDefault="00AB194F" w:rsidP="00952E9F">
      <w:pPr>
        <w:rPr>
          <w:lang w:val="es-AR"/>
        </w:rPr>
      </w:pPr>
    </w:p>
    <w:sectPr w:rsidR="00AB194F" w:rsidRPr="00AB194F" w:rsidSect="00E02E88">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29522" w14:textId="77777777" w:rsidR="00BA505F" w:rsidRDefault="00AB194F">
      <w:r>
        <w:separator/>
      </w:r>
    </w:p>
  </w:endnote>
  <w:endnote w:type="continuationSeparator" w:id="0">
    <w:p w14:paraId="6FA9FAB0" w14:textId="77777777" w:rsidR="00BA505F" w:rsidRDefault="00AB1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4B80" w14:textId="77777777" w:rsidR="00FA0B9F" w:rsidRDefault="00AB194F" w:rsidP="00CF5C82">
    <w:pPr>
      <w:framePr w:wrap="around" w:vAnchor="text" w:hAnchor="margin" w:xAlign="right" w:y="1"/>
    </w:pPr>
    <w:r>
      <w:fldChar w:fldCharType="begin"/>
    </w:r>
    <w:r>
      <w:instrText xml:space="preserve">PAGE  </w:instrText>
    </w:r>
    <w:r w:rsidR="00F07036">
      <w:fldChar w:fldCharType="separate"/>
    </w:r>
    <w:r>
      <w:fldChar w:fldCharType="end"/>
    </w:r>
  </w:p>
  <w:p w14:paraId="18F73403" w14:textId="77777777" w:rsidR="00FA0B9F" w:rsidRDefault="00F0703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1364" w14:textId="77777777" w:rsidR="00FA0B9F" w:rsidRDefault="00AB194F" w:rsidP="00CF5C82">
    <w:pPr>
      <w:framePr w:wrap="around" w:vAnchor="text" w:hAnchor="margin" w:xAlign="right" w:y="1"/>
    </w:pPr>
    <w:r>
      <w:fldChar w:fldCharType="begin"/>
    </w:r>
    <w:r>
      <w:instrText xml:space="preserve">PAGE  </w:instrText>
    </w:r>
    <w:r>
      <w:fldChar w:fldCharType="separate"/>
    </w:r>
    <w:r>
      <w:t>1</w:t>
    </w:r>
    <w:r>
      <w:fldChar w:fldCharType="end"/>
    </w:r>
  </w:p>
  <w:p w14:paraId="1089C3FD" w14:textId="338A10A2" w:rsidR="00FA0B9F" w:rsidRDefault="00F07036"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A411" w14:textId="77777777" w:rsidR="00AB194F" w:rsidRDefault="00AB19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6EEF" w14:textId="77777777" w:rsidR="00E311C9" w:rsidRDefault="00AB194F" w:rsidP="00CF5C82">
    <w:pPr>
      <w:framePr w:wrap="around" w:vAnchor="text" w:hAnchor="margin" w:xAlign="right" w:y="1"/>
    </w:pPr>
    <w:r>
      <w:fldChar w:fldCharType="begin"/>
    </w:r>
    <w:r>
      <w:instrText xml:space="preserve">PAGE  </w:instrText>
    </w:r>
    <w:r>
      <w:fldChar w:fldCharType="separate"/>
    </w:r>
    <w:r>
      <w:t>3</w:t>
    </w:r>
    <w:r>
      <w:fldChar w:fldCharType="end"/>
    </w:r>
  </w:p>
  <w:p w14:paraId="2E3FB425" w14:textId="77777777" w:rsidR="00E311C9" w:rsidRDefault="00F0703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4A0F" w14:textId="77777777" w:rsidR="00BA505F" w:rsidRDefault="00AB194F">
      <w:r>
        <w:separator/>
      </w:r>
    </w:p>
  </w:footnote>
  <w:footnote w:type="continuationSeparator" w:id="0">
    <w:p w14:paraId="32A0BE4C" w14:textId="77777777" w:rsidR="00BA505F" w:rsidRDefault="00AB1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2AA2" w14:textId="77777777" w:rsidR="00AB194F" w:rsidRDefault="00AB19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1"/>
      <w:gridCol w:w="3232"/>
      <w:gridCol w:w="839"/>
      <w:gridCol w:w="991"/>
      <w:gridCol w:w="609"/>
    </w:tblGrid>
    <w:tr w:rsidR="007F0884" w14:paraId="4938CBFA" w14:textId="77777777" w:rsidTr="002169D4">
      <w:trPr>
        <w:trHeight w:val="354"/>
        <w:jc w:val="center"/>
      </w:trPr>
      <w:tc>
        <w:tcPr>
          <w:tcW w:w="5672" w:type="dxa"/>
        </w:tcPr>
        <w:p w14:paraId="7DA223AF" w14:textId="77777777" w:rsidR="00C449BA" w:rsidRDefault="00F07036" w:rsidP="002A07BC"/>
      </w:tc>
      <w:tc>
        <w:tcPr>
          <w:tcW w:w="4071" w:type="dxa"/>
          <w:gridSpan w:val="2"/>
        </w:tcPr>
        <w:p w14:paraId="503FFA4B" w14:textId="77777777" w:rsidR="00C449BA" w:rsidRPr="000A4CD7" w:rsidRDefault="00AB194F" w:rsidP="002A07BC">
          <w:pPr>
            <w:jc w:val="right"/>
            <w:rPr>
              <w:b/>
              <w:sz w:val="32"/>
              <w:szCs w:val="32"/>
            </w:rPr>
          </w:pPr>
          <w:bookmarkStart w:id="2" w:name="type"/>
          <w:r>
            <w:rPr>
              <w:b/>
              <w:sz w:val="32"/>
            </w:rPr>
            <w:t>IP</w:t>
          </w:r>
          <w:bookmarkEnd w:id="2"/>
        </w:p>
      </w:tc>
      <w:tc>
        <w:tcPr>
          <w:tcW w:w="1599" w:type="dxa"/>
          <w:gridSpan w:val="2"/>
        </w:tcPr>
        <w:p w14:paraId="4171E3B1" w14:textId="77777777" w:rsidR="00C449BA" w:rsidRPr="000A4CD7" w:rsidRDefault="00AB194F" w:rsidP="002A07BC">
          <w:pPr>
            <w:rPr>
              <w:b/>
              <w:sz w:val="32"/>
              <w:szCs w:val="32"/>
            </w:rPr>
          </w:pPr>
          <w:bookmarkStart w:id="3" w:name="number"/>
          <w:r>
            <w:rPr>
              <w:b/>
              <w:sz w:val="32"/>
            </w:rPr>
            <w:t>93</w:t>
          </w:r>
          <w:bookmarkEnd w:id="3"/>
        </w:p>
      </w:tc>
    </w:tr>
    <w:tr w:rsidR="007F0884" w14:paraId="439EE117" w14:textId="77777777" w:rsidTr="002169D4">
      <w:trPr>
        <w:trHeight w:val="2244"/>
        <w:jc w:val="center"/>
      </w:trPr>
      <w:tc>
        <w:tcPr>
          <w:tcW w:w="5671" w:type="dxa"/>
        </w:tcPr>
        <w:p w14:paraId="22F60506" w14:textId="77777777" w:rsidR="002169D4" w:rsidRPr="00550FDE" w:rsidRDefault="00AB194F" w:rsidP="002A07BC">
          <w:pPr>
            <w:rPr>
              <w:b/>
              <w:sz w:val="28"/>
              <w:szCs w:val="28"/>
            </w:rPr>
          </w:pPr>
          <w:r>
            <w:rPr>
              <w:noProof/>
            </w:rPr>
            <w:drawing>
              <wp:inline distT="0" distB="0" distL="0" distR="0" wp14:anchorId="308FA3A4" wp14:editId="11859B6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1399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671" w:type="dxa"/>
          <w:gridSpan w:val="4"/>
          <w:vAlign w:val="center"/>
        </w:tcPr>
        <w:p w14:paraId="532B6A6E" w14:textId="77777777" w:rsidR="002169D4" w:rsidRPr="002169D4" w:rsidRDefault="00AB194F" w:rsidP="002169D4">
          <w:pPr>
            <w:jc w:val="right"/>
            <w:rPr>
              <w:sz w:val="144"/>
              <w:szCs w:val="144"/>
            </w:rPr>
          </w:pPr>
          <w:r>
            <w:rPr>
              <w:sz w:val="144"/>
            </w:rPr>
            <w:t>ENG</w:t>
          </w:r>
        </w:p>
      </w:tc>
    </w:tr>
    <w:tr w:rsidR="007F0884" w14:paraId="0BDE49D2" w14:textId="77777777" w:rsidTr="002169D4">
      <w:trPr>
        <w:trHeight w:val="420"/>
        <w:jc w:val="center"/>
      </w:trPr>
      <w:tc>
        <w:tcPr>
          <w:tcW w:w="8904" w:type="dxa"/>
          <w:gridSpan w:val="2"/>
        </w:tcPr>
        <w:p w14:paraId="412E151C" w14:textId="77777777" w:rsidR="000A4CD7" w:rsidRDefault="00AB194F" w:rsidP="008D2157">
          <w:pPr>
            <w:jc w:val="right"/>
          </w:pPr>
          <w:r>
            <w:t>Agenda Item:</w:t>
          </w:r>
        </w:p>
      </w:tc>
      <w:tc>
        <w:tcPr>
          <w:tcW w:w="1830" w:type="dxa"/>
          <w:gridSpan w:val="2"/>
        </w:tcPr>
        <w:p w14:paraId="1FECA046" w14:textId="77777777" w:rsidR="000A4CD7" w:rsidRDefault="00AB194F" w:rsidP="008D2157">
          <w:pPr>
            <w:jc w:val="right"/>
          </w:pPr>
          <w:bookmarkStart w:id="4" w:name="agenda"/>
          <w:r>
            <w:t>CEP 8b</w:t>
          </w:r>
          <w:bookmarkEnd w:id="4"/>
        </w:p>
      </w:tc>
      <w:tc>
        <w:tcPr>
          <w:tcW w:w="608" w:type="dxa"/>
        </w:tcPr>
        <w:p w14:paraId="53CD73BF" w14:textId="77777777" w:rsidR="000A4CD7" w:rsidRDefault="00F07036" w:rsidP="00387A65">
          <w:pPr>
            <w:jc w:val="right"/>
          </w:pPr>
        </w:p>
      </w:tc>
    </w:tr>
    <w:tr w:rsidR="007F0884" w14:paraId="2149C348" w14:textId="77777777" w:rsidTr="002169D4">
      <w:trPr>
        <w:trHeight w:val="408"/>
        <w:jc w:val="center"/>
      </w:trPr>
      <w:tc>
        <w:tcPr>
          <w:tcW w:w="8904" w:type="dxa"/>
          <w:gridSpan w:val="2"/>
        </w:tcPr>
        <w:p w14:paraId="69C2B230" w14:textId="77777777" w:rsidR="000A4CD7" w:rsidRDefault="00AB194F" w:rsidP="008D2157">
          <w:pPr>
            <w:jc w:val="right"/>
          </w:pPr>
          <w:r>
            <w:t>Submitted by:</w:t>
          </w:r>
        </w:p>
      </w:tc>
      <w:tc>
        <w:tcPr>
          <w:tcW w:w="1830" w:type="dxa"/>
          <w:gridSpan w:val="2"/>
        </w:tcPr>
        <w:p w14:paraId="6D3ABE6A" w14:textId="77777777" w:rsidR="000A4CD7" w:rsidRDefault="00AB194F" w:rsidP="008D2157">
          <w:pPr>
            <w:jc w:val="right"/>
          </w:pPr>
          <w:bookmarkStart w:id="5" w:name="party"/>
          <w:r>
            <w:t>Argentina</w:t>
          </w:r>
          <w:bookmarkEnd w:id="5"/>
        </w:p>
      </w:tc>
      <w:tc>
        <w:tcPr>
          <w:tcW w:w="608" w:type="dxa"/>
        </w:tcPr>
        <w:p w14:paraId="01A7E6B1" w14:textId="77777777" w:rsidR="000A4CD7" w:rsidRDefault="00F07036" w:rsidP="00387A65">
          <w:pPr>
            <w:jc w:val="right"/>
          </w:pPr>
        </w:p>
      </w:tc>
    </w:tr>
    <w:tr w:rsidR="007F0884" w14:paraId="12D77D3E" w14:textId="77777777" w:rsidTr="002169D4">
      <w:trPr>
        <w:trHeight w:val="420"/>
        <w:jc w:val="center"/>
      </w:trPr>
      <w:tc>
        <w:tcPr>
          <w:tcW w:w="8904" w:type="dxa"/>
          <w:gridSpan w:val="2"/>
        </w:tcPr>
        <w:p w14:paraId="25D576BA" w14:textId="77777777" w:rsidR="000A4CD7" w:rsidRDefault="00AB194F" w:rsidP="008D2157">
          <w:pPr>
            <w:jc w:val="right"/>
          </w:pPr>
          <w:r>
            <w:t>Original:</w:t>
          </w:r>
        </w:p>
      </w:tc>
      <w:tc>
        <w:tcPr>
          <w:tcW w:w="1830" w:type="dxa"/>
          <w:gridSpan w:val="2"/>
        </w:tcPr>
        <w:p w14:paraId="09388D2F" w14:textId="77777777" w:rsidR="000A4CD7" w:rsidRDefault="00AB194F" w:rsidP="008D2157">
          <w:pPr>
            <w:jc w:val="right"/>
          </w:pPr>
          <w:bookmarkStart w:id="6" w:name="language"/>
          <w:r>
            <w:t>Spanish</w:t>
          </w:r>
          <w:bookmarkEnd w:id="6"/>
        </w:p>
      </w:tc>
      <w:tc>
        <w:tcPr>
          <w:tcW w:w="608" w:type="dxa"/>
        </w:tcPr>
        <w:p w14:paraId="598D0A78" w14:textId="77777777" w:rsidR="000A4CD7" w:rsidRDefault="00F07036" w:rsidP="00387A65">
          <w:pPr>
            <w:jc w:val="right"/>
          </w:pPr>
        </w:p>
      </w:tc>
    </w:tr>
    <w:tr w:rsidR="007F0884" w14:paraId="0404B464" w14:textId="77777777" w:rsidTr="002169D4">
      <w:trPr>
        <w:trHeight w:val="420"/>
        <w:jc w:val="center"/>
      </w:trPr>
      <w:tc>
        <w:tcPr>
          <w:tcW w:w="8904" w:type="dxa"/>
          <w:gridSpan w:val="2"/>
        </w:tcPr>
        <w:p w14:paraId="6FEC7502" w14:textId="77777777" w:rsidR="00965EDE" w:rsidRDefault="00AB194F" w:rsidP="008D2157">
          <w:pPr>
            <w:jc w:val="right"/>
          </w:pPr>
          <w:r>
            <w:t>Submitted:</w:t>
          </w:r>
        </w:p>
      </w:tc>
      <w:tc>
        <w:tcPr>
          <w:tcW w:w="1830" w:type="dxa"/>
          <w:gridSpan w:val="2"/>
        </w:tcPr>
        <w:p w14:paraId="5D51C47D" w14:textId="77777777" w:rsidR="00965EDE" w:rsidRDefault="00AB194F" w:rsidP="008D2157">
          <w:pPr>
            <w:jc w:val="right"/>
          </w:pPr>
          <w:bookmarkStart w:id="7" w:name="date_submission"/>
          <w:r>
            <w:t>22/4/2022</w:t>
          </w:r>
          <w:bookmarkEnd w:id="7"/>
        </w:p>
      </w:tc>
      <w:tc>
        <w:tcPr>
          <w:tcW w:w="608" w:type="dxa"/>
        </w:tcPr>
        <w:p w14:paraId="24EBC581" w14:textId="77777777" w:rsidR="00965EDE" w:rsidRDefault="00F07036" w:rsidP="00387A65">
          <w:pPr>
            <w:jc w:val="right"/>
          </w:pPr>
        </w:p>
      </w:tc>
    </w:tr>
  </w:tbl>
  <w:p w14:paraId="43892197" w14:textId="77777777" w:rsidR="00AE5DD0" w:rsidRDefault="00F070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E478" w14:textId="77777777" w:rsidR="00AB194F" w:rsidRDefault="00AB19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F0884" w14:paraId="29F09A62" w14:textId="77777777">
      <w:trPr>
        <w:trHeight w:val="354"/>
        <w:jc w:val="center"/>
      </w:trPr>
      <w:tc>
        <w:tcPr>
          <w:tcW w:w="9694" w:type="dxa"/>
        </w:tcPr>
        <w:p w14:paraId="2FBF76B0" w14:textId="62612571" w:rsidR="00AE5DD0" w:rsidRPr="000A4CD7" w:rsidRDefault="00AB194F" w:rsidP="00C26F2D">
          <w:pPr>
            <w:jc w:val="right"/>
            <w:rPr>
              <w:b/>
              <w:sz w:val="32"/>
              <w:szCs w:val="32"/>
            </w:rPr>
          </w:pPr>
          <w:r>
            <w:rPr>
              <w:b/>
              <w:sz w:val="32"/>
            </w:rPr>
            <w:t>IP</w:t>
          </w:r>
        </w:p>
      </w:tc>
      <w:tc>
        <w:tcPr>
          <w:tcW w:w="1332" w:type="dxa"/>
        </w:tcPr>
        <w:p w14:paraId="5F3907E4" w14:textId="2D4E651F" w:rsidR="00AE5DD0" w:rsidRPr="000A4CD7" w:rsidRDefault="00AB194F" w:rsidP="00080F4C">
          <w:pPr>
            <w:rPr>
              <w:b/>
              <w:sz w:val="32"/>
              <w:szCs w:val="32"/>
            </w:rPr>
          </w:pPr>
          <w:r>
            <w:rPr>
              <w:b/>
              <w:sz w:val="32"/>
            </w:rPr>
            <w:t>93</w:t>
          </w:r>
        </w:p>
      </w:tc>
    </w:tr>
  </w:tbl>
  <w:p w14:paraId="0E5F724D" w14:textId="77777777" w:rsidR="00AE5DD0" w:rsidRDefault="00F070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2560990">
      <w:start w:val="1"/>
      <w:numFmt w:val="bullet"/>
      <w:pStyle w:val="ATSBullet1"/>
      <w:lvlText w:val=""/>
      <w:lvlJc w:val="left"/>
      <w:pPr>
        <w:tabs>
          <w:tab w:val="num" w:pos="360"/>
        </w:tabs>
        <w:ind w:left="360" w:hanging="360"/>
      </w:pPr>
      <w:rPr>
        <w:rFonts w:ascii="Symbol" w:hAnsi="Symbol" w:hint="default"/>
        <w:color w:val="auto"/>
      </w:rPr>
    </w:lvl>
    <w:lvl w:ilvl="1" w:tplc="5838D128" w:tentative="1">
      <w:start w:val="1"/>
      <w:numFmt w:val="bullet"/>
      <w:lvlText w:val="o"/>
      <w:lvlJc w:val="left"/>
      <w:pPr>
        <w:tabs>
          <w:tab w:val="num" w:pos="1440"/>
        </w:tabs>
        <w:ind w:left="1440" w:hanging="360"/>
      </w:pPr>
      <w:rPr>
        <w:rFonts w:ascii="Courier New" w:hAnsi="Courier New" w:cs="Courier New" w:hint="default"/>
      </w:rPr>
    </w:lvl>
    <w:lvl w:ilvl="2" w:tplc="9A3216F6" w:tentative="1">
      <w:start w:val="1"/>
      <w:numFmt w:val="bullet"/>
      <w:lvlText w:val=""/>
      <w:lvlJc w:val="left"/>
      <w:pPr>
        <w:tabs>
          <w:tab w:val="num" w:pos="2160"/>
        </w:tabs>
        <w:ind w:left="2160" w:hanging="360"/>
      </w:pPr>
      <w:rPr>
        <w:rFonts w:ascii="Wingdings" w:hAnsi="Wingdings" w:hint="default"/>
      </w:rPr>
    </w:lvl>
    <w:lvl w:ilvl="3" w:tplc="5AC215F2" w:tentative="1">
      <w:start w:val="1"/>
      <w:numFmt w:val="bullet"/>
      <w:lvlText w:val=""/>
      <w:lvlJc w:val="left"/>
      <w:pPr>
        <w:tabs>
          <w:tab w:val="num" w:pos="2880"/>
        </w:tabs>
        <w:ind w:left="2880" w:hanging="360"/>
      </w:pPr>
      <w:rPr>
        <w:rFonts w:ascii="Symbol" w:hAnsi="Symbol" w:hint="default"/>
      </w:rPr>
    </w:lvl>
    <w:lvl w:ilvl="4" w:tplc="3C66641C" w:tentative="1">
      <w:start w:val="1"/>
      <w:numFmt w:val="bullet"/>
      <w:lvlText w:val="o"/>
      <w:lvlJc w:val="left"/>
      <w:pPr>
        <w:tabs>
          <w:tab w:val="num" w:pos="3600"/>
        </w:tabs>
        <w:ind w:left="3600" w:hanging="360"/>
      </w:pPr>
      <w:rPr>
        <w:rFonts w:ascii="Courier New" w:hAnsi="Courier New" w:cs="Courier New" w:hint="default"/>
      </w:rPr>
    </w:lvl>
    <w:lvl w:ilvl="5" w:tplc="EC1A2A9E" w:tentative="1">
      <w:start w:val="1"/>
      <w:numFmt w:val="bullet"/>
      <w:lvlText w:val=""/>
      <w:lvlJc w:val="left"/>
      <w:pPr>
        <w:tabs>
          <w:tab w:val="num" w:pos="4320"/>
        </w:tabs>
        <w:ind w:left="4320" w:hanging="360"/>
      </w:pPr>
      <w:rPr>
        <w:rFonts w:ascii="Wingdings" w:hAnsi="Wingdings" w:hint="default"/>
      </w:rPr>
    </w:lvl>
    <w:lvl w:ilvl="6" w:tplc="5B427764" w:tentative="1">
      <w:start w:val="1"/>
      <w:numFmt w:val="bullet"/>
      <w:lvlText w:val=""/>
      <w:lvlJc w:val="left"/>
      <w:pPr>
        <w:tabs>
          <w:tab w:val="num" w:pos="5040"/>
        </w:tabs>
        <w:ind w:left="5040" w:hanging="360"/>
      </w:pPr>
      <w:rPr>
        <w:rFonts w:ascii="Symbol" w:hAnsi="Symbol" w:hint="default"/>
      </w:rPr>
    </w:lvl>
    <w:lvl w:ilvl="7" w:tplc="CF6ACAB0" w:tentative="1">
      <w:start w:val="1"/>
      <w:numFmt w:val="bullet"/>
      <w:lvlText w:val="o"/>
      <w:lvlJc w:val="left"/>
      <w:pPr>
        <w:tabs>
          <w:tab w:val="num" w:pos="5760"/>
        </w:tabs>
        <w:ind w:left="5760" w:hanging="360"/>
      </w:pPr>
      <w:rPr>
        <w:rFonts w:ascii="Courier New" w:hAnsi="Courier New" w:cs="Courier New" w:hint="default"/>
      </w:rPr>
    </w:lvl>
    <w:lvl w:ilvl="8" w:tplc="4A309DE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CE42B6C">
      <w:start w:val="1"/>
      <w:numFmt w:val="decimal"/>
      <w:lvlText w:val="%1)"/>
      <w:lvlJc w:val="left"/>
      <w:pPr>
        <w:tabs>
          <w:tab w:val="num" w:pos="340"/>
        </w:tabs>
        <w:ind w:left="340" w:hanging="340"/>
      </w:pPr>
      <w:rPr>
        <w:rFonts w:hint="default"/>
      </w:rPr>
    </w:lvl>
    <w:lvl w:ilvl="1" w:tplc="2DB4DC44" w:tentative="1">
      <w:start w:val="1"/>
      <w:numFmt w:val="lowerLetter"/>
      <w:lvlText w:val="%2."/>
      <w:lvlJc w:val="left"/>
      <w:pPr>
        <w:tabs>
          <w:tab w:val="num" w:pos="1440"/>
        </w:tabs>
        <w:ind w:left="1440" w:hanging="360"/>
      </w:pPr>
    </w:lvl>
    <w:lvl w:ilvl="2" w:tplc="AF7A7F26" w:tentative="1">
      <w:start w:val="1"/>
      <w:numFmt w:val="lowerRoman"/>
      <w:lvlText w:val="%3."/>
      <w:lvlJc w:val="right"/>
      <w:pPr>
        <w:tabs>
          <w:tab w:val="num" w:pos="2160"/>
        </w:tabs>
        <w:ind w:left="2160" w:hanging="180"/>
      </w:pPr>
    </w:lvl>
    <w:lvl w:ilvl="3" w:tplc="45706B3A" w:tentative="1">
      <w:start w:val="1"/>
      <w:numFmt w:val="decimal"/>
      <w:lvlText w:val="%4."/>
      <w:lvlJc w:val="left"/>
      <w:pPr>
        <w:tabs>
          <w:tab w:val="num" w:pos="2880"/>
        </w:tabs>
        <w:ind w:left="2880" w:hanging="360"/>
      </w:pPr>
    </w:lvl>
    <w:lvl w:ilvl="4" w:tplc="EE5C0804" w:tentative="1">
      <w:start w:val="1"/>
      <w:numFmt w:val="lowerLetter"/>
      <w:lvlText w:val="%5."/>
      <w:lvlJc w:val="left"/>
      <w:pPr>
        <w:tabs>
          <w:tab w:val="num" w:pos="3600"/>
        </w:tabs>
        <w:ind w:left="3600" w:hanging="360"/>
      </w:pPr>
    </w:lvl>
    <w:lvl w:ilvl="5" w:tplc="EB245F04" w:tentative="1">
      <w:start w:val="1"/>
      <w:numFmt w:val="lowerRoman"/>
      <w:lvlText w:val="%6."/>
      <w:lvlJc w:val="right"/>
      <w:pPr>
        <w:tabs>
          <w:tab w:val="num" w:pos="4320"/>
        </w:tabs>
        <w:ind w:left="4320" w:hanging="180"/>
      </w:pPr>
    </w:lvl>
    <w:lvl w:ilvl="6" w:tplc="A6BC1D94" w:tentative="1">
      <w:start w:val="1"/>
      <w:numFmt w:val="decimal"/>
      <w:lvlText w:val="%7."/>
      <w:lvlJc w:val="left"/>
      <w:pPr>
        <w:tabs>
          <w:tab w:val="num" w:pos="5040"/>
        </w:tabs>
        <w:ind w:left="5040" w:hanging="360"/>
      </w:pPr>
    </w:lvl>
    <w:lvl w:ilvl="7" w:tplc="179E6436" w:tentative="1">
      <w:start w:val="1"/>
      <w:numFmt w:val="lowerLetter"/>
      <w:lvlText w:val="%8."/>
      <w:lvlJc w:val="left"/>
      <w:pPr>
        <w:tabs>
          <w:tab w:val="num" w:pos="5760"/>
        </w:tabs>
        <w:ind w:left="5760" w:hanging="360"/>
      </w:pPr>
    </w:lvl>
    <w:lvl w:ilvl="8" w:tplc="E4505C5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3108A2A">
      <w:start w:val="1"/>
      <w:numFmt w:val="decimal"/>
      <w:lvlText w:val="%1."/>
      <w:lvlJc w:val="left"/>
      <w:pPr>
        <w:tabs>
          <w:tab w:val="num" w:pos="1057"/>
        </w:tabs>
        <w:ind w:left="1057" w:hanging="360"/>
      </w:pPr>
      <w:rPr>
        <w:rFonts w:hint="default"/>
      </w:rPr>
    </w:lvl>
    <w:lvl w:ilvl="1" w:tplc="D10AFD9E" w:tentative="1">
      <w:start w:val="1"/>
      <w:numFmt w:val="lowerLetter"/>
      <w:lvlText w:val="%2."/>
      <w:lvlJc w:val="left"/>
      <w:pPr>
        <w:tabs>
          <w:tab w:val="num" w:pos="2137"/>
        </w:tabs>
        <w:ind w:left="2137" w:hanging="360"/>
      </w:pPr>
    </w:lvl>
    <w:lvl w:ilvl="2" w:tplc="3022EDDC" w:tentative="1">
      <w:start w:val="1"/>
      <w:numFmt w:val="lowerRoman"/>
      <w:lvlText w:val="%3."/>
      <w:lvlJc w:val="right"/>
      <w:pPr>
        <w:tabs>
          <w:tab w:val="num" w:pos="2857"/>
        </w:tabs>
        <w:ind w:left="2857" w:hanging="180"/>
      </w:pPr>
    </w:lvl>
    <w:lvl w:ilvl="3" w:tplc="AAFC309A" w:tentative="1">
      <w:start w:val="1"/>
      <w:numFmt w:val="decimal"/>
      <w:lvlText w:val="%4."/>
      <w:lvlJc w:val="left"/>
      <w:pPr>
        <w:tabs>
          <w:tab w:val="num" w:pos="3577"/>
        </w:tabs>
        <w:ind w:left="3577" w:hanging="360"/>
      </w:pPr>
    </w:lvl>
    <w:lvl w:ilvl="4" w:tplc="06903150" w:tentative="1">
      <w:start w:val="1"/>
      <w:numFmt w:val="lowerLetter"/>
      <w:lvlText w:val="%5."/>
      <w:lvlJc w:val="left"/>
      <w:pPr>
        <w:tabs>
          <w:tab w:val="num" w:pos="4297"/>
        </w:tabs>
        <w:ind w:left="4297" w:hanging="360"/>
      </w:pPr>
    </w:lvl>
    <w:lvl w:ilvl="5" w:tplc="2B1A0532" w:tentative="1">
      <w:start w:val="1"/>
      <w:numFmt w:val="lowerRoman"/>
      <w:lvlText w:val="%6."/>
      <w:lvlJc w:val="right"/>
      <w:pPr>
        <w:tabs>
          <w:tab w:val="num" w:pos="5017"/>
        </w:tabs>
        <w:ind w:left="5017" w:hanging="180"/>
      </w:pPr>
    </w:lvl>
    <w:lvl w:ilvl="6" w:tplc="9E70C776" w:tentative="1">
      <w:start w:val="1"/>
      <w:numFmt w:val="decimal"/>
      <w:lvlText w:val="%7."/>
      <w:lvlJc w:val="left"/>
      <w:pPr>
        <w:tabs>
          <w:tab w:val="num" w:pos="5737"/>
        </w:tabs>
        <w:ind w:left="5737" w:hanging="360"/>
      </w:pPr>
    </w:lvl>
    <w:lvl w:ilvl="7" w:tplc="A1FCABBC" w:tentative="1">
      <w:start w:val="1"/>
      <w:numFmt w:val="lowerLetter"/>
      <w:lvlText w:val="%8."/>
      <w:lvlJc w:val="left"/>
      <w:pPr>
        <w:tabs>
          <w:tab w:val="num" w:pos="6457"/>
        </w:tabs>
        <w:ind w:left="6457" w:hanging="360"/>
      </w:pPr>
    </w:lvl>
    <w:lvl w:ilvl="8" w:tplc="C3FA086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8349A66">
      <w:start w:val="1"/>
      <w:numFmt w:val="decimal"/>
      <w:pStyle w:val="ATSNumber1"/>
      <w:lvlText w:val="%1)"/>
      <w:lvlJc w:val="left"/>
      <w:pPr>
        <w:tabs>
          <w:tab w:val="num" w:pos="720"/>
        </w:tabs>
        <w:ind w:left="720" w:hanging="360"/>
      </w:pPr>
    </w:lvl>
    <w:lvl w:ilvl="1" w:tplc="A3DE0CFC" w:tentative="1">
      <w:start w:val="1"/>
      <w:numFmt w:val="lowerLetter"/>
      <w:lvlText w:val="%2."/>
      <w:lvlJc w:val="left"/>
      <w:pPr>
        <w:tabs>
          <w:tab w:val="num" w:pos="1440"/>
        </w:tabs>
        <w:ind w:left="1440" w:hanging="360"/>
      </w:pPr>
    </w:lvl>
    <w:lvl w:ilvl="2" w:tplc="7BFE47FE" w:tentative="1">
      <w:start w:val="1"/>
      <w:numFmt w:val="lowerRoman"/>
      <w:lvlText w:val="%3."/>
      <w:lvlJc w:val="right"/>
      <w:pPr>
        <w:tabs>
          <w:tab w:val="num" w:pos="2160"/>
        </w:tabs>
        <w:ind w:left="2160" w:hanging="180"/>
      </w:pPr>
    </w:lvl>
    <w:lvl w:ilvl="3" w:tplc="46A24BF0" w:tentative="1">
      <w:start w:val="1"/>
      <w:numFmt w:val="decimal"/>
      <w:lvlText w:val="%4."/>
      <w:lvlJc w:val="left"/>
      <w:pPr>
        <w:tabs>
          <w:tab w:val="num" w:pos="2880"/>
        </w:tabs>
        <w:ind w:left="2880" w:hanging="360"/>
      </w:pPr>
    </w:lvl>
    <w:lvl w:ilvl="4" w:tplc="C80AADBE" w:tentative="1">
      <w:start w:val="1"/>
      <w:numFmt w:val="lowerLetter"/>
      <w:lvlText w:val="%5."/>
      <w:lvlJc w:val="left"/>
      <w:pPr>
        <w:tabs>
          <w:tab w:val="num" w:pos="3600"/>
        </w:tabs>
        <w:ind w:left="3600" w:hanging="360"/>
      </w:pPr>
    </w:lvl>
    <w:lvl w:ilvl="5" w:tplc="EF9CBF72" w:tentative="1">
      <w:start w:val="1"/>
      <w:numFmt w:val="lowerRoman"/>
      <w:lvlText w:val="%6."/>
      <w:lvlJc w:val="right"/>
      <w:pPr>
        <w:tabs>
          <w:tab w:val="num" w:pos="4320"/>
        </w:tabs>
        <w:ind w:left="4320" w:hanging="180"/>
      </w:pPr>
    </w:lvl>
    <w:lvl w:ilvl="6" w:tplc="23A2445C" w:tentative="1">
      <w:start w:val="1"/>
      <w:numFmt w:val="decimal"/>
      <w:lvlText w:val="%7."/>
      <w:lvlJc w:val="left"/>
      <w:pPr>
        <w:tabs>
          <w:tab w:val="num" w:pos="5040"/>
        </w:tabs>
        <w:ind w:left="5040" w:hanging="360"/>
      </w:pPr>
    </w:lvl>
    <w:lvl w:ilvl="7" w:tplc="F4921600" w:tentative="1">
      <w:start w:val="1"/>
      <w:numFmt w:val="lowerLetter"/>
      <w:lvlText w:val="%8."/>
      <w:lvlJc w:val="left"/>
      <w:pPr>
        <w:tabs>
          <w:tab w:val="num" w:pos="5760"/>
        </w:tabs>
        <w:ind w:left="5760" w:hanging="360"/>
      </w:pPr>
    </w:lvl>
    <w:lvl w:ilvl="8" w:tplc="686A05D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894FB7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298EBEC" w:tentative="1">
      <w:start w:val="1"/>
      <w:numFmt w:val="bullet"/>
      <w:lvlText w:val="o"/>
      <w:lvlJc w:val="left"/>
      <w:pPr>
        <w:tabs>
          <w:tab w:val="num" w:pos="2517"/>
        </w:tabs>
        <w:ind w:left="2517" w:hanging="360"/>
      </w:pPr>
      <w:rPr>
        <w:rFonts w:ascii="Courier New" w:hAnsi="Courier New" w:cs="Courier New" w:hint="default"/>
      </w:rPr>
    </w:lvl>
    <w:lvl w:ilvl="2" w:tplc="4FC233EC" w:tentative="1">
      <w:start w:val="1"/>
      <w:numFmt w:val="bullet"/>
      <w:lvlText w:val=""/>
      <w:lvlJc w:val="left"/>
      <w:pPr>
        <w:tabs>
          <w:tab w:val="num" w:pos="3237"/>
        </w:tabs>
        <w:ind w:left="3237" w:hanging="360"/>
      </w:pPr>
      <w:rPr>
        <w:rFonts w:ascii="Wingdings" w:hAnsi="Wingdings" w:hint="default"/>
      </w:rPr>
    </w:lvl>
    <w:lvl w:ilvl="3" w:tplc="3FDC5632" w:tentative="1">
      <w:start w:val="1"/>
      <w:numFmt w:val="bullet"/>
      <w:lvlText w:val=""/>
      <w:lvlJc w:val="left"/>
      <w:pPr>
        <w:tabs>
          <w:tab w:val="num" w:pos="3957"/>
        </w:tabs>
        <w:ind w:left="3957" w:hanging="360"/>
      </w:pPr>
      <w:rPr>
        <w:rFonts w:ascii="Symbol" w:hAnsi="Symbol" w:hint="default"/>
      </w:rPr>
    </w:lvl>
    <w:lvl w:ilvl="4" w:tplc="4D8E9148" w:tentative="1">
      <w:start w:val="1"/>
      <w:numFmt w:val="bullet"/>
      <w:lvlText w:val="o"/>
      <w:lvlJc w:val="left"/>
      <w:pPr>
        <w:tabs>
          <w:tab w:val="num" w:pos="4677"/>
        </w:tabs>
        <w:ind w:left="4677" w:hanging="360"/>
      </w:pPr>
      <w:rPr>
        <w:rFonts w:ascii="Courier New" w:hAnsi="Courier New" w:cs="Courier New" w:hint="default"/>
      </w:rPr>
    </w:lvl>
    <w:lvl w:ilvl="5" w:tplc="04466A10" w:tentative="1">
      <w:start w:val="1"/>
      <w:numFmt w:val="bullet"/>
      <w:lvlText w:val=""/>
      <w:lvlJc w:val="left"/>
      <w:pPr>
        <w:tabs>
          <w:tab w:val="num" w:pos="5397"/>
        </w:tabs>
        <w:ind w:left="5397" w:hanging="360"/>
      </w:pPr>
      <w:rPr>
        <w:rFonts w:ascii="Wingdings" w:hAnsi="Wingdings" w:hint="default"/>
      </w:rPr>
    </w:lvl>
    <w:lvl w:ilvl="6" w:tplc="72B4034E" w:tentative="1">
      <w:start w:val="1"/>
      <w:numFmt w:val="bullet"/>
      <w:lvlText w:val=""/>
      <w:lvlJc w:val="left"/>
      <w:pPr>
        <w:tabs>
          <w:tab w:val="num" w:pos="6117"/>
        </w:tabs>
        <w:ind w:left="6117" w:hanging="360"/>
      </w:pPr>
      <w:rPr>
        <w:rFonts w:ascii="Symbol" w:hAnsi="Symbol" w:hint="default"/>
      </w:rPr>
    </w:lvl>
    <w:lvl w:ilvl="7" w:tplc="47DE7A24" w:tentative="1">
      <w:start w:val="1"/>
      <w:numFmt w:val="bullet"/>
      <w:lvlText w:val="o"/>
      <w:lvlJc w:val="left"/>
      <w:pPr>
        <w:tabs>
          <w:tab w:val="num" w:pos="6837"/>
        </w:tabs>
        <w:ind w:left="6837" w:hanging="360"/>
      </w:pPr>
      <w:rPr>
        <w:rFonts w:ascii="Courier New" w:hAnsi="Courier New" w:cs="Courier New" w:hint="default"/>
      </w:rPr>
    </w:lvl>
    <w:lvl w:ilvl="8" w:tplc="1D465D3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4084F5A">
      <w:start w:val="1"/>
      <w:numFmt w:val="decimal"/>
      <w:pStyle w:val="ATSNumber2"/>
      <w:lvlText w:val="%1."/>
      <w:lvlJc w:val="left"/>
      <w:pPr>
        <w:tabs>
          <w:tab w:val="num" w:pos="720"/>
        </w:tabs>
        <w:ind w:left="720" w:hanging="360"/>
      </w:pPr>
      <w:rPr>
        <w:rFonts w:hint="default"/>
      </w:rPr>
    </w:lvl>
    <w:lvl w:ilvl="1" w:tplc="AD7604AC" w:tentative="1">
      <w:start w:val="1"/>
      <w:numFmt w:val="lowerLetter"/>
      <w:lvlText w:val="%2."/>
      <w:lvlJc w:val="left"/>
      <w:pPr>
        <w:tabs>
          <w:tab w:val="num" w:pos="1440"/>
        </w:tabs>
        <w:ind w:left="1440" w:hanging="360"/>
      </w:pPr>
    </w:lvl>
    <w:lvl w:ilvl="2" w:tplc="B1326CCC" w:tentative="1">
      <w:start w:val="1"/>
      <w:numFmt w:val="lowerRoman"/>
      <w:lvlText w:val="%3."/>
      <w:lvlJc w:val="right"/>
      <w:pPr>
        <w:tabs>
          <w:tab w:val="num" w:pos="2160"/>
        </w:tabs>
        <w:ind w:left="2160" w:hanging="180"/>
      </w:pPr>
    </w:lvl>
    <w:lvl w:ilvl="3" w:tplc="6AD2808C" w:tentative="1">
      <w:start w:val="1"/>
      <w:numFmt w:val="decimal"/>
      <w:lvlText w:val="%4."/>
      <w:lvlJc w:val="left"/>
      <w:pPr>
        <w:tabs>
          <w:tab w:val="num" w:pos="2880"/>
        </w:tabs>
        <w:ind w:left="2880" w:hanging="360"/>
      </w:pPr>
    </w:lvl>
    <w:lvl w:ilvl="4" w:tplc="045ECBBA" w:tentative="1">
      <w:start w:val="1"/>
      <w:numFmt w:val="lowerLetter"/>
      <w:lvlText w:val="%5."/>
      <w:lvlJc w:val="left"/>
      <w:pPr>
        <w:tabs>
          <w:tab w:val="num" w:pos="3600"/>
        </w:tabs>
        <w:ind w:left="3600" w:hanging="360"/>
      </w:pPr>
    </w:lvl>
    <w:lvl w:ilvl="5" w:tplc="18141286" w:tentative="1">
      <w:start w:val="1"/>
      <w:numFmt w:val="lowerRoman"/>
      <w:lvlText w:val="%6."/>
      <w:lvlJc w:val="right"/>
      <w:pPr>
        <w:tabs>
          <w:tab w:val="num" w:pos="4320"/>
        </w:tabs>
        <w:ind w:left="4320" w:hanging="180"/>
      </w:pPr>
    </w:lvl>
    <w:lvl w:ilvl="6" w:tplc="1FE85766" w:tentative="1">
      <w:start w:val="1"/>
      <w:numFmt w:val="decimal"/>
      <w:lvlText w:val="%7."/>
      <w:lvlJc w:val="left"/>
      <w:pPr>
        <w:tabs>
          <w:tab w:val="num" w:pos="5040"/>
        </w:tabs>
        <w:ind w:left="5040" w:hanging="360"/>
      </w:pPr>
    </w:lvl>
    <w:lvl w:ilvl="7" w:tplc="5248068C" w:tentative="1">
      <w:start w:val="1"/>
      <w:numFmt w:val="lowerLetter"/>
      <w:lvlText w:val="%8."/>
      <w:lvlJc w:val="left"/>
      <w:pPr>
        <w:tabs>
          <w:tab w:val="num" w:pos="5760"/>
        </w:tabs>
        <w:ind w:left="5760" w:hanging="360"/>
      </w:pPr>
    </w:lvl>
    <w:lvl w:ilvl="8" w:tplc="785E46D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84"/>
    <w:rsid w:val="007F0884"/>
    <w:rsid w:val="00AB194F"/>
    <w:rsid w:val="00BA505F"/>
    <w:rsid w:val="00F07036"/>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90101"/>
  <w15:chartTrackingRefBased/>
  <w15:docId w15:val="{3AB4F115-7CD2-4554-8C61-D3A7E1E2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Heading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Heading2">
    <w:name w:val="heading 2"/>
    <w:basedOn w:val="Normal"/>
    <w:next w:val="Normal"/>
    <w:qFormat/>
    <w:rsid w:val="001B789F"/>
    <w:pPr>
      <w:keepNext/>
      <w:spacing w:before="120" w:after="240"/>
      <w:outlineLvl w:val="1"/>
    </w:pPr>
    <w:rPr>
      <w:b/>
      <w:i/>
      <w:sz w:val="28"/>
      <w:szCs w:val="20"/>
    </w:rPr>
  </w:style>
  <w:style w:type="paragraph" w:styleId="Heading3">
    <w:name w:val="heading 3"/>
    <w:basedOn w:val="Normal"/>
    <w:next w:val="Normal"/>
    <w:qFormat/>
    <w:rsid w:val="001B789F"/>
    <w:pPr>
      <w:keepNext/>
      <w:spacing w:before="120" w:after="180"/>
      <w:outlineLvl w:val="2"/>
    </w:pPr>
    <w:rPr>
      <w:rFonts w:eastAsia="SimSun"/>
      <w:b/>
      <w:sz w:val="24"/>
      <w:szCs w:val="20"/>
      <w:lang w:eastAsia="zh-CN"/>
    </w:rPr>
  </w:style>
  <w:style w:type="paragraph" w:styleId="Heading4">
    <w:name w:val="heading 4"/>
    <w:basedOn w:val="Normal"/>
    <w:next w:val="Normal"/>
    <w:qFormat/>
    <w:rsid w:val="001B789F"/>
    <w:pPr>
      <w:keepNext/>
      <w:spacing w:before="60" w:after="120"/>
      <w:outlineLvl w:val="3"/>
    </w:pPr>
    <w:rPr>
      <w:b/>
      <w:bCs/>
      <w:i/>
      <w:szCs w:val="28"/>
    </w:rPr>
  </w:style>
  <w:style w:type="paragraph" w:styleId="Heading5">
    <w:name w:val="heading 5"/>
    <w:basedOn w:val="Normal"/>
    <w:next w:val="Normal"/>
    <w:qFormat/>
    <w:rsid w:val="001B789F"/>
    <w:pPr>
      <w:spacing w:before="240" w:after="60"/>
      <w:outlineLvl w:val="4"/>
    </w:pPr>
    <w:rPr>
      <w:b/>
      <w:bCs/>
      <w:i/>
      <w:iCs/>
      <w:sz w:val="26"/>
      <w:szCs w:val="26"/>
    </w:rPr>
  </w:style>
  <w:style w:type="paragraph" w:styleId="Heading6">
    <w:name w:val="heading 6"/>
    <w:basedOn w:val="Normal"/>
    <w:next w:val="Normal"/>
    <w:qFormat/>
    <w:rsid w:val="001B789F"/>
    <w:pPr>
      <w:spacing w:before="240" w:after="60"/>
      <w:outlineLvl w:val="5"/>
    </w:pPr>
    <w:rPr>
      <w:b/>
      <w:bCs/>
      <w:szCs w:val="22"/>
    </w:rPr>
  </w:style>
  <w:style w:type="paragraph" w:styleId="Heading7">
    <w:name w:val="heading 7"/>
    <w:basedOn w:val="Normal"/>
    <w:next w:val="Normal"/>
    <w:qFormat/>
    <w:rsid w:val="001B789F"/>
    <w:pPr>
      <w:spacing w:before="240" w:after="60"/>
      <w:outlineLvl w:val="6"/>
    </w:pPr>
    <w:rPr>
      <w:sz w:val="24"/>
    </w:rPr>
  </w:style>
  <w:style w:type="paragraph" w:styleId="Heading8">
    <w:name w:val="heading 8"/>
    <w:basedOn w:val="Normal"/>
    <w:next w:val="Normal"/>
    <w:qFormat/>
    <w:rsid w:val="001B789F"/>
    <w:pPr>
      <w:spacing w:before="240" w:after="60"/>
      <w:outlineLvl w:val="7"/>
    </w:pPr>
    <w:rPr>
      <w:i/>
      <w:iCs/>
      <w:sz w:val="24"/>
    </w:rPr>
  </w:style>
  <w:style w:type="paragraph" w:styleId="Heading9">
    <w:name w:val="heading 9"/>
    <w:basedOn w:val="Normal"/>
    <w:next w:val="Normal"/>
    <w:qFormat/>
    <w:rsid w:val="001B789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BalloonText">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DocumentMap">
    <w:name w:val="Document Map"/>
    <w:basedOn w:val="Normal"/>
    <w:semiHidden/>
    <w:rsid w:val="001B789F"/>
    <w:pPr>
      <w:shd w:val="clear" w:color="auto" w:fill="000080"/>
    </w:pPr>
    <w:rPr>
      <w:rFonts w:ascii="Tahoma" w:hAnsi="Tahoma" w:cs="Tahoma"/>
      <w:sz w:val="20"/>
      <w:szCs w:val="20"/>
    </w:rPr>
  </w:style>
  <w:style w:type="character" w:styleId="EndnoteReference">
    <w:name w:val="endnote reference"/>
    <w:semiHidden/>
    <w:rsid w:val="001B789F"/>
    <w:rPr>
      <w:vertAlign w:val="superscript"/>
    </w:rPr>
  </w:style>
  <w:style w:type="paragraph" w:styleId="EndnoteText">
    <w:name w:val="endnote text"/>
    <w:basedOn w:val="Normal"/>
    <w:semiHidden/>
    <w:rsid w:val="001B789F"/>
    <w:rPr>
      <w:sz w:val="20"/>
      <w:szCs w:val="20"/>
    </w:rPr>
  </w:style>
  <w:style w:type="character" w:styleId="FollowedHyperlink">
    <w:name w:val="FollowedHyperlink"/>
    <w:semiHidden/>
    <w:rsid w:val="001B789F"/>
    <w:rPr>
      <w:color w:val="800080"/>
      <w:u w:val="single"/>
    </w:rPr>
  </w:style>
  <w:style w:type="paragraph" w:styleId="Footer">
    <w:name w:val="footer"/>
    <w:basedOn w:val="Normal"/>
    <w:semiHidden/>
    <w:rsid w:val="001B789F"/>
    <w:pPr>
      <w:tabs>
        <w:tab w:val="center" w:pos="4419"/>
        <w:tab w:val="right" w:pos="8838"/>
      </w:tabs>
    </w:pPr>
  </w:style>
  <w:style w:type="character" w:styleId="FootnoteReference">
    <w:name w:val="footnote reference"/>
    <w:rsid w:val="001B789F"/>
    <w:rPr>
      <w:vertAlign w:val="superscript"/>
    </w:rPr>
  </w:style>
  <w:style w:type="paragraph" w:styleId="FootnoteText">
    <w:name w:val="footnote text"/>
    <w:basedOn w:val="Normal"/>
    <w:rsid w:val="001B789F"/>
    <w:rPr>
      <w:szCs w:val="22"/>
    </w:rPr>
  </w:style>
  <w:style w:type="paragraph" w:styleId="Header">
    <w:name w:val="header"/>
    <w:basedOn w:val="Normal"/>
    <w:semiHidden/>
    <w:rsid w:val="001B789F"/>
    <w:pPr>
      <w:tabs>
        <w:tab w:val="center" w:pos="4419"/>
        <w:tab w:val="right" w:pos="8838"/>
      </w:tabs>
    </w:pPr>
  </w:style>
  <w:style w:type="character" w:styleId="Hyperlink">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PageNumber">
    <w:name w:val="page number"/>
    <w:basedOn w:val="DefaultParagraphFont"/>
    <w:semiHidden/>
    <w:rsid w:val="001B789F"/>
  </w:style>
  <w:style w:type="character" w:styleId="Strong">
    <w:name w:val="Strong"/>
    <w:qFormat/>
    <w:rsid w:val="001B789F"/>
    <w:rPr>
      <w:b/>
      <w:bCs/>
    </w:rPr>
  </w:style>
  <w:style w:type="table" w:styleId="TableGrid">
    <w:name w:val="Table Grid"/>
    <w:basedOn w:val="Table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OC1">
    <w:name w:val="toc 1"/>
    <w:basedOn w:val="Normal"/>
    <w:next w:val="Normal"/>
    <w:autoRedefine/>
    <w:semiHidden/>
    <w:rsid w:val="001B789F"/>
    <w:rPr>
      <w:b/>
      <w:bCs/>
      <w:i/>
      <w:iCs/>
      <w:sz w:val="24"/>
    </w:rPr>
  </w:style>
  <w:style w:type="paragraph" w:styleId="TOC2">
    <w:name w:val="toc 2"/>
    <w:basedOn w:val="Normal"/>
    <w:next w:val="Normal"/>
    <w:autoRedefine/>
    <w:semiHidden/>
    <w:rsid w:val="001B789F"/>
    <w:pPr>
      <w:ind w:left="220"/>
    </w:pPr>
    <w:rPr>
      <w:b/>
      <w:bCs/>
      <w:szCs w:val="22"/>
    </w:rPr>
  </w:style>
  <w:style w:type="paragraph" w:styleId="TOC3">
    <w:name w:val="toc 3"/>
    <w:basedOn w:val="Normal"/>
    <w:next w:val="Normal"/>
    <w:autoRedefine/>
    <w:semiHidden/>
    <w:rsid w:val="001B789F"/>
    <w:pPr>
      <w:ind w:left="440"/>
    </w:pPr>
    <w:rPr>
      <w:sz w:val="20"/>
      <w:szCs w:val="20"/>
    </w:rPr>
  </w:style>
  <w:style w:type="paragraph" w:styleId="TOC4">
    <w:name w:val="toc 4"/>
    <w:basedOn w:val="Normal"/>
    <w:next w:val="Normal"/>
    <w:autoRedefine/>
    <w:semiHidden/>
    <w:rsid w:val="001B789F"/>
    <w:pPr>
      <w:ind w:left="660"/>
    </w:pPr>
    <w:rPr>
      <w:sz w:val="20"/>
      <w:szCs w:val="20"/>
    </w:rPr>
  </w:style>
  <w:style w:type="paragraph" w:styleId="TOC5">
    <w:name w:val="toc 5"/>
    <w:basedOn w:val="Normal"/>
    <w:next w:val="Normal"/>
    <w:autoRedefine/>
    <w:semiHidden/>
    <w:rsid w:val="001B789F"/>
    <w:pPr>
      <w:ind w:left="880"/>
    </w:pPr>
    <w:rPr>
      <w:sz w:val="20"/>
      <w:szCs w:val="20"/>
    </w:rPr>
  </w:style>
  <w:style w:type="paragraph" w:styleId="TOC6">
    <w:name w:val="toc 6"/>
    <w:basedOn w:val="Normal"/>
    <w:next w:val="Normal"/>
    <w:autoRedefine/>
    <w:semiHidden/>
    <w:rsid w:val="001B789F"/>
    <w:pPr>
      <w:ind w:left="1100"/>
    </w:pPr>
    <w:rPr>
      <w:sz w:val="20"/>
      <w:szCs w:val="20"/>
    </w:rPr>
  </w:style>
  <w:style w:type="paragraph" w:styleId="TOC7">
    <w:name w:val="toc 7"/>
    <w:basedOn w:val="Normal"/>
    <w:next w:val="Normal"/>
    <w:autoRedefine/>
    <w:semiHidden/>
    <w:rsid w:val="001B789F"/>
    <w:pPr>
      <w:ind w:left="1320"/>
    </w:pPr>
    <w:rPr>
      <w:sz w:val="20"/>
      <w:szCs w:val="20"/>
    </w:rPr>
  </w:style>
  <w:style w:type="paragraph" w:styleId="TOC8">
    <w:name w:val="toc 8"/>
    <w:basedOn w:val="Normal"/>
    <w:next w:val="Normal"/>
    <w:autoRedefine/>
    <w:semiHidden/>
    <w:rsid w:val="001B789F"/>
    <w:pPr>
      <w:ind w:left="1540"/>
    </w:pPr>
    <w:rPr>
      <w:sz w:val="20"/>
      <w:szCs w:val="20"/>
    </w:rPr>
  </w:style>
  <w:style w:type="paragraph" w:styleId="TO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967</Words>
  <Characters>5118</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SeproTec</cp:lastModifiedBy>
  <cp:revision>5</cp:revision>
  <cp:lastPrinted>1900-01-01T03:00:00Z</cp:lastPrinted>
  <dcterms:created xsi:type="dcterms:W3CDTF">2020-11-26T16:56:00Z</dcterms:created>
  <dcterms:modified xsi:type="dcterms:W3CDTF">2022-05-20T15:07:00Z</dcterms:modified>
</cp:coreProperties>
</file>