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FC5C" w14:textId="77777777" w:rsidR="00C26F2D" w:rsidRPr="00BF077B" w:rsidRDefault="006F39AB" w:rsidP="00BF077B">
      <w:pPr>
        <w:pStyle w:val="ATSNormal"/>
        <w:rPr>
          <w:rStyle w:val="Ttulodellibro"/>
        </w:rPr>
      </w:pPr>
    </w:p>
    <w:p w14:paraId="2C2411E4" w14:textId="77777777" w:rsidR="002F0A13" w:rsidRDefault="006F39AB" w:rsidP="004B4A60">
      <w:pPr>
        <w:rPr>
          <w:b/>
          <w:u w:val="single"/>
          <w:lang w:val="es-ES_tradnl"/>
        </w:rPr>
      </w:pPr>
    </w:p>
    <w:p w14:paraId="7ECF21B4" w14:textId="77777777" w:rsidR="002F0A13" w:rsidRDefault="006F39AB" w:rsidP="004B4A60">
      <w:pPr>
        <w:rPr>
          <w:b/>
          <w:u w:val="single"/>
          <w:lang w:val="es-ES_tradnl"/>
        </w:rPr>
      </w:pPr>
    </w:p>
    <w:p w14:paraId="6B4CFA56" w14:textId="77777777" w:rsidR="002F0A13" w:rsidRDefault="006F39AB" w:rsidP="004B4A60">
      <w:pPr>
        <w:rPr>
          <w:b/>
          <w:u w:val="single"/>
          <w:lang w:val="es-ES_tradnl"/>
        </w:rPr>
      </w:pPr>
    </w:p>
    <w:p w14:paraId="032CB081" w14:textId="77777777" w:rsidR="002F0A13" w:rsidRDefault="006F39AB" w:rsidP="004B4A60">
      <w:pPr>
        <w:rPr>
          <w:b/>
          <w:u w:val="single"/>
          <w:lang w:val="es-ES_tradnl"/>
        </w:rPr>
      </w:pPr>
    </w:p>
    <w:p w14:paraId="647BF0B2" w14:textId="77777777" w:rsidR="00C26F2D" w:rsidRDefault="006F39AB" w:rsidP="004B4A60">
      <w:pPr>
        <w:rPr>
          <w:b/>
          <w:u w:val="single"/>
          <w:lang w:val="es-ES_tradnl"/>
        </w:rPr>
      </w:pPr>
    </w:p>
    <w:p w14:paraId="01CDC07A" w14:textId="77777777" w:rsidR="004B4A60" w:rsidRPr="0057246E" w:rsidRDefault="006F39AB" w:rsidP="001B789F">
      <w:pPr>
        <w:pStyle w:val="ATSTitle"/>
      </w:pPr>
      <w:bookmarkStart w:id="0" w:name="name"/>
      <w:r>
        <w:t>Revised Tourism Management Policy for Vernadsky Station, Galindez Island</w:t>
      </w:r>
      <w:bookmarkEnd w:id="0"/>
    </w:p>
    <w:p w14:paraId="4D5DAA56" w14:textId="77777777" w:rsidR="004B4A60" w:rsidRPr="0057246E" w:rsidRDefault="006F39AB" w:rsidP="00F75424">
      <w:pPr>
        <w:jc w:val="center"/>
      </w:pPr>
    </w:p>
    <w:p w14:paraId="1D5C90EB" w14:textId="77777777" w:rsidR="004B4A60" w:rsidRPr="002F0A13" w:rsidRDefault="006F39AB" w:rsidP="002F0A13"/>
    <w:p w14:paraId="03305287" w14:textId="77777777" w:rsidR="004B4A60" w:rsidRDefault="006F39AB" w:rsidP="00F75424">
      <w:pPr>
        <w:jc w:val="center"/>
      </w:pPr>
      <w:bookmarkStart w:id="1" w:name="memo"/>
      <w:bookmarkEnd w:id="1"/>
    </w:p>
    <w:p w14:paraId="6FDABFA2" w14:textId="77777777" w:rsidR="0097629D" w:rsidRDefault="006F39AB" w:rsidP="00F75424">
      <w:pPr>
        <w:jc w:val="center"/>
      </w:pPr>
    </w:p>
    <w:p w14:paraId="35F6ABB5" w14:textId="77777777" w:rsidR="0097629D" w:rsidRDefault="006F39AB" w:rsidP="00F75424">
      <w:pPr>
        <w:jc w:val="center"/>
      </w:pPr>
    </w:p>
    <w:p w14:paraId="532600EA" w14:textId="77777777" w:rsidR="0097629D" w:rsidRDefault="006F39AB" w:rsidP="00F75424">
      <w:pPr>
        <w:jc w:val="center"/>
      </w:pPr>
    </w:p>
    <w:p w14:paraId="73FDF9C1" w14:textId="77777777" w:rsidR="0097629D" w:rsidRPr="00C26F2D" w:rsidRDefault="006F39AB" w:rsidP="00F75424">
      <w:pPr>
        <w:jc w:val="center"/>
      </w:pPr>
    </w:p>
    <w:p w14:paraId="71635EC4" w14:textId="77777777" w:rsidR="004B4A60" w:rsidRPr="0057246E" w:rsidRDefault="006F39AB" w:rsidP="004B4A60"/>
    <w:p w14:paraId="0C377693" w14:textId="77777777" w:rsidR="00C26F2D" w:rsidRDefault="006F39AB" w:rsidP="00952E9F">
      <w:pPr>
        <w:sectPr w:rsidR="00C26F2D" w:rsidSect="000E1D5C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40D99E57" w14:textId="77777777" w:rsidR="006F39AB" w:rsidRPr="00AF74B4" w:rsidRDefault="006F39AB" w:rsidP="006F39AB">
      <w:pPr>
        <w:pStyle w:val="ATSHeading1"/>
        <w:rPr>
          <w:sz w:val="24"/>
          <w:lang w:val="en-US"/>
        </w:rPr>
      </w:pPr>
      <w:r>
        <w:rPr>
          <w:lang w:val="en-US"/>
        </w:rPr>
        <w:lastRenderedPageBreak/>
        <w:t xml:space="preserve">Revised </w:t>
      </w:r>
      <w:r w:rsidRPr="00AB1F8F">
        <w:rPr>
          <w:lang w:val="en-US"/>
        </w:rPr>
        <w:t xml:space="preserve">Tourism Management Policy for </w:t>
      </w:r>
      <w:proofErr w:type="spellStart"/>
      <w:r w:rsidRPr="00AB1F8F">
        <w:rPr>
          <w:lang w:val="en-US"/>
        </w:rPr>
        <w:t>Vernadsky</w:t>
      </w:r>
      <w:proofErr w:type="spellEnd"/>
      <w:r w:rsidRPr="00AB1F8F">
        <w:rPr>
          <w:lang w:val="en-US"/>
        </w:rPr>
        <w:t xml:space="preserve"> Station, </w:t>
      </w:r>
      <w:proofErr w:type="spellStart"/>
      <w:r>
        <w:rPr>
          <w:lang w:val="en-US"/>
        </w:rPr>
        <w:t>Galindez</w:t>
      </w:r>
      <w:proofErr w:type="spellEnd"/>
      <w:r w:rsidRPr="00AB1F8F">
        <w:rPr>
          <w:lang w:val="en-US"/>
        </w:rPr>
        <w:t xml:space="preserve"> Island</w:t>
      </w:r>
      <w:r w:rsidRPr="00AF74B4">
        <w:rPr>
          <w:sz w:val="24"/>
          <w:lang w:val="en-US"/>
        </w:rPr>
        <w:t xml:space="preserve"> </w:t>
      </w:r>
    </w:p>
    <w:p w14:paraId="779C42B3" w14:textId="77777777" w:rsidR="006F39AB" w:rsidRDefault="006F39AB" w:rsidP="006F39AB">
      <w:pPr>
        <w:pStyle w:val="ATSHeading1"/>
        <w:rPr>
          <w:sz w:val="24"/>
          <w:lang w:val="en-US"/>
        </w:rPr>
      </w:pPr>
      <w:r>
        <w:rPr>
          <w:sz w:val="24"/>
          <w:lang w:val="en-US"/>
        </w:rPr>
        <w:t>Information</w:t>
      </w:r>
      <w:r w:rsidRPr="002F7350">
        <w:rPr>
          <w:sz w:val="24"/>
          <w:lang w:val="en-US"/>
        </w:rPr>
        <w:t xml:space="preserve"> Paper submitted by Ukraine</w:t>
      </w:r>
    </w:p>
    <w:p w14:paraId="40B7B7BA" w14:textId="77777777" w:rsidR="006F39AB" w:rsidRPr="00AB1F8F" w:rsidRDefault="006F39AB" w:rsidP="006F39AB">
      <w:pPr>
        <w:pStyle w:val="ATSHeading2"/>
        <w:rPr>
          <w:rFonts w:cs="Arial"/>
          <w:snapToGrid w:val="0"/>
          <w:szCs w:val="24"/>
          <w:lang w:val="en-US"/>
        </w:rPr>
      </w:pPr>
      <w:bookmarkStart w:id="8" w:name="_Hlk100189087"/>
      <w:r>
        <w:rPr>
          <w:rFonts w:cs="Arial"/>
          <w:snapToGrid w:val="0"/>
          <w:szCs w:val="24"/>
          <w:lang w:val="en-US"/>
        </w:rPr>
        <w:t xml:space="preserve">Summary </w:t>
      </w:r>
    </w:p>
    <w:p w14:paraId="63102738" w14:textId="77777777" w:rsidR="006F39AB" w:rsidRPr="006C41A1" w:rsidRDefault="006F39AB" w:rsidP="006F39AB">
      <w:pPr>
        <w:pStyle w:val="ATSNormal"/>
        <w:rPr>
          <w:szCs w:val="22"/>
          <w:lang w:val="en-US"/>
        </w:rPr>
      </w:pPr>
      <w:r w:rsidRPr="006C41A1">
        <w:rPr>
          <w:szCs w:val="22"/>
          <w:lang w:val="en-US"/>
        </w:rPr>
        <w:t xml:space="preserve">In 2011 in pursuance of the ATCM recommendations (paragraph 245, Final Report XXXIII ATCM) Ukraine presented its policy regarding visits by tourists and nongovernmental expeditions to </w:t>
      </w:r>
      <w:proofErr w:type="spellStart"/>
      <w:r w:rsidRPr="006C41A1">
        <w:rPr>
          <w:szCs w:val="22"/>
          <w:lang w:val="en-US"/>
        </w:rPr>
        <w:t>Vernadsky</w:t>
      </w:r>
      <w:proofErr w:type="spellEnd"/>
      <w:r w:rsidRPr="006C41A1">
        <w:rPr>
          <w:szCs w:val="22"/>
          <w:lang w:val="en-US"/>
        </w:rPr>
        <w:t xml:space="preserve"> station (XXXIV ATCM Information Paper IP-110). This policy was revised after the last year discussion under the issue of developing Site Guidelines for the Argentine Islands included in the CEP 5YWP for the intersessional period 2021/22. </w:t>
      </w:r>
    </w:p>
    <w:p w14:paraId="7DBD8893" w14:textId="77777777" w:rsidR="006F39AB" w:rsidRDefault="006F39AB" w:rsidP="006F39AB">
      <w:pPr>
        <w:pStyle w:val="ATSNormal"/>
        <w:rPr>
          <w:szCs w:val="22"/>
          <w:lang w:val="en-US"/>
        </w:rPr>
      </w:pPr>
      <w:r w:rsidRPr="006C41A1">
        <w:rPr>
          <w:szCs w:val="22"/>
          <w:lang w:val="en-US"/>
        </w:rPr>
        <w:t xml:space="preserve">Like </w:t>
      </w:r>
      <w:proofErr w:type="gramStart"/>
      <w:r w:rsidRPr="006C41A1">
        <w:rPr>
          <w:szCs w:val="22"/>
          <w:lang w:val="en-US"/>
        </w:rPr>
        <w:t>a number of</w:t>
      </w:r>
      <w:proofErr w:type="gramEnd"/>
      <w:r w:rsidRPr="006C41A1">
        <w:rPr>
          <w:szCs w:val="22"/>
          <w:lang w:val="en-US"/>
        </w:rPr>
        <w:t xml:space="preserve"> other Parties </w:t>
      </w:r>
      <w:r>
        <w:rPr>
          <w:szCs w:val="22"/>
          <w:lang w:val="en-US"/>
        </w:rPr>
        <w:t xml:space="preserve">developed its </w:t>
      </w:r>
      <w:r w:rsidRPr="00D77850">
        <w:t>national procedures</w:t>
      </w:r>
      <w:r w:rsidRPr="006C41A1">
        <w:rPr>
          <w:szCs w:val="22"/>
          <w:lang w:val="en-US"/>
        </w:rPr>
        <w:t xml:space="preserve"> relat</w:t>
      </w:r>
      <w:r>
        <w:rPr>
          <w:szCs w:val="22"/>
          <w:lang w:val="en-US"/>
        </w:rPr>
        <w:t>ing</w:t>
      </w:r>
      <w:r w:rsidRPr="006C41A1">
        <w:rPr>
          <w:szCs w:val="22"/>
          <w:lang w:val="en-US"/>
        </w:rPr>
        <w:t xml:space="preserve"> to visitors to their Antarctic stations, Ukraine ha</w:t>
      </w:r>
      <w:r>
        <w:rPr>
          <w:szCs w:val="22"/>
          <w:lang w:val="en-US"/>
        </w:rPr>
        <w:t>s</w:t>
      </w:r>
      <w:r w:rsidRPr="006C41A1">
        <w:rPr>
          <w:szCs w:val="22"/>
          <w:lang w:val="en-US"/>
        </w:rPr>
        <w:t xml:space="preserve"> prepared it in a format of Visitor Site Guidelines, facilitating tourist vessel expedition crew comprehension and use (without, however, seeking ATCM/CEP endorsement). Ukraine would appreciate that these revised guidelines be included in the IAATO Field Operations Manual </w:t>
      </w:r>
      <w:proofErr w:type="gramStart"/>
      <w:r w:rsidRPr="006C41A1">
        <w:rPr>
          <w:szCs w:val="22"/>
          <w:lang w:val="en-US"/>
        </w:rPr>
        <w:t>in order to</w:t>
      </w:r>
      <w:proofErr w:type="gramEnd"/>
      <w:r w:rsidRPr="006C41A1">
        <w:rPr>
          <w:szCs w:val="22"/>
          <w:lang w:val="en-US"/>
        </w:rPr>
        <w:t xml:space="preserve"> apply them during visits to those facilities by their associated operators and individuals. </w:t>
      </w:r>
    </w:p>
    <w:p w14:paraId="6B2D6B8E" w14:textId="77777777" w:rsidR="006F39AB" w:rsidRPr="00AB1F8F" w:rsidRDefault="006F39AB" w:rsidP="006F39AB">
      <w:pPr>
        <w:pStyle w:val="ATSHeading2"/>
        <w:jc w:val="left"/>
        <w:rPr>
          <w:rFonts w:cs="Arial"/>
          <w:snapToGrid w:val="0"/>
          <w:szCs w:val="24"/>
        </w:rPr>
      </w:pPr>
      <w:proofErr w:type="spellStart"/>
      <w:r>
        <w:rPr>
          <w:rFonts w:cs="Arial"/>
          <w:snapToGrid w:val="0"/>
          <w:szCs w:val="24"/>
        </w:rPr>
        <w:t>Vernadsky</w:t>
      </w:r>
      <w:proofErr w:type="spellEnd"/>
      <w:r w:rsidRPr="00AB1F8F">
        <w:rPr>
          <w:rFonts w:cs="Arial"/>
          <w:snapToGrid w:val="0"/>
          <w:szCs w:val="24"/>
        </w:rPr>
        <w:t xml:space="preserve"> Antarctic Station</w:t>
      </w:r>
    </w:p>
    <w:p w14:paraId="4884260A" w14:textId="77777777" w:rsidR="006F39AB" w:rsidRDefault="006F39AB" w:rsidP="006F39AB">
      <w:pPr>
        <w:pStyle w:val="ATSNormal"/>
        <w:rPr>
          <w:bCs/>
        </w:rPr>
      </w:pPr>
      <w:r w:rsidRPr="005F4978">
        <w:rPr>
          <w:bCs/>
        </w:rPr>
        <w:t xml:space="preserve">Year-round </w:t>
      </w:r>
      <w:proofErr w:type="spellStart"/>
      <w:r w:rsidRPr="005F4978">
        <w:rPr>
          <w:bCs/>
        </w:rPr>
        <w:t>Vernadsky</w:t>
      </w:r>
      <w:proofErr w:type="spellEnd"/>
      <w:r w:rsidRPr="005F4978">
        <w:rPr>
          <w:bCs/>
        </w:rPr>
        <w:t xml:space="preserve"> Station</w:t>
      </w:r>
      <w:r>
        <w:rPr>
          <w:bCs/>
        </w:rPr>
        <w:t xml:space="preserve">, </w:t>
      </w:r>
      <w:r w:rsidRPr="005F4978">
        <w:rPr>
          <w:bCs/>
        </w:rPr>
        <w:t>operated by Ukraine</w:t>
      </w:r>
      <w:r>
        <w:rPr>
          <w:bCs/>
        </w:rPr>
        <w:t>,</w:t>
      </w:r>
      <w:r w:rsidRPr="005F4978">
        <w:rPr>
          <w:bCs/>
        </w:rPr>
        <w:t xml:space="preserve"> is situated on the Marina Point in the NW of </w:t>
      </w:r>
      <w:proofErr w:type="spellStart"/>
      <w:r w:rsidRPr="005F4978">
        <w:rPr>
          <w:bCs/>
        </w:rPr>
        <w:t>Galindez</w:t>
      </w:r>
      <w:proofErr w:type="spellEnd"/>
      <w:r w:rsidRPr="005F4978">
        <w:rPr>
          <w:bCs/>
        </w:rPr>
        <w:t xml:space="preserve"> Island, one of the largest islands in the Argentine Islands (along with Winter Island and Skua Island), lying 5-6 km NW of the Antarctic Peninsula (Graham Coast, Kyiv Peninsula).</w:t>
      </w:r>
      <w:r>
        <w:rPr>
          <w:bCs/>
        </w:rPr>
        <w:t xml:space="preserve"> </w:t>
      </w:r>
    </w:p>
    <w:p w14:paraId="10B4266D" w14:textId="77777777" w:rsidR="006F39AB" w:rsidRDefault="006F39AB" w:rsidP="006F39AB">
      <w:pPr>
        <w:pStyle w:val="ATSNormal"/>
        <w:rPr>
          <w:bCs/>
        </w:rPr>
      </w:pPr>
      <w:r w:rsidRPr="0044150F">
        <w:rPr>
          <w:bCs/>
        </w:rPr>
        <w:t>Th</w:t>
      </w:r>
      <w:r>
        <w:rPr>
          <w:bCs/>
        </w:rPr>
        <w:t>is</w:t>
      </w:r>
      <w:r w:rsidRPr="0044150F">
        <w:rPr>
          <w:bCs/>
        </w:rPr>
        <w:t xml:space="preserve"> area has several significant features</w:t>
      </w:r>
      <w:r>
        <w:rPr>
          <w:bCs/>
        </w:rPr>
        <w:t xml:space="preserve">. Firstly, </w:t>
      </w:r>
      <w:r w:rsidRPr="0044150F">
        <w:rPr>
          <w:bCs/>
        </w:rPr>
        <w:t>this area experiences long-term regional climate warming fastest on the planet</w:t>
      </w:r>
      <w:r>
        <w:rPr>
          <w:bCs/>
        </w:rPr>
        <w:t xml:space="preserve">. Secondly, </w:t>
      </w:r>
      <w:r w:rsidRPr="0044150F">
        <w:rPr>
          <w:bCs/>
        </w:rPr>
        <w:t xml:space="preserve">the area with the </w:t>
      </w:r>
      <w:proofErr w:type="gramStart"/>
      <w:r w:rsidRPr="0044150F">
        <w:rPr>
          <w:bCs/>
        </w:rPr>
        <w:t>glaciers</w:t>
      </w:r>
      <w:proofErr w:type="gramEnd"/>
      <w:r w:rsidRPr="0044150F">
        <w:rPr>
          <w:bCs/>
        </w:rPr>
        <w:t xml:space="preserve"> disintegration and, as a consequence, with changes in the basic types of Antarctic ecosystems</w:t>
      </w:r>
      <w:r>
        <w:rPr>
          <w:bCs/>
        </w:rPr>
        <w:t xml:space="preserve">. Thirdly, </w:t>
      </w:r>
      <w:r w:rsidRPr="0044150F">
        <w:rPr>
          <w:bCs/>
        </w:rPr>
        <w:t xml:space="preserve">this area is one of the richest in terms of biodiversity in </w:t>
      </w:r>
      <w:r>
        <w:rPr>
          <w:bCs/>
        </w:rPr>
        <w:t>the West</w:t>
      </w:r>
      <w:r w:rsidRPr="0044150F">
        <w:rPr>
          <w:bCs/>
        </w:rPr>
        <w:t xml:space="preserve"> Antarctic</w:t>
      </w:r>
      <w:r>
        <w:rPr>
          <w:bCs/>
        </w:rPr>
        <w:t xml:space="preserve"> Peninsula</w:t>
      </w:r>
      <w:r w:rsidRPr="0044150F">
        <w:rPr>
          <w:bCs/>
        </w:rPr>
        <w:t xml:space="preserve">, with important assemblages of species including </w:t>
      </w:r>
      <w:r w:rsidRPr="005975A1">
        <w:rPr>
          <w:szCs w:val="22"/>
        </w:rPr>
        <w:t>considerable coverage of old moss banks and lichens communities</w:t>
      </w:r>
      <w:r w:rsidRPr="0044150F">
        <w:rPr>
          <w:bCs/>
        </w:rPr>
        <w:t>, invertebrates, and breeding colonies of birds and marine mammals, which are very sensitive to observed global changes.</w:t>
      </w:r>
      <w:r w:rsidRPr="00934211">
        <w:rPr>
          <w:szCs w:val="22"/>
        </w:rPr>
        <w:t xml:space="preserve"> </w:t>
      </w:r>
      <w:r>
        <w:rPr>
          <w:szCs w:val="22"/>
        </w:rPr>
        <w:t>In particular, t</w:t>
      </w:r>
      <w:r w:rsidRPr="005975A1">
        <w:rPr>
          <w:szCs w:val="22"/>
        </w:rPr>
        <w:t xml:space="preserve">he site is recognised as being one of the southernmost recorded Gentoo penguin colonies as well as </w:t>
      </w:r>
      <w:proofErr w:type="gramStart"/>
      <w:r w:rsidRPr="005975A1">
        <w:rPr>
          <w:szCs w:val="22"/>
        </w:rPr>
        <w:t>a number of</w:t>
      </w:r>
      <w:proofErr w:type="gramEnd"/>
      <w:r w:rsidRPr="005975A1">
        <w:rPr>
          <w:szCs w:val="22"/>
        </w:rPr>
        <w:t xml:space="preserve"> other confirmed breeding bird species.</w:t>
      </w:r>
    </w:p>
    <w:p w14:paraId="6A32E070" w14:textId="77777777" w:rsidR="006F39AB" w:rsidRDefault="006F39AB" w:rsidP="006F39AB">
      <w:pPr>
        <w:pStyle w:val="ATSNormal"/>
        <w:rPr>
          <w:bCs/>
        </w:rPr>
      </w:pPr>
      <w:r w:rsidRPr="0044150F">
        <w:rPr>
          <w:bCs/>
        </w:rPr>
        <w:t>That is way this is an area of particular interest to ongoing and planned scientific research. M</w:t>
      </w:r>
      <w:r>
        <w:rPr>
          <w:bCs/>
        </w:rPr>
        <w:t>eanwhile</w:t>
      </w:r>
      <w:r w:rsidRPr="0044150F">
        <w:rPr>
          <w:bCs/>
        </w:rPr>
        <w:t xml:space="preserve">, </w:t>
      </w:r>
      <w:proofErr w:type="spellStart"/>
      <w:r w:rsidRPr="005975A1">
        <w:rPr>
          <w:szCs w:val="22"/>
        </w:rPr>
        <w:t>Vernadsky</w:t>
      </w:r>
      <w:proofErr w:type="spellEnd"/>
      <w:r w:rsidRPr="005975A1">
        <w:rPr>
          <w:szCs w:val="22"/>
        </w:rPr>
        <w:t xml:space="preserve"> station</w:t>
      </w:r>
      <w:r>
        <w:rPr>
          <w:szCs w:val="22"/>
        </w:rPr>
        <w:t xml:space="preserve"> (as the Argentine Islands as a whole)</w:t>
      </w:r>
      <w:r w:rsidRPr="005975A1">
        <w:rPr>
          <w:szCs w:val="22"/>
        </w:rPr>
        <w:t xml:space="preserve">, has been regularly visited by tourists since 1968, and it has seen a growth in visitor numbers in recent </w:t>
      </w:r>
      <w:r>
        <w:rPr>
          <w:szCs w:val="22"/>
        </w:rPr>
        <w:t xml:space="preserve">pre-COVID </w:t>
      </w:r>
      <w:r w:rsidRPr="005975A1">
        <w:rPr>
          <w:szCs w:val="22"/>
        </w:rPr>
        <w:t>years. According to the IAATO statistics, this site is amongst the twenty most visited sites</w:t>
      </w:r>
      <w:r>
        <w:rPr>
          <w:szCs w:val="22"/>
        </w:rPr>
        <w:t xml:space="preserve"> along the Antarctic Peninsula</w:t>
      </w:r>
      <w:r w:rsidRPr="005975A1">
        <w:rPr>
          <w:szCs w:val="22"/>
        </w:rPr>
        <w:t>.</w:t>
      </w:r>
    </w:p>
    <w:p w14:paraId="3CD91569" w14:textId="77777777" w:rsidR="006F39AB" w:rsidRDefault="006F39AB" w:rsidP="006F39AB">
      <w:pPr>
        <w:pStyle w:val="ATSNormal"/>
        <w:rPr>
          <w:bCs/>
        </w:rPr>
      </w:pPr>
      <w:r w:rsidRPr="0044150F">
        <w:rPr>
          <w:bCs/>
        </w:rPr>
        <w:t>Therefore, the special location of the area allows studying complex environmental processes and conducting the comprehensive monitoring of environmental parameters in Antarctica. In</w:t>
      </w:r>
      <w:r w:rsidRPr="00A65969">
        <w:rPr>
          <w:bCs/>
        </w:rPr>
        <w:t xml:space="preserve"> view of the observed high number of visitors and spatial trends in ship-borne tourism</w:t>
      </w:r>
      <w:r w:rsidRPr="0044150F">
        <w:rPr>
          <w:bCs/>
        </w:rPr>
        <w:t>, th</w:t>
      </w:r>
      <w:r>
        <w:rPr>
          <w:bCs/>
        </w:rPr>
        <w:t>is</w:t>
      </w:r>
      <w:r w:rsidRPr="0044150F">
        <w:rPr>
          <w:bCs/>
        </w:rPr>
        <w:t xml:space="preserve"> area requires special management to ensure that all important environment values are protected and sustained in the long-term.</w:t>
      </w:r>
    </w:p>
    <w:p w14:paraId="6F17261F" w14:textId="77777777" w:rsidR="006F39AB" w:rsidRDefault="006F39AB" w:rsidP="006F39AB">
      <w:pPr>
        <w:pStyle w:val="ATSNormal"/>
        <w:rPr>
          <w:bCs/>
        </w:rPr>
      </w:pPr>
    </w:p>
    <w:p w14:paraId="661E7051" w14:textId="2E6EB6B9" w:rsidR="006F39AB" w:rsidRDefault="006F39AB" w:rsidP="006F39AB">
      <w:pPr>
        <w:pStyle w:val="ATSNormal"/>
        <w:rPr>
          <w:bCs/>
        </w:rPr>
      </w:pPr>
    </w:p>
    <w:p w14:paraId="68649911" w14:textId="77777777" w:rsidR="006F39AB" w:rsidRDefault="006F39AB" w:rsidP="006F39AB">
      <w:pPr>
        <w:pStyle w:val="ATSNormal"/>
        <w:rPr>
          <w:bCs/>
        </w:rPr>
      </w:pPr>
    </w:p>
    <w:p w14:paraId="38C7B369" w14:textId="77777777" w:rsidR="006F39AB" w:rsidRPr="00AB1F8F" w:rsidRDefault="006F39AB" w:rsidP="006F39AB">
      <w:pPr>
        <w:pStyle w:val="ATSHeading2"/>
        <w:jc w:val="left"/>
        <w:rPr>
          <w:rFonts w:cs="Arial"/>
          <w:snapToGrid w:val="0"/>
          <w:szCs w:val="24"/>
          <w:lang w:val="en-US"/>
        </w:rPr>
      </w:pPr>
      <w:r w:rsidRPr="00AB1F8F">
        <w:rPr>
          <w:rFonts w:cs="Arial"/>
          <w:snapToGrid w:val="0"/>
          <w:szCs w:val="24"/>
          <w:lang w:val="en-US"/>
        </w:rPr>
        <w:lastRenderedPageBreak/>
        <w:t xml:space="preserve">Tourism Management Policy for </w:t>
      </w:r>
      <w:proofErr w:type="spellStart"/>
      <w:r>
        <w:rPr>
          <w:rFonts w:cs="Arial"/>
          <w:snapToGrid w:val="0"/>
          <w:szCs w:val="24"/>
          <w:lang w:val="en-US"/>
        </w:rPr>
        <w:t>Vernadsky</w:t>
      </w:r>
      <w:proofErr w:type="spellEnd"/>
      <w:r w:rsidRPr="00AB1F8F">
        <w:rPr>
          <w:rFonts w:cs="Arial"/>
          <w:snapToGrid w:val="0"/>
          <w:szCs w:val="24"/>
          <w:lang w:val="en-US"/>
        </w:rPr>
        <w:t xml:space="preserve"> Station</w:t>
      </w:r>
    </w:p>
    <w:p w14:paraId="603A90C5" w14:textId="77777777" w:rsidR="006F39AB" w:rsidRDefault="006F39AB" w:rsidP="006F39AB">
      <w:pPr>
        <w:pStyle w:val="ATSNormal"/>
        <w:rPr>
          <w:szCs w:val="22"/>
        </w:rPr>
      </w:pPr>
      <w:proofErr w:type="gramStart"/>
      <w:r w:rsidRPr="005975A1">
        <w:rPr>
          <w:szCs w:val="22"/>
        </w:rPr>
        <w:t>In order to</w:t>
      </w:r>
      <w:proofErr w:type="gramEnd"/>
      <w:r w:rsidRPr="005975A1">
        <w:rPr>
          <w:szCs w:val="22"/>
        </w:rPr>
        <w:t xml:space="preserve"> minimize possible impacts on </w:t>
      </w:r>
      <w:r>
        <w:rPr>
          <w:szCs w:val="22"/>
        </w:rPr>
        <w:t xml:space="preserve">the </w:t>
      </w:r>
      <w:r w:rsidRPr="005975A1">
        <w:rPr>
          <w:szCs w:val="22"/>
        </w:rPr>
        <w:t xml:space="preserve">environment </w:t>
      </w:r>
      <w:r w:rsidRPr="00A2105A">
        <w:t>and avoid interference with scientific investigations and station work schedules</w:t>
      </w:r>
      <w:r>
        <w:t>, the revised g</w:t>
      </w:r>
      <w:r w:rsidRPr="00A2105A">
        <w:t>uidelines include more restrictions on access</w:t>
      </w:r>
      <w:r w:rsidRPr="00263D46">
        <w:t xml:space="preserve"> </w:t>
      </w:r>
      <w:r w:rsidRPr="00A2105A">
        <w:t>and number of visitors ashore.</w:t>
      </w:r>
      <w:r>
        <w:t xml:space="preserve"> </w:t>
      </w:r>
      <w:r w:rsidRPr="005975A1">
        <w:rPr>
          <w:szCs w:val="22"/>
        </w:rPr>
        <w:t>For the first time it is suggested to designate the landing requirements not only for the cruise ships, but for the private yachts</w:t>
      </w:r>
      <w:r>
        <w:rPr>
          <w:szCs w:val="22"/>
        </w:rPr>
        <w:t xml:space="preserve"> as well. Nevertheless, these </w:t>
      </w:r>
      <w:r w:rsidRPr="00263D46">
        <w:rPr>
          <w:szCs w:val="22"/>
        </w:rPr>
        <w:t>guidelines</w:t>
      </w:r>
      <w:r w:rsidRPr="005F4978">
        <w:rPr>
          <w:szCs w:val="22"/>
        </w:rPr>
        <w:t xml:space="preserve"> applicable to visitors to </w:t>
      </w:r>
      <w:proofErr w:type="spellStart"/>
      <w:r w:rsidRPr="005F4978">
        <w:rPr>
          <w:szCs w:val="22"/>
        </w:rPr>
        <w:t>Vernadsky</w:t>
      </w:r>
      <w:proofErr w:type="spellEnd"/>
      <w:r w:rsidRPr="005F4978">
        <w:rPr>
          <w:szCs w:val="22"/>
        </w:rPr>
        <w:t xml:space="preserve"> </w:t>
      </w:r>
      <w:r>
        <w:rPr>
          <w:szCs w:val="22"/>
        </w:rPr>
        <w:t>s</w:t>
      </w:r>
      <w:r w:rsidRPr="005F4978">
        <w:rPr>
          <w:szCs w:val="22"/>
        </w:rPr>
        <w:t>tation</w:t>
      </w:r>
      <w:r>
        <w:rPr>
          <w:szCs w:val="22"/>
        </w:rPr>
        <w:t>’s facilities zone</w:t>
      </w:r>
      <w:r w:rsidRPr="005F4978">
        <w:rPr>
          <w:szCs w:val="22"/>
        </w:rPr>
        <w:t>, while yachting and small boat cruising without landing within the internal waters of the Argentine Islands are not restricted</w:t>
      </w:r>
      <w:r>
        <w:rPr>
          <w:szCs w:val="22"/>
        </w:rPr>
        <w:t>.</w:t>
      </w:r>
    </w:p>
    <w:p w14:paraId="41D0B64D" w14:textId="77777777" w:rsidR="006F39AB" w:rsidRDefault="006F39AB" w:rsidP="006F39AB">
      <w:pPr>
        <w:pStyle w:val="ATSNormal"/>
        <w:rPr>
          <w:szCs w:val="22"/>
        </w:rPr>
      </w:pPr>
      <w:r>
        <w:rPr>
          <w:szCs w:val="22"/>
        </w:rPr>
        <w:t>Moreover, a s</w:t>
      </w:r>
      <w:r w:rsidRPr="005975A1">
        <w:rPr>
          <w:szCs w:val="22"/>
        </w:rPr>
        <w:t xml:space="preserve">pecial </w:t>
      </w:r>
      <w:r>
        <w:rPr>
          <w:szCs w:val="22"/>
        </w:rPr>
        <w:t>visitor</w:t>
      </w:r>
      <w:r w:rsidRPr="005975A1">
        <w:rPr>
          <w:szCs w:val="22"/>
        </w:rPr>
        <w:t xml:space="preserve"> route is developed to divert visitors away from the station </w:t>
      </w:r>
      <w:r>
        <w:rPr>
          <w:szCs w:val="22"/>
        </w:rPr>
        <w:t xml:space="preserve">facilities </w:t>
      </w:r>
      <w:r w:rsidRPr="005975A1">
        <w:rPr>
          <w:szCs w:val="22"/>
        </w:rPr>
        <w:t>to alternative attractions</w:t>
      </w:r>
      <w:r>
        <w:rPr>
          <w:szCs w:val="22"/>
        </w:rPr>
        <w:t xml:space="preserve">, namely </w:t>
      </w:r>
      <w:r w:rsidRPr="007831AC">
        <w:rPr>
          <w:szCs w:val="22"/>
        </w:rPr>
        <w:t>the top of the ice cap offering glacial scenery</w:t>
      </w:r>
      <w:r w:rsidRPr="005975A1">
        <w:rPr>
          <w:szCs w:val="22"/>
        </w:rPr>
        <w:t>.</w:t>
      </w:r>
      <w:r>
        <w:rPr>
          <w:szCs w:val="22"/>
        </w:rPr>
        <w:t xml:space="preserve"> In addition, the revised guidelines </w:t>
      </w:r>
      <w:r w:rsidRPr="00D77850">
        <w:rPr>
          <w:szCs w:val="22"/>
        </w:rPr>
        <w:t xml:space="preserve">also include the </w:t>
      </w:r>
      <w:r w:rsidRPr="005F4978">
        <w:rPr>
          <w:szCs w:val="22"/>
        </w:rPr>
        <w:t>CCAMLR Environmental Monitoring Program (CEMP) site</w:t>
      </w:r>
      <w:r>
        <w:rPr>
          <w:szCs w:val="22"/>
        </w:rPr>
        <w:t xml:space="preserve"> on </w:t>
      </w:r>
      <w:proofErr w:type="spellStart"/>
      <w:r>
        <w:rPr>
          <w:szCs w:val="22"/>
        </w:rPr>
        <w:t>Galindez</w:t>
      </w:r>
      <w:proofErr w:type="spellEnd"/>
      <w:r>
        <w:rPr>
          <w:szCs w:val="22"/>
        </w:rPr>
        <w:t xml:space="preserve"> Island</w:t>
      </w:r>
      <w:r w:rsidRPr="005F4978">
        <w:rPr>
          <w:szCs w:val="22"/>
        </w:rPr>
        <w:t xml:space="preserve">, managed by Ukraine, </w:t>
      </w:r>
      <w:r>
        <w:rPr>
          <w:szCs w:val="22"/>
        </w:rPr>
        <w:t>as well as</w:t>
      </w:r>
      <w:r w:rsidRPr="00D77850">
        <w:rPr>
          <w:szCs w:val="22"/>
        </w:rPr>
        <w:t xml:space="preserve"> the inter-island</w:t>
      </w:r>
      <w:r>
        <w:rPr>
          <w:szCs w:val="22"/>
        </w:rPr>
        <w:t>s</w:t>
      </w:r>
      <w:r w:rsidRPr="00D77850">
        <w:rPr>
          <w:szCs w:val="22"/>
        </w:rPr>
        <w:t xml:space="preserve"> water area</w:t>
      </w:r>
      <w:r>
        <w:rPr>
          <w:szCs w:val="22"/>
        </w:rPr>
        <w:t>s</w:t>
      </w:r>
      <w:r w:rsidRPr="00D77850">
        <w:rPr>
          <w:szCs w:val="22"/>
        </w:rPr>
        <w:t>, which Ukraine intends to include as</w:t>
      </w:r>
      <w:r>
        <w:rPr>
          <w:szCs w:val="22"/>
        </w:rPr>
        <w:t xml:space="preserve"> one of the</w:t>
      </w:r>
      <w:r w:rsidRPr="00D77850">
        <w:rPr>
          <w:szCs w:val="22"/>
        </w:rPr>
        <w:t xml:space="preserve"> </w:t>
      </w:r>
      <w:r>
        <w:rPr>
          <w:szCs w:val="22"/>
        </w:rPr>
        <w:t xml:space="preserve">scientific </w:t>
      </w:r>
      <w:r w:rsidRPr="00AB6322">
        <w:rPr>
          <w:szCs w:val="22"/>
        </w:rPr>
        <w:t xml:space="preserve">reference </w:t>
      </w:r>
      <w:r w:rsidRPr="006378A5">
        <w:rPr>
          <w:szCs w:val="22"/>
        </w:rPr>
        <w:t>areas</w:t>
      </w:r>
      <w:r>
        <w:rPr>
          <w:szCs w:val="22"/>
        </w:rPr>
        <w:t xml:space="preserve"> </w:t>
      </w:r>
      <w:r w:rsidRPr="00D77850">
        <w:rPr>
          <w:szCs w:val="22"/>
        </w:rPr>
        <w:t>in the new</w:t>
      </w:r>
      <w:r>
        <w:rPr>
          <w:szCs w:val="22"/>
        </w:rPr>
        <w:t>ly</w:t>
      </w:r>
      <w:r w:rsidRPr="00D77850">
        <w:rPr>
          <w:szCs w:val="22"/>
        </w:rPr>
        <w:t xml:space="preserve"> </w:t>
      </w:r>
      <w:r>
        <w:rPr>
          <w:szCs w:val="22"/>
        </w:rPr>
        <w:t xml:space="preserve">proposed MPA in Domaine 1 </w:t>
      </w:r>
      <w:r w:rsidRPr="00D77850">
        <w:rPr>
          <w:szCs w:val="22"/>
        </w:rPr>
        <w:t>(para 6.11-6.12 of the SC-CAMLR-38 Report).</w:t>
      </w:r>
    </w:p>
    <w:p w14:paraId="7EEE6E8D" w14:textId="77777777" w:rsidR="006F39AB" w:rsidRDefault="006F39AB" w:rsidP="006F39AB">
      <w:pPr>
        <w:pStyle w:val="ATSNormal"/>
      </w:pPr>
      <w:r>
        <w:t xml:space="preserve">Compliance with the attached guidelines should be observed by all visitors requesting a visit to </w:t>
      </w:r>
      <w:proofErr w:type="spellStart"/>
      <w:r>
        <w:t>Vernadsky</w:t>
      </w:r>
      <w:proofErr w:type="spellEnd"/>
      <w:r>
        <w:t xml:space="preserve"> station, whether it is carried out as part of an activity organised by an IAATO member operator or an independent operator. In this regard, </w:t>
      </w:r>
      <w:r w:rsidRPr="00263D46">
        <w:t xml:space="preserve">Ukraine would appreciate that these revised guidelines </w:t>
      </w:r>
      <w:r w:rsidRPr="00D77850">
        <w:t>(</w:t>
      </w:r>
      <w:r>
        <w:t xml:space="preserve">developed </w:t>
      </w:r>
      <w:r w:rsidRPr="00D77850">
        <w:t>within the framework of national procedures, without seeking ATCM/CEP endorsement)</w:t>
      </w:r>
      <w:r>
        <w:t xml:space="preserve"> </w:t>
      </w:r>
      <w:r w:rsidRPr="00263D46">
        <w:t>be included in the IAATO Field Operations Manual.</w:t>
      </w:r>
      <w:bookmarkEnd w:id="8"/>
    </w:p>
    <w:p w14:paraId="46CC9222" w14:textId="77777777" w:rsidR="004B4A60" w:rsidRDefault="006F39AB" w:rsidP="00952E9F"/>
    <w:sectPr w:rsidR="004B4A60" w:rsidSect="00BC6B74">
      <w:headerReference w:type="default" r:id="rId11"/>
      <w:footerReference w:type="default" r:id="rId12"/>
      <w:type w:val="oddPage"/>
      <w:pgSz w:w="11907" w:h="16840" w:code="9"/>
      <w:pgMar w:top="773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533CD" w14:textId="77777777" w:rsidR="00000000" w:rsidRDefault="006F39AB">
      <w:r>
        <w:separator/>
      </w:r>
    </w:p>
  </w:endnote>
  <w:endnote w:type="continuationSeparator" w:id="0">
    <w:p w14:paraId="5029C5AC" w14:textId="77777777" w:rsidR="00000000" w:rsidRDefault="006F3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C757" w14:textId="77777777" w:rsidR="00FA0B9F" w:rsidRDefault="006F39AB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73233017" w14:textId="77777777" w:rsidR="00FA0B9F" w:rsidRDefault="006F39AB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947FB" w14:textId="77777777" w:rsidR="00FA0B9F" w:rsidRDefault="006F39AB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7AAB1849" w14:textId="7567E951" w:rsidR="00FA0B9F" w:rsidRDefault="006F39AB" w:rsidP="00FA0B9F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2A53C" w14:textId="77777777" w:rsidR="00E311C9" w:rsidRDefault="006F39AB" w:rsidP="009F01E8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7</w:t>
    </w:r>
    <w:r>
      <w:fldChar w:fldCharType="end"/>
    </w:r>
  </w:p>
  <w:p w14:paraId="0339AD24" w14:textId="77777777" w:rsidR="00E311C9" w:rsidRDefault="006F39AB" w:rsidP="00E311C9">
    <w:pPr>
      <w:ind w:right="360"/>
    </w:pPr>
  </w:p>
  <w:p w14:paraId="56B3F65A" w14:textId="77777777" w:rsidR="00115EF7" w:rsidRDefault="006F39AB"/>
  <w:p w14:paraId="50FEB4FA" w14:textId="77777777" w:rsidR="00115EF7" w:rsidRDefault="006F39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F0D0D" w14:textId="77777777" w:rsidR="00000000" w:rsidRDefault="006F39AB">
      <w:r>
        <w:separator/>
      </w:r>
    </w:p>
  </w:footnote>
  <w:footnote w:type="continuationSeparator" w:id="0">
    <w:p w14:paraId="743ACDBE" w14:textId="77777777" w:rsidR="00000000" w:rsidRDefault="006F3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B8717F" w14:paraId="7BC18880" w14:textId="77777777" w:rsidTr="00490760">
      <w:trPr>
        <w:trHeight w:val="344"/>
        <w:jc w:val="center"/>
      </w:trPr>
      <w:tc>
        <w:tcPr>
          <w:tcW w:w="5495" w:type="dxa"/>
        </w:tcPr>
        <w:p w14:paraId="7990871E" w14:textId="77777777" w:rsidR="00DB7C09" w:rsidRDefault="006F39AB" w:rsidP="00F968D4"/>
      </w:tc>
      <w:tc>
        <w:tcPr>
          <w:tcW w:w="4253" w:type="dxa"/>
          <w:gridSpan w:val="2"/>
        </w:tcPr>
        <w:p w14:paraId="389C8A8D" w14:textId="77777777" w:rsidR="00DB7C09" w:rsidRPr="00BD47E4" w:rsidRDefault="006F39AB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687C186A" w14:textId="77777777" w:rsidR="00DB7C09" w:rsidRPr="00BD47E4" w:rsidRDefault="006F39AB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97</w:t>
          </w:r>
          <w:bookmarkEnd w:id="3"/>
        </w:p>
      </w:tc>
    </w:tr>
    <w:tr w:rsidR="00B8717F" w14:paraId="6C682FC0" w14:textId="77777777" w:rsidTr="00490760">
      <w:trPr>
        <w:trHeight w:val="2165"/>
        <w:jc w:val="center"/>
      </w:trPr>
      <w:tc>
        <w:tcPr>
          <w:tcW w:w="5495" w:type="dxa"/>
        </w:tcPr>
        <w:p w14:paraId="4A9E8937" w14:textId="77777777" w:rsidR="00490760" w:rsidRPr="00EE4D48" w:rsidRDefault="006F39AB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DF40EFA" wp14:editId="36EF5547">
                <wp:extent cx="2519680" cy="1439545"/>
                <wp:effectExtent l="0" t="0" r="0" b="8255"/>
                <wp:docPr id="1" name="Imagen 1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5346892" name="Imagen 1" descr="Imagen que contiene Diagrama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3F02E06B" w14:textId="77777777" w:rsidR="00490760" w:rsidRPr="00FE5146" w:rsidRDefault="006F39AB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B8717F" w14:paraId="375E70B1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73FCD281" w14:textId="77777777" w:rsidR="00BD47E4" w:rsidRDefault="006F39AB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4524A582" w14:textId="77777777" w:rsidR="00BD47E4" w:rsidRDefault="006F39AB" w:rsidP="002C30DA">
          <w:pPr>
            <w:jc w:val="right"/>
          </w:pPr>
          <w:bookmarkStart w:id="4" w:name="agenda"/>
          <w:r>
            <w:t>CEP 9c</w:t>
          </w:r>
          <w:bookmarkEnd w:id="4"/>
        </w:p>
      </w:tc>
      <w:tc>
        <w:tcPr>
          <w:tcW w:w="390" w:type="dxa"/>
        </w:tcPr>
        <w:p w14:paraId="29EE55CD" w14:textId="77777777" w:rsidR="00BD47E4" w:rsidRDefault="006F39AB" w:rsidP="00387A65">
          <w:pPr>
            <w:jc w:val="right"/>
          </w:pPr>
        </w:p>
      </w:tc>
    </w:tr>
    <w:tr w:rsidR="00B8717F" w14:paraId="7ED83118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3D15FA43" w14:textId="77777777" w:rsidR="00BD47E4" w:rsidRDefault="006F39AB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0F2EAC84" w14:textId="77777777" w:rsidR="00BD47E4" w:rsidRDefault="006F39AB" w:rsidP="002C30DA">
          <w:pPr>
            <w:jc w:val="right"/>
          </w:pPr>
          <w:bookmarkStart w:id="5" w:name="party"/>
          <w:r>
            <w:t>Ukraine</w:t>
          </w:r>
          <w:bookmarkEnd w:id="5"/>
        </w:p>
      </w:tc>
      <w:tc>
        <w:tcPr>
          <w:tcW w:w="390" w:type="dxa"/>
        </w:tcPr>
        <w:p w14:paraId="0C9D0512" w14:textId="77777777" w:rsidR="00BD47E4" w:rsidRDefault="006F39AB" w:rsidP="00387A65">
          <w:pPr>
            <w:jc w:val="right"/>
          </w:pPr>
        </w:p>
      </w:tc>
    </w:tr>
    <w:tr w:rsidR="00B8717F" w14:paraId="521FC8B4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46E05057" w14:textId="77777777" w:rsidR="00BD47E4" w:rsidRDefault="006F39AB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267705BB" w14:textId="77777777" w:rsidR="00BD47E4" w:rsidRDefault="006F39AB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3F238E88" w14:textId="77777777" w:rsidR="00BD47E4" w:rsidRDefault="006F39AB" w:rsidP="00387A65">
          <w:pPr>
            <w:jc w:val="right"/>
          </w:pPr>
        </w:p>
      </w:tc>
    </w:tr>
    <w:tr w:rsidR="00B8717F" w14:paraId="353E9411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28637E4E" w14:textId="77777777" w:rsidR="0097629D" w:rsidRDefault="006F39AB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0BF132CE" w14:textId="77777777" w:rsidR="0097629D" w:rsidRDefault="006F39AB" w:rsidP="0097629D">
          <w:pPr>
            <w:jc w:val="right"/>
          </w:pPr>
          <w:bookmarkStart w:id="7" w:name="date_submission"/>
          <w:r>
            <w:t>22/4/2022</w:t>
          </w:r>
          <w:bookmarkEnd w:id="7"/>
        </w:p>
      </w:tc>
      <w:tc>
        <w:tcPr>
          <w:tcW w:w="390" w:type="dxa"/>
        </w:tcPr>
        <w:p w14:paraId="3F36D2B7" w14:textId="77777777" w:rsidR="0097629D" w:rsidRDefault="006F39AB" w:rsidP="00387A65">
          <w:pPr>
            <w:jc w:val="right"/>
          </w:pPr>
        </w:p>
      </w:tc>
    </w:tr>
  </w:tbl>
  <w:p w14:paraId="3CC324FF" w14:textId="77777777" w:rsidR="00AE5DD0" w:rsidRDefault="006F39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jc w:val="center"/>
      <w:tblLayout w:type="fixed"/>
      <w:tblLook w:val="01E0" w:firstRow="1" w:lastRow="1" w:firstColumn="1" w:lastColumn="1" w:noHBand="0" w:noVBand="0"/>
    </w:tblPr>
    <w:tblGrid>
      <w:gridCol w:w="9356"/>
      <w:gridCol w:w="567"/>
    </w:tblGrid>
    <w:tr w:rsidR="00B0660D" w:rsidRPr="0087014A" w14:paraId="1516A06D" w14:textId="77777777" w:rsidTr="006F39AB">
      <w:trPr>
        <w:trHeight w:val="354"/>
        <w:jc w:val="center"/>
      </w:trPr>
      <w:tc>
        <w:tcPr>
          <w:tcW w:w="9356" w:type="dxa"/>
        </w:tcPr>
        <w:p w14:paraId="1C141B79" w14:textId="77777777" w:rsidR="00B0660D" w:rsidRPr="00BD47E4" w:rsidRDefault="006F39AB" w:rsidP="00B0660D">
          <w:pPr>
            <w:tabs>
              <w:tab w:val="left" w:pos="1453"/>
            </w:tabs>
            <w:ind w:right="169"/>
            <w:jc w:val="right"/>
            <w:rPr>
              <w:b/>
              <w:sz w:val="32"/>
              <w:szCs w:val="32"/>
            </w:rPr>
          </w:pPr>
          <w:bookmarkStart w:id="9" w:name="_Hlk99899296"/>
          <w:r>
            <w:rPr>
              <w:b/>
              <w:sz w:val="32"/>
              <w:szCs w:val="32"/>
            </w:rPr>
            <w:tab/>
          </w:r>
          <w:r>
            <w:rPr>
              <w:b/>
              <w:sz w:val="32"/>
              <w:szCs w:val="32"/>
            </w:rPr>
            <w:tab/>
          </w:r>
          <w:r>
            <w:rPr>
              <w:b/>
              <w:sz w:val="32"/>
              <w:szCs w:val="32"/>
            </w:rPr>
            <w:t>I</w:t>
          </w:r>
          <w:r>
            <w:rPr>
              <w:b/>
              <w:sz w:val="32"/>
              <w:szCs w:val="32"/>
            </w:rPr>
            <w:t>P</w:t>
          </w:r>
        </w:p>
      </w:tc>
      <w:tc>
        <w:tcPr>
          <w:tcW w:w="567" w:type="dxa"/>
        </w:tcPr>
        <w:p w14:paraId="4A6EBB5C" w14:textId="3F7AF165" w:rsidR="00B0660D" w:rsidRPr="00BD47E4" w:rsidRDefault="006F39AB" w:rsidP="009210E4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97</w:t>
          </w:r>
        </w:p>
      </w:tc>
    </w:tr>
    <w:bookmarkEnd w:id="9"/>
  </w:tbl>
  <w:p w14:paraId="20152D92" w14:textId="77777777" w:rsidR="00AE5DD0" w:rsidRDefault="006F39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7C22A4F6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2146E4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66B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0E19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08AE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90A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7A8C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0AA4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46091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C56C37E4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B43A92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EA5A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02C32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0E19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B8FE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BADC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6A10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32AC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1AC446AC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AA0C121E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472025D6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F7FC1D5A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765AE7A0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A734EF44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BB9497BE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D17C0F0E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EBBC0AC2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A1F01466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CE8C7B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A8E3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86604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2E99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6B2BB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C02E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AC97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AA80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83C6D7EA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AA8EAAB4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2EF4B9D4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B32E76BE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DC2050BC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9872BAA4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972C0B04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AEDD72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16809F96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EC40079A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184B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98C3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D441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9A3E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292C6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685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A60B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30A6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6171602">
    <w:abstractNumId w:val="9"/>
  </w:num>
  <w:num w:numId="2" w16cid:durableId="1105736445">
    <w:abstractNumId w:val="7"/>
  </w:num>
  <w:num w:numId="3" w16cid:durableId="280844851">
    <w:abstractNumId w:val="6"/>
  </w:num>
  <w:num w:numId="4" w16cid:durableId="272202471">
    <w:abstractNumId w:val="5"/>
  </w:num>
  <w:num w:numId="5" w16cid:durableId="1069114936">
    <w:abstractNumId w:val="4"/>
  </w:num>
  <w:num w:numId="6" w16cid:durableId="956185232">
    <w:abstractNumId w:val="8"/>
  </w:num>
  <w:num w:numId="7" w16cid:durableId="618419884">
    <w:abstractNumId w:val="3"/>
  </w:num>
  <w:num w:numId="8" w16cid:durableId="634601255">
    <w:abstractNumId w:val="2"/>
  </w:num>
  <w:num w:numId="9" w16cid:durableId="1035229885">
    <w:abstractNumId w:val="1"/>
  </w:num>
  <w:num w:numId="10" w16cid:durableId="499466999">
    <w:abstractNumId w:val="0"/>
  </w:num>
  <w:num w:numId="11" w16cid:durableId="538208343">
    <w:abstractNumId w:val="11"/>
  </w:num>
  <w:num w:numId="12" w16cid:durableId="1604074361">
    <w:abstractNumId w:val="15"/>
  </w:num>
  <w:num w:numId="13" w16cid:durableId="775297965">
    <w:abstractNumId w:val="14"/>
  </w:num>
  <w:num w:numId="14" w16cid:durableId="1609772737">
    <w:abstractNumId w:val="12"/>
  </w:num>
  <w:num w:numId="15" w16cid:durableId="1970352337">
    <w:abstractNumId w:val="13"/>
  </w:num>
  <w:num w:numId="16" w16cid:durableId="655190407">
    <w:abstractNumId w:val="10"/>
  </w:num>
  <w:num w:numId="17" w16cid:durableId="625700431">
    <w:abstractNumId w:val="11"/>
  </w:num>
  <w:num w:numId="18" w16cid:durableId="524830332">
    <w:abstractNumId w:val="15"/>
  </w:num>
  <w:num w:numId="19" w16cid:durableId="35742570">
    <w:abstractNumId w:val="14"/>
  </w:num>
  <w:num w:numId="20" w16cid:durableId="2308470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7F"/>
    <w:rsid w:val="006F39AB"/>
    <w:rsid w:val="00B8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DDF5EF"/>
  <w15:chartTrackingRefBased/>
  <w15:docId w15:val="{F65B097E-4FA1-4713-802B-8142B103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link w:val="ATSNormalChar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character" w:customStyle="1" w:styleId="ATSNormalChar">
    <w:name w:val="ATS Normal Char"/>
    <w:link w:val="ATSNormal"/>
    <w:locked/>
    <w:rsid w:val="006F39AB"/>
    <w:rPr>
      <w:sz w:val="22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683</Words>
  <Characters>3957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4</cp:revision>
  <cp:lastPrinted>2008-01-22T18:20:00Z</cp:lastPrinted>
  <dcterms:created xsi:type="dcterms:W3CDTF">2020-11-26T16:54:00Z</dcterms:created>
  <dcterms:modified xsi:type="dcterms:W3CDTF">2022-05-24T18:51:00Z</dcterms:modified>
</cp:coreProperties>
</file>