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A278" w14:textId="77777777" w:rsidR="00C26F2D" w:rsidRPr="00BF077B" w:rsidRDefault="007654E9" w:rsidP="00BF077B">
      <w:pPr>
        <w:pStyle w:val="ATSNormal"/>
        <w:rPr>
          <w:rStyle w:val="Ttulodellibro"/>
        </w:rPr>
      </w:pPr>
    </w:p>
    <w:p w14:paraId="03F5B4D5" w14:textId="77777777" w:rsidR="002F0A13" w:rsidRDefault="007654E9" w:rsidP="004B4A60">
      <w:pPr>
        <w:rPr>
          <w:b/>
          <w:u w:val="single"/>
          <w:lang w:val="es-ES_tradnl"/>
        </w:rPr>
      </w:pPr>
    </w:p>
    <w:p w14:paraId="0426FDB0" w14:textId="77777777" w:rsidR="002F0A13" w:rsidRDefault="007654E9" w:rsidP="004B4A60">
      <w:pPr>
        <w:rPr>
          <w:b/>
          <w:u w:val="single"/>
          <w:lang w:val="es-ES_tradnl"/>
        </w:rPr>
      </w:pPr>
    </w:p>
    <w:p w14:paraId="66DF0627" w14:textId="77777777" w:rsidR="002F0A13" w:rsidRDefault="007654E9" w:rsidP="004B4A60">
      <w:pPr>
        <w:rPr>
          <w:b/>
          <w:u w:val="single"/>
          <w:lang w:val="es-ES_tradnl"/>
        </w:rPr>
      </w:pPr>
    </w:p>
    <w:p w14:paraId="14FBEF5F" w14:textId="77777777" w:rsidR="002F0A13" w:rsidRDefault="007654E9" w:rsidP="004B4A60">
      <w:pPr>
        <w:rPr>
          <w:b/>
          <w:u w:val="single"/>
          <w:lang w:val="es-ES_tradnl"/>
        </w:rPr>
      </w:pPr>
    </w:p>
    <w:p w14:paraId="201AC3E4" w14:textId="77777777" w:rsidR="00C26F2D" w:rsidRDefault="007654E9" w:rsidP="004B4A60">
      <w:pPr>
        <w:rPr>
          <w:b/>
          <w:u w:val="single"/>
          <w:lang w:val="es-ES_tradnl"/>
        </w:rPr>
      </w:pPr>
    </w:p>
    <w:p w14:paraId="3DD9B408" w14:textId="77777777" w:rsidR="004B4A60" w:rsidRPr="0057246E" w:rsidRDefault="00DA5A0E" w:rsidP="001B789F">
      <w:pPr>
        <w:pStyle w:val="ATSTitle"/>
      </w:pPr>
      <w:bookmarkStart w:id="0" w:name="name"/>
      <w:r>
        <w:t>Exploring the possibilities for the designation of Barrientos (</w:t>
      </w:r>
      <w:proofErr w:type="spellStart"/>
      <w:r>
        <w:t>Aitcho</w:t>
      </w:r>
      <w:proofErr w:type="spellEnd"/>
      <w:r>
        <w:t>) Island as an ASMA</w:t>
      </w:r>
      <w:bookmarkEnd w:id="0"/>
    </w:p>
    <w:p w14:paraId="63DC6534" w14:textId="77777777" w:rsidR="004B4A60" w:rsidRPr="0057246E" w:rsidRDefault="007654E9" w:rsidP="00F75424">
      <w:pPr>
        <w:jc w:val="center"/>
      </w:pPr>
    </w:p>
    <w:p w14:paraId="192374FA" w14:textId="77777777" w:rsidR="004B4A60" w:rsidRPr="002F0A13" w:rsidRDefault="007654E9" w:rsidP="002F0A13"/>
    <w:p w14:paraId="004B62AE" w14:textId="77777777" w:rsidR="004B4A60" w:rsidRDefault="007654E9" w:rsidP="00F75424">
      <w:pPr>
        <w:jc w:val="center"/>
      </w:pPr>
      <w:bookmarkStart w:id="1" w:name="memo"/>
      <w:bookmarkEnd w:id="1"/>
    </w:p>
    <w:p w14:paraId="6715681A" w14:textId="77777777" w:rsidR="0097629D" w:rsidRDefault="007654E9" w:rsidP="00F75424">
      <w:pPr>
        <w:jc w:val="center"/>
      </w:pPr>
    </w:p>
    <w:p w14:paraId="3B47A4CF" w14:textId="77777777" w:rsidR="0097629D" w:rsidRDefault="007654E9" w:rsidP="00F75424">
      <w:pPr>
        <w:jc w:val="center"/>
      </w:pPr>
    </w:p>
    <w:p w14:paraId="468A68A0" w14:textId="77777777" w:rsidR="0097629D" w:rsidRDefault="007654E9" w:rsidP="00F75424">
      <w:pPr>
        <w:jc w:val="center"/>
      </w:pPr>
    </w:p>
    <w:p w14:paraId="46DC8A48" w14:textId="77777777" w:rsidR="0097629D" w:rsidRPr="00C26F2D" w:rsidRDefault="007654E9" w:rsidP="00F75424">
      <w:pPr>
        <w:jc w:val="center"/>
      </w:pPr>
    </w:p>
    <w:p w14:paraId="15B1C2ED" w14:textId="77777777" w:rsidR="004B4A60" w:rsidRPr="0057246E" w:rsidRDefault="007654E9" w:rsidP="004B4A60"/>
    <w:p w14:paraId="5F8FBE9C" w14:textId="77777777" w:rsidR="00C26F2D" w:rsidRDefault="007654E9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8904F93" w14:textId="33F40C2C" w:rsidR="004B4A60" w:rsidRDefault="007654E9" w:rsidP="00952E9F"/>
    <w:p w14:paraId="3C936AD2" w14:textId="77777777" w:rsidR="00DA5A0E" w:rsidRDefault="00DA5A0E" w:rsidP="00DA5A0E">
      <w:pPr>
        <w:pStyle w:val="ATSHeading2"/>
        <w:jc w:val="center"/>
        <w:outlineLvl w:val="0"/>
      </w:pPr>
      <w:proofErr w:type="spellStart"/>
      <w:r w:rsidRPr="00617AC1">
        <w:rPr>
          <w:i w:val="0"/>
          <w:sz w:val="32"/>
          <w:szCs w:val="24"/>
          <w:lang w:val="es-EC" w:eastAsia="zh-CN"/>
        </w:rPr>
        <w:t>Exploring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</w:t>
      </w:r>
      <w:proofErr w:type="spellStart"/>
      <w:r w:rsidRPr="00617AC1">
        <w:rPr>
          <w:i w:val="0"/>
          <w:sz w:val="32"/>
          <w:szCs w:val="24"/>
          <w:lang w:val="es-EC" w:eastAsia="zh-CN"/>
        </w:rPr>
        <w:t>the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</w:t>
      </w:r>
      <w:proofErr w:type="spellStart"/>
      <w:r w:rsidRPr="00617AC1">
        <w:rPr>
          <w:i w:val="0"/>
          <w:sz w:val="32"/>
          <w:szCs w:val="24"/>
          <w:lang w:val="es-EC" w:eastAsia="zh-CN"/>
        </w:rPr>
        <w:t>possibilities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</w:t>
      </w:r>
      <w:proofErr w:type="spellStart"/>
      <w:r w:rsidRPr="00617AC1">
        <w:rPr>
          <w:i w:val="0"/>
          <w:sz w:val="32"/>
          <w:szCs w:val="24"/>
          <w:lang w:val="es-EC" w:eastAsia="zh-CN"/>
        </w:rPr>
        <w:t>for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</w:t>
      </w:r>
      <w:proofErr w:type="spellStart"/>
      <w:r w:rsidRPr="00617AC1">
        <w:rPr>
          <w:i w:val="0"/>
          <w:sz w:val="32"/>
          <w:szCs w:val="24"/>
          <w:lang w:val="es-EC" w:eastAsia="zh-CN"/>
        </w:rPr>
        <w:t>the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</w:t>
      </w:r>
      <w:proofErr w:type="spellStart"/>
      <w:r w:rsidRPr="00617AC1">
        <w:rPr>
          <w:i w:val="0"/>
          <w:sz w:val="32"/>
          <w:szCs w:val="24"/>
          <w:lang w:val="es-EC" w:eastAsia="zh-CN"/>
        </w:rPr>
        <w:t>designation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</w:t>
      </w:r>
      <w:proofErr w:type="spellStart"/>
      <w:r w:rsidRPr="00617AC1">
        <w:rPr>
          <w:i w:val="0"/>
          <w:sz w:val="32"/>
          <w:szCs w:val="24"/>
          <w:lang w:val="es-EC" w:eastAsia="zh-CN"/>
        </w:rPr>
        <w:t>of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Barrientos (</w:t>
      </w:r>
      <w:proofErr w:type="spellStart"/>
      <w:r w:rsidRPr="00617AC1">
        <w:rPr>
          <w:i w:val="0"/>
          <w:sz w:val="32"/>
          <w:szCs w:val="24"/>
          <w:lang w:val="es-EC" w:eastAsia="zh-CN"/>
        </w:rPr>
        <w:t>Aitcho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) Island as </w:t>
      </w:r>
      <w:proofErr w:type="spellStart"/>
      <w:proofErr w:type="gramStart"/>
      <w:r w:rsidRPr="00617AC1">
        <w:rPr>
          <w:i w:val="0"/>
          <w:sz w:val="32"/>
          <w:szCs w:val="24"/>
          <w:lang w:val="es-EC" w:eastAsia="zh-CN"/>
        </w:rPr>
        <w:t>an</w:t>
      </w:r>
      <w:proofErr w:type="spellEnd"/>
      <w:r w:rsidRPr="00617AC1">
        <w:rPr>
          <w:i w:val="0"/>
          <w:sz w:val="32"/>
          <w:szCs w:val="24"/>
          <w:lang w:val="es-EC" w:eastAsia="zh-CN"/>
        </w:rPr>
        <w:t xml:space="preserve"> ASMA</w:t>
      </w:r>
      <w:proofErr w:type="gramEnd"/>
    </w:p>
    <w:p w14:paraId="7E75CCDB" w14:textId="77777777" w:rsidR="00DA5A0E" w:rsidRPr="00617AC1" w:rsidRDefault="00DA5A0E" w:rsidP="00DA5A0E">
      <w:pPr>
        <w:pStyle w:val="ATSHeading2"/>
        <w:outlineLvl w:val="0"/>
        <w:rPr>
          <w:bCs/>
        </w:rPr>
      </w:pPr>
      <w:proofErr w:type="spellStart"/>
      <w:r w:rsidRPr="00231FF1">
        <w:rPr>
          <w:lang w:val="es-EC" w:eastAsia="zh-CN"/>
        </w:rPr>
        <w:t>Summary</w:t>
      </w:r>
      <w:proofErr w:type="spellEnd"/>
      <w:r w:rsidRPr="00034DB4">
        <w:rPr>
          <w:bCs/>
        </w:rPr>
        <w:t xml:space="preserve"> </w:t>
      </w:r>
      <w:r w:rsidRPr="00034DB4">
        <w:rPr>
          <w:bCs/>
        </w:rPr>
        <w:tab/>
      </w:r>
    </w:p>
    <w:p w14:paraId="0840F435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Specially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(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ASMAs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), are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improving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coordination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enhance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collaboration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among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stakeholders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minimise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potential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negative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environmental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impacts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could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caused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human use. As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Deception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Admiralty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Bay,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ASMAs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could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include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sites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which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could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benefit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from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coordinated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efforts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. Barrientos (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Aitcho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) Island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among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15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visited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sites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Peninsula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Region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Since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2010, Ecuador has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conducting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island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possible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due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proximity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Ecuadorian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“Pedro Vicente Maldonado”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continued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interest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country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Results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developed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with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Spain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allowed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implementation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measures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presentation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IP and WP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ATCM.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Grounded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science-based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approach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Ecuador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wants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explore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possibilities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as </w:t>
      </w:r>
      <w:proofErr w:type="spellStart"/>
      <w:proofErr w:type="gram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ASMA</w:t>
      </w:r>
      <w:proofErr w:type="gram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Ecuador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confident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will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benefit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coordinated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implementation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long-term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programs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will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enhance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collaboration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among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</w:p>
    <w:p w14:paraId="3EE55877" w14:textId="77777777" w:rsidR="00DA5A0E" w:rsidRPr="00231FF1" w:rsidRDefault="00DA5A0E" w:rsidP="00DA5A0E">
      <w:pPr>
        <w:pStyle w:val="ATSHeading2"/>
        <w:outlineLvl w:val="0"/>
        <w:rPr>
          <w:lang w:val="es-EC" w:eastAsia="zh-CN"/>
        </w:rPr>
      </w:pPr>
      <w:proofErr w:type="spellStart"/>
      <w:r w:rsidRPr="00231FF1">
        <w:rPr>
          <w:lang w:val="es-EC" w:eastAsia="zh-CN"/>
        </w:rPr>
        <w:t>Background</w:t>
      </w:r>
      <w:proofErr w:type="spellEnd"/>
    </w:p>
    <w:p w14:paraId="7F7FA472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According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article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IV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Annex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V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Protocol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Environmental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Protection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Treaty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Specially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(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ASMAs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)</w:t>
      </w:r>
      <w:r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,</w:t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could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where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are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could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conducted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with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aims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“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assist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planning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coordination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avoid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possible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conflicts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improve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cooperation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between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minimise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environmental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impacts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”. Management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plans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constitute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tool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contributes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their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providing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among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others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specific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guidance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human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.</w:t>
      </w:r>
    </w:p>
    <w:p w14:paraId="5ED493BC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Deception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Island (M3, 2005)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Admiralty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Bay, King George Island (M2, 2006) are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examples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ASMA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through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collaboration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assistance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different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ASMAs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declared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because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their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outstanding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environmental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historical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scientific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aesthetic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values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Moreover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both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ASMAs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include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intense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use,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benefited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from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coordinated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efforts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clear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guidance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established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their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plans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. Barrientos (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Aitcho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) Island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among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15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visited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sites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Peninsula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Region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location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access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possibilities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developing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different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contributed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popularity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Complementary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island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constitutes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interesting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conducting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including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experimental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census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inventories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</w:p>
    <w:p w14:paraId="1C3489E9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Since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2010, Ecuador has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conducting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island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possible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due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proximity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Ecuadorian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“Pedro Vicente Maldonado”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continued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interest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country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supporting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actions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has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included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biodiversity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assessments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vegetation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inventories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soil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sampling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and experimental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assess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influence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human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wildlife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species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Drone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satellite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image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analyses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also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completed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producing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high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quality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resolution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maps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images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</w:p>
    <w:p w14:paraId="269B77BA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Results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contributed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complete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ecological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characterization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island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(Cajiao </w:t>
      </w:r>
      <w:r w:rsidRPr="00231FF1">
        <w:rPr>
          <w:rFonts w:ascii="Times New Roman" w:hAnsi="Times New Roman"/>
          <w:b w:val="0"/>
          <w:sz w:val="22"/>
          <w:szCs w:val="24"/>
          <w:lang w:val="es-EC" w:eastAsia="zh-CN"/>
        </w:rPr>
        <w:t>et al.,</w:t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2020)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generation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science-based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proposals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(Cajiao </w:t>
      </w:r>
      <w:r w:rsidRPr="00231FF1">
        <w:rPr>
          <w:rFonts w:ascii="Times New Roman" w:hAnsi="Times New Roman"/>
          <w:b w:val="0"/>
          <w:sz w:val="22"/>
          <w:szCs w:val="24"/>
          <w:lang w:val="es-EC" w:eastAsia="zh-CN"/>
        </w:rPr>
        <w:t>et al</w:t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., 2022).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other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because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Ecuador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Spain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have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presented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two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IP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four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WP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ATCM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recommending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measures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island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with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aims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avoid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long-term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impacts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due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human use.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Therefore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during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ATCM XXXIV, Ecuador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submitted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IP 0126, Manejo turístico para la isla Barrientos (Buenos Aires),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expressing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interest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lastRenderedPageBreak/>
        <w:t>in “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undertaking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Island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during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summer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season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”.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Two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years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later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at ATCM XXXV Ecuador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Spain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submitted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WP059,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Revised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Visited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Guidelines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: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Aitcho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Islands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(Hobart),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which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both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recommended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“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replacement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route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crossing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Closed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Area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B,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order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favour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recovery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vegetation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cover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close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track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and as a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precautionary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measure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”.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During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ATCM XXXVI Ecuador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Spain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presented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WP055,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Recovery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moss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communities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tracks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Island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proposal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(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Brussels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),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recommending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reopening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paths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“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implementation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measures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will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important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allow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adequate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guidance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groups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”.</w:t>
      </w:r>
    </w:p>
    <w:p w14:paraId="354CEA5F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At ATCM XXXIX Ecuador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Spain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presented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WP045,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Assessment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moss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communities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nearby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tracks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Aitcho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Island (Santiago),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during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ATCM XLI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both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presented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IP054,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Recovery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gram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status</w:t>
      </w:r>
      <w:proofErr w:type="gram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moss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communities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near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trails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Island (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Aitcho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Islands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) (Buenos Aires),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recommending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“continue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long-term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follow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-up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recolonisation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process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attempting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identify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possible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changes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morphology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flora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that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occur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plant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communities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”  </w:t>
      </w:r>
    </w:p>
    <w:p w14:paraId="62C80325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results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policy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papers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developed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demonstrate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importance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collaboration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among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need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long-term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aim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contribute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conservation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Considering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purpose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proofErr w:type="gram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ASMA</w:t>
      </w:r>
      <w:proofErr w:type="gram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importance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in Barrientos, Ecuador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keen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explore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possibilities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for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Island as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ASMA.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This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designation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will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benefit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coordinated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activities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implementation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long-term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monitoring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programs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and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will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enhance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collaboration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among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Parties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.</w:t>
      </w:r>
    </w:p>
    <w:p w14:paraId="2E2D8AF8" w14:textId="77777777" w:rsidR="00DA5A0E" w:rsidRPr="00231FF1" w:rsidRDefault="00DA5A0E" w:rsidP="00DA5A0E">
      <w:pPr>
        <w:pStyle w:val="ATSHeading2"/>
        <w:outlineLvl w:val="0"/>
        <w:rPr>
          <w:lang w:val="es-EC" w:eastAsia="zh-CN"/>
        </w:rPr>
      </w:pPr>
      <w:proofErr w:type="spellStart"/>
      <w:r w:rsidRPr="00231FF1">
        <w:rPr>
          <w:lang w:val="es-EC" w:eastAsia="zh-CN"/>
        </w:rPr>
        <w:t>References</w:t>
      </w:r>
      <w:proofErr w:type="spellEnd"/>
    </w:p>
    <w:p w14:paraId="24390E7B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fldChar w:fldCharType="begin" w:fldLock="1"/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instrText xml:space="preserve">ADDIN Mendeley Bibliography CSL_BIBLIOGRAPHY </w:instrText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fldChar w:fldCharType="separate"/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Cajiao, D., Albertos, B., Tejedo, P., Muñoz-Puelles, L., Garilleti, R., Lara, F., … Benayas, J. (2020). Assessing the conservation values and tourism threats in Barrientos Island, Antarctic Peninsula. Journal of Environmental Management, 266, 110593. https://doi.org/10.1016/J.JENVMAN.2020.110593</w:t>
      </w:r>
    </w:p>
    <w:p w14:paraId="3BED5BFA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fldChar w:fldCharType="end"/>
      </w: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Cajiao, D.,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Leung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Y.-F.,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Tejedo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P., Barbosa, A.,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Reck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G., &amp;; Benayas, J. (2022).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Behavioural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responses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two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penguin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species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human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presence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at Barrientos Island, a popular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 in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Peninsula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region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Science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13, 1–13. </w:t>
      </w:r>
      <w:hyperlink r:id="rId11" w:history="1">
        <w:r w:rsidRPr="00231FF1">
          <w:rPr>
            <w:rFonts w:ascii="Times New Roman" w:hAnsi="Times New Roman"/>
            <w:b w:val="0"/>
            <w:i w:val="0"/>
            <w:sz w:val="22"/>
            <w:szCs w:val="24"/>
            <w:lang w:val="es-EC" w:eastAsia="zh-CN"/>
          </w:rPr>
          <w:t>https://doi.org/10.1017/s0954102021000559</w:t>
        </w:r>
      </w:hyperlink>
    </w:p>
    <w:p w14:paraId="1BEE50C0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P.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Tejedo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J. Benayas, L.R. Pertierra, D. Cajiao, G.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Reck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M. Andrés-Abellán, C.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M.J.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Luciáñez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N. Enríquez, B. Albertos, F. Lara &amp; A.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Justel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How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correctly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human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impacts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?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Learned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lessons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from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Island.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Scientific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Committee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New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Zeland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2013. </w:t>
      </w:r>
    </w:p>
    <w:p w14:paraId="209CA1CE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P.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Tejedo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J. Benayas, L.R. Pertierra, D. Cajiao, G.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Reck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M. Andrés-Abellán, C.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Wic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M.J.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Luciáñez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N. Enríquez, B. Albertos, F. Lara &amp; A.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Justel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How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correctly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human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impacts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Antarctica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?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Learned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lessons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from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Barrientos Island.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XIth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SCAR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Biology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Symposium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. Barcelona, España. 2013.</w:t>
      </w:r>
    </w:p>
    <w:p w14:paraId="33F81D53" w14:textId="77777777" w:rsidR="00DA5A0E" w:rsidRPr="00231FF1" w:rsidRDefault="00DA5A0E" w:rsidP="00DA5A0E">
      <w:pPr>
        <w:pStyle w:val="ATSHeading2"/>
        <w:spacing w:before="120"/>
        <w:outlineLvl w:val="0"/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</w:pPr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Pablo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Tejedo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Belén Albertos, Daniela Cajiao, Laura Muñoz, Francisco Lara, Luis R. Pertierra, Javier Benayas,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Temporary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closures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of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Antarctic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sites as a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possible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management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tool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address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the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impacts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vegetation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by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trampling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. 5th International Polar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Tourism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Research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Network.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Raufarhöfn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NE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Iceland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, 29 August - 2 </w:t>
      </w:r>
      <w:proofErr w:type="spellStart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>September</w:t>
      </w:r>
      <w:proofErr w:type="spellEnd"/>
      <w:r w:rsidRPr="00231FF1">
        <w:rPr>
          <w:rFonts w:ascii="Times New Roman" w:hAnsi="Times New Roman"/>
          <w:b w:val="0"/>
          <w:i w:val="0"/>
          <w:sz w:val="22"/>
          <w:szCs w:val="24"/>
          <w:lang w:val="es-EC" w:eastAsia="zh-CN"/>
        </w:rPr>
        <w:t xml:space="preserve"> 2016</w:t>
      </w:r>
    </w:p>
    <w:p w14:paraId="3483BA6B" w14:textId="77777777" w:rsidR="00DA5A0E" w:rsidRDefault="00DA5A0E" w:rsidP="00952E9F"/>
    <w:sectPr w:rsidR="00DA5A0E" w:rsidSect="00283F0F">
      <w:headerReference w:type="default" r:id="rId12"/>
      <w:footerReference w:type="default" r:id="rId13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4A59" w14:textId="77777777" w:rsidR="00516F43" w:rsidRDefault="00DA5A0E">
      <w:r>
        <w:separator/>
      </w:r>
    </w:p>
  </w:endnote>
  <w:endnote w:type="continuationSeparator" w:id="0">
    <w:p w14:paraId="60C8FAE6" w14:textId="77777777" w:rsidR="00516F43" w:rsidRDefault="00DA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5D6E" w14:textId="77777777" w:rsidR="00FA0B9F" w:rsidRDefault="00DA5A0E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 w:rsidR="007654E9">
      <w:fldChar w:fldCharType="separate"/>
    </w:r>
    <w:r>
      <w:fldChar w:fldCharType="end"/>
    </w:r>
  </w:p>
  <w:p w14:paraId="243C3282" w14:textId="77777777" w:rsidR="00FA0B9F" w:rsidRDefault="007654E9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9DD0" w14:textId="77777777" w:rsidR="00FA0B9F" w:rsidRDefault="00DA5A0E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25436B7" w14:textId="6BE33E31" w:rsidR="00FA0B9F" w:rsidRDefault="007654E9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9DD8" w14:textId="77777777" w:rsidR="00E311C9" w:rsidRDefault="00DA5A0E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10C92EBB" w14:textId="77777777" w:rsidR="00E311C9" w:rsidRDefault="007654E9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7944" w14:textId="77777777" w:rsidR="00516F43" w:rsidRDefault="00DA5A0E">
      <w:r>
        <w:separator/>
      </w:r>
    </w:p>
  </w:footnote>
  <w:footnote w:type="continuationSeparator" w:id="0">
    <w:p w14:paraId="3A48CEEA" w14:textId="77777777" w:rsidR="00516F43" w:rsidRDefault="00DA5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D019CB" w14:paraId="5DBE85E4" w14:textId="77777777" w:rsidTr="00490760">
      <w:trPr>
        <w:trHeight w:val="344"/>
        <w:jc w:val="center"/>
      </w:trPr>
      <w:tc>
        <w:tcPr>
          <w:tcW w:w="5495" w:type="dxa"/>
        </w:tcPr>
        <w:p w14:paraId="65B66B1A" w14:textId="77777777" w:rsidR="00DB7C09" w:rsidRDefault="007654E9" w:rsidP="00F968D4"/>
      </w:tc>
      <w:tc>
        <w:tcPr>
          <w:tcW w:w="4253" w:type="dxa"/>
          <w:gridSpan w:val="2"/>
        </w:tcPr>
        <w:p w14:paraId="2237BBF5" w14:textId="77777777" w:rsidR="00DB7C09" w:rsidRPr="00BD47E4" w:rsidRDefault="00DA5A0E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4F3274FA" w14:textId="4C5F4886" w:rsidR="00DB7C09" w:rsidRPr="00BD47E4" w:rsidRDefault="00DA5A0E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12</w:t>
          </w:r>
          <w:bookmarkEnd w:id="3"/>
          <w:r w:rsidR="007654E9">
            <w:rPr>
              <w:b/>
              <w:sz w:val="32"/>
              <w:szCs w:val="32"/>
            </w:rPr>
            <w:t>0</w:t>
          </w:r>
        </w:p>
      </w:tc>
    </w:tr>
    <w:tr w:rsidR="00D019CB" w14:paraId="7FE4999C" w14:textId="77777777" w:rsidTr="00490760">
      <w:trPr>
        <w:trHeight w:val="2165"/>
        <w:jc w:val="center"/>
      </w:trPr>
      <w:tc>
        <w:tcPr>
          <w:tcW w:w="5495" w:type="dxa"/>
        </w:tcPr>
        <w:p w14:paraId="71236B52" w14:textId="77777777" w:rsidR="00490760" w:rsidRPr="00EE4D48" w:rsidRDefault="00DA5A0E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B5087DC" wp14:editId="1B78C5AF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064046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6D90D6A" w14:textId="77777777" w:rsidR="00490760" w:rsidRPr="00FE5146" w:rsidRDefault="00DA5A0E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D019CB" w14:paraId="1E5BB3EB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FE5EA7B" w14:textId="77777777" w:rsidR="00BD47E4" w:rsidRDefault="00DA5A0E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326177C8" w14:textId="77777777" w:rsidR="00BD47E4" w:rsidRDefault="00DA5A0E" w:rsidP="002C30DA">
          <w:pPr>
            <w:jc w:val="right"/>
          </w:pPr>
          <w:bookmarkStart w:id="4" w:name="agenda"/>
          <w:r>
            <w:t>CEP 9a</w:t>
          </w:r>
          <w:bookmarkEnd w:id="4"/>
        </w:p>
      </w:tc>
      <w:tc>
        <w:tcPr>
          <w:tcW w:w="390" w:type="dxa"/>
        </w:tcPr>
        <w:p w14:paraId="603CFA50" w14:textId="77777777" w:rsidR="00BD47E4" w:rsidRDefault="007654E9" w:rsidP="00387A65">
          <w:pPr>
            <w:jc w:val="right"/>
          </w:pPr>
        </w:p>
      </w:tc>
    </w:tr>
    <w:tr w:rsidR="00D019CB" w14:paraId="50D9CF88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3F120494" w14:textId="77777777" w:rsidR="00BD47E4" w:rsidRDefault="00DA5A0E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3146832C" w14:textId="77777777" w:rsidR="00BD47E4" w:rsidRDefault="00DA5A0E" w:rsidP="002C30DA">
          <w:pPr>
            <w:jc w:val="right"/>
          </w:pPr>
          <w:bookmarkStart w:id="5" w:name="party"/>
          <w:r>
            <w:t>Ecuador</w:t>
          </w:r>
          <w:bookmarkEnd w:id="5"/>
        </w:p>
      </w:tc>
      <w:tc>
        <w:tcPr>
          <w:tcW w:w="390" w:type="dxa"/>
        </w:tcPr>
        <w:p w14:paraId="79230DEA" w14:textId="77777777" w:rsidR="00BD47E4" w:rsidRDefault="007654E9" w:rsidP="00387A65">
          <w:pPr>
            <w:jc w:val="right"/>
          </w:pPr>
        </w:p>
      </w:tc>
    </w:tr>
    <w:tr w:rsidR="00D019CB" w14:paraId="11727A64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EFB6242" w14:textId="77777777" w:rsidR="00BD47E4" w:rsidRDefault="00DA5A0E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1CF54D41" w14:textId="77777777" w:rsidR="00BD47E4" w:rsidRDefault="00DA5A0E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09A170D6" w14:textId="77777777" w:rsidR="00BD47E4" w:rsidRDefault="007654E9" w:rsidP="00387A65">
          <w:pPr>
            <w:jc w:val="right"/>
          </w:pPr>
        </w:p>
      </w:tc>
    </w:tr>
    <w:tr w:rsidR="00D019CB" w14:paraId="384F559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FCE0E17" w14:textId="77777777" w:rsidR="0097629D" w:rsidRDefault="00DA5A0E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4EFF784C" w14:textId="77777777" w:rsidR="0097629D" w:rsidRDefault="00DA5A0E" w:rsidP="0097629D">
          <w:pPr>
            <w:jc w:val="right"/>
          </w:pPr>
          <w:bookmarkStart w:id="7" w:name="date_submission"/>
          <w:r>
            <w:t>26/4/2022</w:t>
          </w:r>
          <w:bookmarkEnd w:id="7"/>
        </w:p>
      </w:tc>
      <w:tc>
        <w:tcPr>
          <w:tcW w:w="390" w:type="dxa"/>
        </w:tcPr>
        <w:p w14:paraId="39B6E3D6" w14:textId="77777777" w:rsidR="0097629D" w:rsidRDefault="007654E9" w:rsidP="00387A65">
          <w:pPr>
            <w:jc w:val="right"/>
          </w:pPr>
        </w:p>
      </w:tc>
    </w:tr>
  </w:tbl>
  <w:p w14:paraId="5694762C" w14:textId="77777777" w:rsidR="00AE5DD0" w:rsidRDefault="007654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498"/>
      <w:gridCol w:w="1528"/>
    </w:tblGrid>
    <w:tr w:rsidR="00D019CB" w14:paraId="32706E96" w14:textId="77777777" w:rsidTr="00DA5A0E">
      <w:trPr>
        <w:trHeight w:val="354"/>
        <w:jc w:val="center"/>
      </w:trPr>
      <w:tc>
        <w:tcPr>
          <w:tcW w:w="9498" w:type="dxa"/>
        </w:tcPr>
        <w:p w14:paraId="7A4C4FCA" w14:textId="7E7137C8" w:rsidR="00AE5DD0" w:rsidRPr="00BD47E4" w:rsidRDefault="00DA5A0E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528" w:type="dxa"/>
        </w:tcPr>
        <w:p w14:paraId="5C9DF297" w14:textId="3BDA3206" w:rsidR="00AE5DD0" w:rsidRPr="00BD47E4" w:rsidRDefault="00DA5A0E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12</w:t>
          </w:r>
          <w:r w:rsidR="007654E9">
            <w:rPr>
              <w:b/>
              <w:sz w:val="32"/>
              <w:szCs w:val="32"/>
            </w:rPr>
            <w:t>0</w:t>
          </w:r>
        </w:p>
      </w:tc>
    </w:tr>
  </w:tbl>
  <w:p w14:paraId="1E4F4144" w14:textId="77777777" w:rsidR="00AE5DD0" w:rsidRDefault="007654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FD60FFF0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912A2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8A5E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48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014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FC1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E7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B42E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EA0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CD00F2DE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73E2A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B2C7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04F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49E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005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283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00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EED6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1DBC11C2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9E04742A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E4D8E01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72024AA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D59450B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721AE624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71763774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B142E85A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855219F0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63E6DA8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E4BA72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A63D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AAE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B25E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4ECA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7E3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AE7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BE60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CF9ADA94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1D23700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53F09372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AA8180A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8FECEB54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BD1EA9B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3F0E629E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C7CEAC5E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1AE066E2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7A88199A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2043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9E9A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A47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43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E79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D26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0E2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6026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9531650">
    <w:abstractNumId w:val="9"/>
  </w:num>
  <w:num w:numId="2" w16cid:durableId="95906795">
    <w:abstractNumId w:val="7"/>
  </w:num>
  <w:num w:numId="3" w16cid:durableId="539053584">
    <w:abstractNumId w:val="6"/>
  </w:num>
  <w:num w:numId="4" w16cid:durableId="2113084469">
    <w:abstractNumId w:val="5"/>
  </w:num>
  <w:num w:numId="5" w16cid:durableId="1065567384">
    <w:abstractNumId w:val="4"/>
  </w:num>
  <w:num w:numId="6" w16cid:durableId="1223255647">
    <w:abstractNumId w:val="8"/>
  </w:num>
  <w:num w:numId="7" w16cid:durableId="382601633">
    <w:abstractNumId w:val="3"/>
  </w:num>
  <w:num w:numId="8" w16cid:durableId="687367944">
    <w:abstractNumId w:val="2"/>
  </w:num>
  <w:num w:numId="9" w16cid:durableId="141847113">
    <w:abstractNumId w:val="1"/>
  </w:num>
  <w:num w:numId="10" w16cid:durableId="1785035388">
    <w:abstractNumId w:val="0"/>
  </w:num>
  <w:num w:numId="11" w16cid:durableId="1969628310">
    <w:abstractNumId w:val="11"/>
  </w:num>
  <w:num w:numId="12" w16cid:durableId="1437139715">
    <w:abstractNumId w:val="15"/>
  </w:num>
  <w:num w:numId="13" w16cid:durableId="860095601">
    <w:abstractNumId w:val="14"/>
  </w:num>
  <w:num w:numId="14" w16cid:durableId="1104111652">
    <w:abstractNumId w:val="12"/>
  </w:num>
  <w:num w:numId="15" w16cid:durableId="1834178145">
    <w:abstractNumId w:val="13"/>
  </w:num>
  <w:num w:numId="16" w16cid:durableId="604073606">
    <w:abstractNumId w:val="10"/>
  </w:num>
  <w:num w:numId="17" w16cid:durableId="464860464">
    <w:abstractNumId w:val="11"/>
  </w:num>
  <w:num w:numId="18" w16cid:durableId="197741382">
    <w:abstractNumId w:val="15"/>
  </w:num>
  <w:num w:numId="19" w16cid:durableId="1185290972">
    <w:abstractNumId w:val="14"/>
  </w:num>
  <w:num w:numId="20" w16cid:durableId="17609781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CB"/>
    <w:rsid w:val="00516F43"/>
    <w:rsid w:val="007654E9"/>
    <w:rsid w:val="00D019CB"/>
    <w:rsid w:val="00D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B72A7"/>
  <w15:chartTrackingRefBased/>
  <w15:docId w15:val="{888A5049-D8D5-4290-8E61-46B7EF7A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7/s095410202100055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1043</Words>
  <Characters>6409</Characters>
  <Application>Microsoft Office Word</Application>
  <DocSecurity>0</DocSecurity>
  <Lines>53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5</cp:revision>
  <cp:lastPrinted>2008-01-22T18:20:00Z</cp:lastPrinted>
  <dcterms:created xsi:type="dcterms:W3CDTF">2020-11-26T16:54:00Z</dcterms:created>
  <dcterms:modified xsi:type="dcterms:W3CDTF">2022-04-26T22:39:00Z</dcterms:modified>
</cp:coreProperties>
</file>