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9147" w14:textId="77777777" w:rsidR="00C26F2D" w:rsidRDefault="00D96D47" w:rsidP="009E619D">
      <w:pPr>
        <w:rPr>
          <w:lang w:val="es-ES_tradnl"/>
        </w:rPr>
      </w:pPr>
    </w:p>
    <w:p w14:paraId="3015FC7A" w14:textId="77777777" w:rsidR="002F0A13" w:rsidRDefault="00D96D47" w:rsidP="004B4A60">
      <w:pPr>
        <w:rPr>
          <w:b/>
          <w:u w:val="single"/>
          <w:lang w:val="es-ES_tradnl"/>
        </w:rPr>
      </w:pPr>
    </w:p>
    <w:p w14:paraId="5683AA30" w14:textId="77777777" w:rsidR="002F0A13" w:rsidRDefault="00D96D47" w:rsidP="004B4A60">
      <w:pPr>
        <w:rPr>
          <w:b/>
          <w:u w:val="single"/>
          <w:lang w:val="es-ES_tradnl"/>
        </w:rPr>
      </w:pPr>
    </w:p>
    <w:p w14:paraId="1424E110" w14:textId="77777777" w:rsidR="002F0A13" w:rsidRDefault="00D96D47" w:rsidP="004B4A60">
      <w:pPr>
        <w:rPr>
          <w:b/>
          <w:u w:val="single"/>
          <w:lang w:val="es-ES_tradnl"/>
        </w:rPr>
      </w:pPr>
    </w:p>
    <w:p w14:paraId="65DACC52" w14:textId="77777777" w:rsidR="002F0A13" w:rsidRDefault="00D96D47" w:rsidP="004B4A60">
      <w:pPr>
        <w:rPr>
          <w:b/>
          <w:u w:val="single"/>
          <w:lang w:val="es-ES_tradnl"/>
        </w:rPr>
      </w:pPr>
    </w:p>
    <w:p w14:paraId="15DD57C2" w14:textId="77777777" w:rsidR="00C26F2D" w:rsidRDefault="00D96D47" w:rsidP="004B4A60">
      <w:pPr>
        <w:rPr>
          <w:b/>
          <w:u w:val="single"/>
          <w:lang w:val="es-ES_tradnl"/>
        </w:rPr>
      </w:pPr>
    </w:p>
    <w:p w14:paraId="677C6B84" w14:textId="77777777" w:rsidR="004B4A60" w:rsidRPr="00D96D47" w:rsidRDefault="00D96D47" w:rsidP="001B789F">
      <w:pPr>
        <w:pStyle w:val="ATSTitle"/>
      </w:pPr>
      <w:bookmarkStart w:id="0" w:name="name"/>
      <w:r>
        <w:t xml:space="preserve">Presence of SARS-CoV-2 in waste water in Antarctica and risk assessment.</w:t>
      </w:r>
      <w:bookmarkEnd w:id="0"/>
    </w:p>
    <w:p w14:paraId="2B359014" w14:textId="77777777" w:rsidR="004B4A60" w:rsidRPr="00D96D47" w:rsidRDefault="00D96D47" w:rsidP="00F75424">
      <w:pPr>
        <w:jc w:val="center"/>
        <w:rPr>
          <w:lang w:val="es-AR"/>
        </w:rPr>
      </w:pPr>
    </w:p>
    <w:p w14:paraId="40E52309" w14:textId="77777777" w:rsidR="004B4A60" w:rsidRPr="00D96D47" w:rsidRDefault="00D96D47" w:rsidP="002F0A13">
      <w:pPr>
        <w:rPr>
          <w:lang w:val="es-AR"/>
        </w:rPr>
      </w:pPr>
    </w:p>
    <w:p w14:paraId="317DECF5" w14:textId="77777777" w:rsidR="004B4A60" w:rsidRPr="00D96D47" w:rsidRDefault="00D96D47" w:rsidP="00F75424">
      <w:pPr>
        <w:jc w:val="center"/>
      </w:pPr>
      <w:bookmarkStart w:id="1" w:name="memo"/>
      <w:bookmarkEnd w:id="1"/>
    </w:p>
    <w:p w14:paraId="46F840EE" w14:textId="77777777" w:rsidR="004B4A60" w:rsidRPr="00D96D47" w:rsidRDefault="00D96D47" w:rsidP="004B4A60">
      <w:pPr>
        <w:rPr>
          <w:lang w:val="es-AR"/>
        </w:rPr>
      </w:pPr>
    </w:p>
    <w:p w14:paraId="3CDFC0B4" w14:textId="77777777" w:rsidR="00C26F2D" w:rsidRPr="00D96D47" w:rsidRDefault="00D96D47" w:rsidP="00952E9F">
      <w:pPr>
        <w:rPr>
          <w:lang w:val="es-AR"/>
        </w:rPr>
        <w:sectPr w:rsidR="00C26F2D" w:rsidRPr="00D96D47"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1D49598D" w14:textId="77777777" w:rsidR="00D96D47" w:rsidRPr="00C05EBA" w:rsidRDefault="00D96D47" w:rsidP="00D96D47">
      <w:pPr>
        <w:pBdr>
          <w:top w:val="nil"/>
          <w:left w:val="nil"/>
          <w:bottom w:val="nil"/>
          <w:right w:val="nil"/>
          <w:between w:val="nil"/>
        </w:pBdr>
        <w:spacing w:before="360" w:after="360"/>
        <w:jc w:val="center"/>
        <w:rPr>
          <w:b/>
          <w:color w:val="000000"/>
          <w:sz w:val="32"/>
          <w:szCs w:val="32"/>
          <w:rFonts w:ascii="Arial" w:eastAsia="Arial" w:hAnsi="Arial" w:cs="Arial"/>
        </w:rPr>
      </w:pPr>
      <w:r>
        <w:rPr>
          <w:b/>
          <w:sz w:val="32"/>
          <w:rFonts w:ascii="Arial" w:hAnsi="Arial"/>
        </w:rPr>
        <w:t xml:space="preserve">Presence of SARS-CoV-2 in waste water in Antarctica and risk assessment.</w:t>
      </w:r>
    </w:p>
    <w:p w14:paraId="21FD2F78" w14:textId="77777777" w:rsidR="00D96D47" w:rsidRPr="00C05EBA" w:rsidRDefault="00D96D47" w:rsidP="00D96D47">
      <w:pPr>
        <w:pBdr>
          <w:top w:val="nil"/>
          <w:left w:val="nil"/>
          <w:bottom w:val="nil"/>
          <w:right w:val="nil"/>
          <w:between w:val="nil"/>
        </w:pBdr>
        <w:spacing w:before="200" w:after="200"/>
        <w:jc w:val="both"/>
        <w:rPr>
          <w:sz w:val="20"/>
          <w:szCs w:val="20"/>
        </w:rPr>
      </w:pPr>
      <w:r>
        <w:rPr>
          <w:b/>
          <w:i/>
          <w:color w:val="000000"/>
          <w:sz w:val="24"/>
          <w:rFonts w:ascii="Arial" w:hAnsi="Arial"/>
        </w:rPr>
        <w:t xml:space="preserve">Summary</w:t>
      </w:r>
      <w:r>
        <w:rPr>
          <w:b/>
          <w:i/>
          <w:color w:val="000000"/>
          <w:sz w:val="24"/>
          <w:rFonts w:ascii="Arial" w:hAnsi="Arial"/>
        </w:rPr>
        <w:t xml:space="preserve"> </w:t>
      </w:r>
    </w:p>
    <w:p w14:paraId="0912DFBF" w14:textId="77777777" w:rsidR="00D96D47" w:rsidRPr="00C05EBA" w:rsidRDefault="00D96D47" w:rsidP="00D96D47">
      <w:pPr>
        <w:pBdr>
          <w:top w:val="nil"/>
          <w:left w:val="nil"/>
          <w:bottom w:val="nil"/>
          <w:right w:val="nil"/>
          <w:between w:val="nil"/>
        </w:pBdr>
        <w:spacing w:before="200" w:after="200"/>
      </w:pPr>
      <w:r>
        <w:t xml:space="preserve">The first outbreak of Covid-19 was reported at a Chilean base during the December 2020 Antarctic expedition.</w:t>
      </w:r>
      <w:r>
        <w:t xml:space="preserve">  </w:t>
      </w:r>
      <w:r>
        <w:t xml:space="preserve">This season, the Antarctic continent reported some positive cases of Covid-19 and the measures taken to prevent the entry of this virus with the National Antarctic Programmes (NAP) seem to be working, in addition to the successful vaccination programmes and quarantine measures.</w:t>
      </w:r>
      <w:r>
        <w:t xml:space="preserve">  </w:t>
      </w:r>
      <w:r>
        <w:t xml:space="preserve">The main concern of this global pandemic is limited to the health facilities available in the Antarctic bases to manage the disease, but the impact that the presence of the virus could have on the Antarctic fauna must be considered.</w:t>
      </w:r>
      <w:r>
        <w:t xml:space="preserve">  </w:t>
      </w:r>
      <w:r>
        <w:t xml:space="preserve">The monitoring carried out by our programme on samples obtained from the Frei, Escudero and O’Higgins Base waste management plants indicated the presence of genetic material of the SARS-CoV2 virus, subsequent environmental monitoring shows the non-presence of the virus in the Antarctic fauna.</w:t>
      </w:r>
    </w:p>
    <w:p w14:paraId="341E4B00" w14:textId="77777777" w:rsidR="00D96D47" w:rsidRPr="00C05EBA" w:rsidRDefault="00D96D47" w:rsidP="00D96D47">
      <w:pPr>
        <w:spacing w:before="200" w:after="200"/>
      </w:pPr>
      <w:r>
        <w:rPr>
          <w:b/>
          <w:i/>
          <w:sz w:val="24"/>
          <w:rFonts w:ascii="Arial" w:hAnsi="Arial"/>
        </w:rPr>
        <w:t xml:space="preserve">Context</w:t>
      </w:r>
    </w:p>
    <w:p w14:paraId="093003B7" w14:textId="77777777" w:rsidR="00D96D47" w:rsidRPr="00C05EBA" w:rsidRDefault="00D96D47" w:rsidP="00D96D47">
      <w:pPr>
        <w:spacing w:before="200" w:after="200"/>
      </w:pPr>
      <w:r>
        <w:t xml:space="preserve">Following the Covid-19 outbreaks detected at the Chilean station, our programme immediately implemented surveillance for the presence of the virus in the waste management plants.</w:t>
      </w:r>
      <w:r>
        <w:t xml:space="preserve"> </w:t>
      </w:r>
      <w:r>
        <w:t xml:space="preserve">The presence of SARS-CoV-2 in waste water is predictable because it can infect the gastrointestinal tract and is shed through the faeces of patients (Kitajima </w:t>
      </w:r>
      <w:r>
        <w:rPr>
          <w:i/>
          <w:iCs/>
        </w:rPr>
        <w:t xml:space="preserve">et al.</w:t>
      </w:r>
      <w:r>
        <w:t xml:space="preserve">,</w:t>
      </w:r>
      <w:r>
        <w:t xml:space="preserve"> </w:t>
      </w:r>
      <w:r>
        <w:t xml:space="preserve">2020; Kumar </w:t>
      </w:r>
      <w:r>
        <w:rPr>
          <w:i/>
          <w:iCs/>
        </w:rPr>
        <w:t xml:space="preserve">et al.</w:t>
      </w:r>
      <w:r>
        <w:t xml:space="preserve">,</w:t>
      </w:r>
      <w:r>
        <w:t xml:space="preserve"> </w:t>
      </w:r>
      <w:r>
        <w:t xml:space="preserve">2020).</w:t>
      </w:r>
      <w:r>
        <w:t xml:space="preserve"> </w:t>
      </w:r>
      <w:r>
        <w:t xml:space="preserve">For the most part, research on the destination of viruses in the aquatic environment has focused on enteric viruses, as these viruses are characterised by high resistance under various environmental conditions.</w:t>
      </w:r>
      <w:r>
        <w:t xml:space="preserve"> </w:t>
      </w:r>
      <w:r>
        <w:t xml:space="preserve">The number of studies on the destination of enveloped viruses in aquatic compartments, such as SARS-CoV-2, is quite limited, because enveloped viruses are predisposed to inactivation in water.</w:t>
      </w:r>
      <w:r>
        <w:t xml:space="preserve"> </w:t>
      </w:r>
      <w:r>
        <w:t xml:space="preserve">Virus persistence can be affected by environmental conditions (eg, surface, water, sewage) and by physical and chemical factors (eg, temperature, pH, humidity, exposure to sunlight and the type of surface).</w:t>
      </w:r>
      <w:r>
        <w:t xml:space="preserve"> </w:t>
      </w:r>
      <w:r>
        <w:t xml:space="preserve">Coronaviruses are not quantitatively significant components of marine virioplankton.</w:t>
      </w:r>
      <w:r>
        <w:t xml:space="preserve"> </w:t>
      </w:r>
      <w:r>
        <w:t xml:space="preserve">Members of the Nidovirales infect marine mammals, fish, and possibly invertebrates, and human coronaviruses can persist in marine plankton receiving sewage effluents.</w:t>
      </w:r>
      <w:r>
        <w:t xml:space="preserve"> </w:t>
      </w:r>
      <w:r>
        <w:t xml:space="preserve">However, virions are likely to experience a significant decrease in particle number and infectivity rate in seawater, similar to other enveloped RNA viruses.</w:t>
      </w:r>
    </w:p>
    <w:p w14:paraId="120B2640" w14:textId="77777777" w:rsidR="00D96D47" w:rsidRPr="00C05EBA" w:rsidRDefault="00D96D47" w:rsidP="00D96D47">
      <w:pPr>
        <w:spacing w:before="200" w:after="200"/>
      </w:pPr>
      <w:r>
        <w:t xml:space="preserve">As suggested by Barbosa </w:t>
      </w:r>
      <w:r>
        <w:rPr>
          <w:i/>
          <w:iCs/>
        </w:rPr>
        <w:t xml:space="preserve">et al.</w:t>
      </w:r>
      <w:r>
        <w:t xml:space="preserve"> </w:t>
      </w:r>
      <w:r>
        <w:t xml:space="preserve">(2020), the lack of information on susceptibility to SARS-CoV-2 is a significant knowledge gap for a risk assessment of the potential impacts of this virus on Antarctic fauna.</w:t>
      </w:r>
      <w:r>
        <w:t xml:space="preserve">  </w:t>
      </w:r>
      <w:r>
        <w:t xml:space="preserve">On the other hand, Damas </w:t>
      </w:r>
      <w:r>
        <w:rPr>
          <w:i/>
          <w:iCs/>
        </w:rPr>
        <w:t xml:space="preserve">et al.</w:t>
      </w:r>
      <w:r>
        <w:t xml:space="preserve"> </w:t>
      </w:r>
      <w:r>
        <w:t xml:space="preserve">(2020) report that in six species of pinnipeds the binding affinity of the ACE2 receptor is “very low”, suggesting that Antarctic pinnipeds might also have low susceptibility to SARS-CoV-2 infection.</w:t>
      </w:r>
      <w:r>
        <w:t xml:space="preserve"> </w:t>
      </w:r>
      <w:r>
        <w:t xml:space="preserve">However, it is important to note that the surviving virions can potentially infect cetaceans such as the Antarctic whale (Balaenoptera bonaerensis) and orca (Orcinus orca) because they share receptor-binding domains similar to the ACE2 protein, which in humans is the receptor that interacts with the virus and allows entry into tissues.</w:t>
      </w:r>
    </w:p>
    <w:p w14:paraId="50C72384" w14:textId="77777777" w:rsidR="00D96D47" w:rsidRPr="00C05EBA" w:rsidRDefault="00D96D47" w:rsidP="00D96D47">
      <w:pPr>
        <w:spacing w:before="200" w:after="200"/>
      </w:pPr>
      <w:r>
        <w:rPr>
          <w:b/>
          <w:i/>
          <w:sz w:val="24"/>
          <w:rFonts w:ascii="Arial" w:hAnsi="Arial"/>
        </w:rPr>
        <w:t xml:space="preserve">Response and monitoring</w:t>
      </w:r>
    </w:p>
    <w:p w14:paraId="02AA56A0" w14:textId="77777777" w:rsidR="00D96D47" w:rsidRPr="00C05EBA" w:rsidRDefault="00D96D47" w:rsidP="00D96D47">
      <w:pPr>
        <w:spacing w:before="200" w:after="200"/>
      </w:pPr>
      <w:r>
        <w:t xml:space="preserve">For this reason, our programme began monitoring the presence of SARS-CoV-2 in the waste water of the research stations (Escudero, Frei and O’Higgins) that had the Covid 19 outbreak event.</w:t>
      </w:r>
      <w:r>
        <w:t xml:space="preserve">  </w:t>
      </w:r>
      <w:r>
        <w:t xml:space="preserve">Waste water samples were taken from both the influent (inlet) and effluent (outlet).</w:t>
      </w:r>
      <w:r>
        <w:t xml:space="preserve">  </w:t>
      </w:r>
      <w:r>
        <w:t xml:space="preserve">To concentrate the virus from the waste water samples, the sample was flocculated using skimmed milk and NaCl.</w:t>
      </w:r>
      <w:r>
        <w:t xml:space="preserve"> </w:t>
      </w:r>
      <w:r>
        <w:t xml:space="preserve">After flocculation, RNA extractions were performed.</w:t>
      </w:r>
      <w:r>
        <w:t xml:space="preserve">  </w:t>
      </w:r>
      <w:r>
        <w:t xml:space="preserve">Viral RNA was detected by RT-qPCR, targeting the N1 and N2 genomic regions (nucleocapsid protein), E protein, and RdRP.</w:t>
      </w:r>
      <w:r>
        <w:t xml:space="preserve"> </w:t>
      </w:r>
      <w:r>
        <w:t xml:space="preserve">In addition, reaction inhibition tests were performed and the presence of a positive control corresponding to the human RNaseP gene was detected, which is an indicator of the presence of faecal material.</w:t>
      </w:r>
      <w:r>
        <w:t xml:space="preserve"> </w:t>
      </w:r>
    </w:p>
    <w:p w14:paraId="5BC9D92B" w14:textId="77777777" w:rsidR="00D96D47" w:rsidRPr="00C05EBA" w:rsidRDefault="00D96D47" w:rsidP="00D96D47">
      <w:pPr>
        <w:spacing w:before="200" w:after="200"/>
      </w:pPr>
      <w:r>
        <w:t xml:space="preserve">The presence of the virus was detected in all waste water samples, which was consistent with the presence of positive cases for Covid-19, confirmed by PCR.</w:t>
      </w:r>
      <w:r>
        <w:t xml:space="preserve"> </w:t>
      </w:r>
      <w:r>
        <w:t xml:space="preserve">At the Escudero and O’Higgins stations, a viral material signal for SARS-Cov2 was detected in the outlet pipe.</w:t>
      </w:r>
      <w:r>
        <w:t xml:space="preserve"> </w:t>
      </w:r>
      <w:r>
        <w:t xml:space="preserve">In contrast, this release was not detected at the Frei Base, perhaps due to the type of management, which is based on worms that act as biofilters.</w:t>
      </w:r>
      <w:r>
        <w:t xml:space="preserve"> </w:t>
      </w:r>
      <w:r>
        <w:t xml:space="preserve">In addition, the environmental sampling carried out during this Antarctic summer, from different environmental sources in the vicinity of the O’Higgins station, did not detect the presence of the SARS-Cov-2 virus.</w:t>
      </w:r>
    </w:p>
    <w:p w14:paraId="699D246E" w14:textId="77777777" w:rsidR="00D96D47" w:rsidRPr="00C05EBA" w:rsidRDefault="00D96D47" w:rsidP="00D96D47">
      <w:pPr>
        <w:spacing w:before="200" w:after="200"/>
      </w:pPr>
      <w:r>
        <w:t xml:space="preserve">During this season, environmental samples were collected in the vicinity of the O’Higgins base, the samples analysed did not detect the presence of SARS-Cov 2; on the contrary generic coronaviruses were detected.</w:t>
      </w:r>
    </w:p>
    <w:p w14:paraId="4C8B90B0" w14:textId="77777777" w:rsidR="00D96D47" w:rsidRPr="00C05EBA" w:rsidRDefault="00D96D47" w:rsidP="00D96D47">
      <w:pPr>
        <w:spacing w:before="200" w:after="200"/>
      </w:pPr>
      <w:r>
        <w:rPr>
          <w:b/>
          <w:i/>
          <w:sz w:val="24"/>
          <w:rFonts w:ascii="Arial" w:hAnsi="Arial"/>
        </w:rPr>
        <w:t xml:space="preserve">Recommendations</w:t>
      </w:r>
    </w:p>
    <w:p w14:paraId="213A8C07" w14:textId="77777777" w:rsidR="00D96D47" w:rsidRPr="00C05EBA" w:rsidRDefault="00D96D47" w:rsidP="00D96D47">
      <w:pPr>
        <w:spacing w:before="200" w:after="200"/>
      </w:pPr>
      <w:r>
        <w:t xml:space="preserve">Based on the various literature reviews and scientific evidence obtained to date, it is important to try to optimise water treatment plant systems to make them more efficient and incorporate state-of-the-art technologies.</w:t>
      </w:r>
      <w:r>
        <w:t xml:space="preserve"> </w:t>
      </w:r>
      <w:r>
        <w:t xml:space="preserve">Consideration may be given to adding a final disinfection step to further reduce the risk posed by viral pathogens, such as SARS-CoV-2, prior to discharge into the sea, such as a water ozoniser.</w:t>
      </w:r>
    </w:p>
    <w:p w14:paraId="5E1AA515" w14:textId="77777777" w:rsidR="00D96D47" w:rsidRPr="00C05EBA" w:rsidRDefault="00D96D47" w:rsidP="00D96D47">
      <w:pPr>
        <w:spacing w:before="200" w:after="200"/>
      </w:pPr>
      <w:r>
        <w:t xml:space="preserve">Continue surveillance for the presence of SARS-CoV-2 in waste water from cruise ships, research stations and research ships.</w:t>
      </w:r>
    </w:p>
    <w:p w14:paraId="3F3C0DD7" w14:textId="77777777" w:rsidR="00D96D47" w:rsidRPr="00C05EBA" w:rsidRDefault="00D96D47" w:rsidP="00D96D47">
      <w:pPr>
        <w:spacing w:before="200" w:after="200"/>
      </w:pPr>
      <w:r>
        <w:t xml:space="preserve">It is also recommended to continue monitoring the presence of SARS-CoV-2 in the ecosystem at different levels of the Antarctic food web.</w:t>
      </w:r>
    </w:p>
    <w:p w14:paraId="7DEBCA91" w14:textId="77777777" w:rsidR="00D96D47" w:rsidRDefault="00D96D47" w:rsidP="00D96D47">
      <w:pPr>
        <w:spacing w:before="200" w:after="200"/>
      </w:pPr>
      <w:r>
        <w:rPr>
          <w:b/>
          <w:i/>
          <w:sz w:val="24"/>
          <w:rFonts w:ascii="Arial" w:hAnsi="Arial"/>
        </w:rPr>
        <w:t xml:space="preserve">References</w:t>
      </w:r>
    </w:p>
    <w:p w14:paraId="59C7183B" w14:textId="77777777" w:rsidR="00D96D47" w:rsidRDefault="00D96D47" w:rsidP="00D96D47">
      <w:pPr>
        <w:spacing w:before="200" w:after="200"/>
      </w:pPr>
      <w:r>
        <w:t xml:space="preserve">Barbosa, A., A. Varsani, V. Morandini, </w:t>
      </w:r>
      <w:r>
        <w:rPr>
          <w:i/>
          <w:iCs/>
        </w:rPr>
        <w:t xml:space="preserve">et al.</w:t>
      </w:r>
      <w:r>
        <w:t xml:space="preserve">, (2020) Risk assessment of SARS-CoV-2 in Antarctic wildlife, Science of the Total Environment, https://doi.org/10.1016/j.scitotenv.2020.143352</w:t>
      </w:r>
    </w:p>
    <w:p w14:paraId="45F97D81" w14:textId="77777777" w:rsidR="00D96D47" w:rsidRDefault="00D96D47" w:rsidP="00D96D47">
      <w:pPr>
        <w:spacing w:before="200" w:after="200"/>
      </w:pPr>
      <w:r>
        <w:t xml:space="preserve">Damas, J., Hughes, G.M., Keough, K.C., Painter, C.A., Persky, N.S., Corbo, M., Hiller, M., Koepfli, K.-P., Pfenning, A.R., Zhao, H., Genereux, D.P., Swofford, R., Pollard, K.S., Ryder, O.A., Nweeia, M.T., Lindblad-Toh, K., Teeling, E.C., Karlsson, E.K., Lewin, H.A.</w:t>
      </w:r>
      <w:r>
        <w:t xml:space="preserve"> </w:t>
      </w:r>
      <w:r>
        <w:t xml:space="preserve">(2020).</w:t>
      </w:r>
      <w:r>
        <w:t xml:space="preserve"> </w:t>
      </w:r>
      <w:r>
        <w:t xml:space="preserve">Broad host range of SARS-CoV-2 predicted by comparative and structural analysis of ACE2 in vertebrates.</w:t>
      </w:r>
      <w:r>
        <w:t xml:space="preserve"> </w:t>
      </w:r>
      <w:r>
        <w:t xml:space="preserve">Proc.</w:t>
      </w:r>
      <w:r>
        <w:t xml:space="preserve"> </w:t>
      </w:r>
      <w:r>
        <w:t xml:space="preserve">Natl.</w:t>
      </w:r>
      <w:r>
        <w:t xml:space="preserve"> </w:t>
      </w:r>
      <w:r>
        <w:t xml:space="preserve">Acad.</w:t>
      </w:r>
      <w:r>
        <w:t xml:space="preserve"> </w:t>
      </w:r>
      <w:r>
        <w:t xml:space="preserve">Sci.</w:t>
      </w:r>
      <w:r>
        <w:t xml:space="preserve"> </w:t>
      </w:r>
      <w:r>
        <w:t xml:space="preserve">U.S.A.</w:t>
      </w:r>
      <w:r>
        <w:t xml:space="preserve"> </w:t>
      </w:r>
      <w:r>
        <w:t xml:space="preserve">8 (117(36)), 22311–22322. https://doi.org/10.1073/pnas.2010146117.</w:t>
      </w:r>
    </w:p>
    <w:p w14:paraId="0F509130" w14:textId="77777777" w:rsidR="00D96D47" w:rsidRDefault="00D96D47" w:rsidP="00D96D47">
      <w:pPr>
        <w:spacing w:before="200" w:after="200"/>
      </w:pPr>
      <w:r>
        <w:t xml:space="preserve">Kitajima, M., Ahmed, W., Bibby, K., Carducci, A., Gerba, C.P., Hamilton, K.A., Haramoto, E., &amp; Rose, J.B. (2020).</w:t>
      </w:r>
      <w:r>
        <w:t xml:space="preserve"> </w:t>
      </w:r>
      <w:r>
        <w:t xml:space="preserve">SARS-CoV-2 in waste water:</w:t>
      </w:r>
      <w:r>
        <w:t xml:space="preserve"> </w:t>
      </w:r>
      <w:r>
        <w:t xml:space="preserve">State of the knowledge and research needs.</w:t>
      </w:r>
      <w:r>
        <w:t xml:space="preserve"> </w:t>
      </w:r>
      <w:r>
        <w:t xml:space="preserve">The Science of the total environment, 739, 139076. https://doi.org/10.1016/j.scitotenv.2020.139076</w:t>
      </w:r>
    </w:p>
    <w:p w14:paraId="20DE9151" w14:textId="77777777" w:rsidR="00D96D47" w:rsidRDefault="00D96D47" w:rsidP="00D96D47">
      <w:pPr>
        <w:spacing w:before="200" w:after="200"/>
      </w:pPr>
      <w:r>
        <w:t xml:space="preserve">Kumar, M., Alamin, M., Kuroda, K., Dhangar, K., Hata, A., Yamaguchi, H., </w:t>
      </w:r>
      <w:r>
        <w:rPr>
          <w:i/>
          <w:iCs/>
        </w:rPr>
        <w:t xml:space="preserve">et al.</w:t>
      </w:r>
      <w:r>
        <w:t xml:space="preserve"> </w:t>
      </w:r>
      <w:r>
        <w:t xml:space="preserve">(2021).</w:t>
      </w:r>
      <w:r>
        <w:t xml:space="preserve"> </w:t>
      </w:r>
      <w:r>
        <w:t xml:space="preserve">Potential discharge, attenuation and exposure risk of SARS-CoV-2 in natural water bodies receiving treated waste water.</w:t>
      </w:r>
      <w:r>
        <w:t xml:space="preserve"> </w:t>
      </w:r>
      <w:r>
        <w:t xml:space="preserve">NPJ Clean Water 4:8. doi:</w:t>
      </w:r>
      <w:r>
        <w:t xml:space="preserve"> </w:t>
      </w:r>
      <w:r>
        <w:t xml:space="preserve">10.1038/s41545-021-00098-2</w:t>
      </w:r>
    </w:p>
    <w:p w14:paraId="57B386DB" w14:textId="77777777" w:rsidR="00D96D47" w:rsidRPr="00D96D47" w:rsidRDefault="00D96D47" w:rsidP="00952E9F">
      <w:pPr>
        <w:rPr>
          <w:lang w:val="es-AR"/>
        </w:rPr>
      </w:pPr>
    </w:p>
    <w:sectPr w:rsidR="00D96D47" w:rsidRPr="00D96D47"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50C8E" w14:textId="77777777" w:rsidR="00000000" w:rsidRDefault="00D96D47">
      <w:r>
        <w:separator/>
      </w:r>
    </w:p>
  </w:endnote>
  <w:endnote w:type="continuationSeparator" w:id="0">
    <w:p w14:paraId="4D265D76" w14:textId="77777777" w:rsidR="00000000" w:rsidRDefault="00D9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4CDA5" w14:textId="77777777" w:rsidR="00FA0B9F" w:rsidRDefault="00D96D47" w:rsidP="00CF5C82">
    <w:pPr>
      <w:framePr w:wrap="around" w:vAnchor="text" w:hAnchor="margin" w:xAlign="right" w:y="1"/>
    </w:pPr>
    <w:r>
      <w:fldChar w:fldCharType="begin"/>
    </w:r>
    <w:r>
      <w:instrText xml:space="preserve">PAGE  </w:instrText>
    </w:r>
    <w:r>
      <w:fldChar w:fldCharType="separate"/>
    </w:r>
    <w:r>
      <w:fldChar w:fldCharType="end"/>
    </w:r>
  </w:p>
  <w:p w14:paraId="21421314" w14:textId="77777777" w:rsidR="00FA0B9F" w:rsidRDefault="00D96D4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2FCB8" w14:textId="77777777" w:rsidR="00FA0B9F" w:rsidRDefault="00D96D47" w:rsidP="00CF5C82">
    <w:pPr>
      <w:framePr w:wrap="around" w:vAnchor="text" w:hAnchor="margin" w:xAlign="right" w:y="1"/>
    </w:pPr>
    <w:r>
      <w:fldChar w:fldCharType="begin"/>
    </w:r>
    <w:r>
      <w:instrText xml:space="preserve">PAGE  </w:instrText>
    </w:r>
    <w:r>
      <w:fldChar w:fldCharType="separate"/>
    </w:r>
    <w:r>
      <w:t>1</w:t>
    </w:r>
    <w:r>
      <w:fldChar w:fldCharType="end"/>
    </w:r>
  </w:p>
  <w:p w14:paraId="14560C9E" w14:textId="4D0177E8" w:rsidR="00FA0B9F" w:rsidRDefault="00D96D47" w:rsidP="00D96D4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9032" w14:textId="77777777" w:rsidR="00E311C9" w:rsidRDefault="00D96D47" w:rsidP="00CF5C82">
    <w:pPr>
      <w:framePr w:wrap="around" w:vAnchor="text" w:hAnchor="margin" w:xAlign="right" w:y="1"/>
    </w:pPr>
    <w:r>
      <w:fldChar w:fldCharType="begin"/>
    </w:r>
    <w:r>
      <w:instrText xml:space="preserve">PAGE  </w:instrText>
    </w:r>
    <w:r>
      <w:fldChar w:fldCharType="separate"/>
    </w:r>
    <w:r>
      <w:t>3</w:t>
    </w:r>
    <w:r>
      <w:fldChar w:fldCharType="end"/>
    </w:r>
  </w:p>
  <w:p w14:paraId="7F218276" w14:textId="77777777" w:rsidR="00E311C9" w:rsidRDefault="00D96D4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AB95" w14:textId="77777777" w:rsidR="00000000" w:rsidRDefault="00D96D47">
      <w:r>
        <w:separator/>
      </w:r>
    </w:p>
  </w:footnote>
  <w:footnote w:type="continuationSeparator" w:id="0">
    <w:p w14:paraId="04F90AB9" w14:textId="77777777" w:rsidR="00000000" w:rsidRDefault="00D96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850BED" w14:paraId="177E0E99" w14:textId="77777777" w:rsidTr="00AC010C">
      <w:trPr>
        <w:trHeight w:val="354"/>
        <w:jc w:val="center"/>
      </w:trPr>
      <w:tc>
        <w:tcPr>
          <w:tcW w:w="5672" w:type="dxa"/>
        </w:tcPr>
        <w:p w14:paraId="11267676" w14:textId="77777777" w:rsidR="00C449BA" w:rsidRDefault="00D96D47" w:rsidP="002A07BC"/>
      </w:tc>
      <w:tc>
        <w:tcPr>
          <w:tcW w:w="4070" w:type="dxa"/>
          <w:gridSpan w:val="2"/>
        </w:tcPr>
        <w:p w14:paraId="0B9B4824" w14:textId="77777777" w:rsidR="00C449BA" w:rsidRPr="000A4CD7" w:rsidRDefault="00D96D47" w:rsidP="002A07BC">
          <w:pPr>
            <w:jc w:val="right"/>
            <w:rPr>
              <w:b/>
              <w:sz w:val="32"/>
              <w:szCs w:val="32"/>
            </w:rPr>
          </w:pPr>
          <w:bookmarkStart w:id="2" w:name="type"/>
          <w:r>
            <w:rPr>
              <w:b/>
              <w:sz w:val="32"/>
            </w:rPr>
            <w:t xml:space="preserve">IP</w:t>
          </w:r>
          <w:bookmarkEnd w:id="2"/>
        </w:p>
      </w:tc>
      <w:tc>
        <w:tcPr>
          <w:tcW w:w="1600" w:type="dxa"/>
          <w:gridSpan w:val="2"/>
        </w:tcPr>
        <w:p w14:paraId="5F2B3430" w14:textId="77777777" w:rsidR="00C449BA" w:rsidRPr="000A4CD7" w:rsidRDefault="00D96D47" w:rsidP="002A07BC">
          <w:pPr>
            <w:rPr>
              <w:b/>
              <w:sz w:val="32"/>
              <w:szCs w:val="32"/>
            </w:rPr>
          </w:pPr>
          <w:bookmarkStart w:id="3" w:name="number"/>
          <w:r>
            <w:rPr>
              <w:b/>
              <w:sz w:val="32"/>
            </w:rPr>
            <w:t xml:space="preserve">18</w:t>
          </w:r>
          <w:bookmarkEnd w:id="3"/>
        </w:p>
      </w:tc>
    </w:tr>
    <w:tr w:rsidR="00850BED" w14:paraId="1CB254BF" w14:textId="77777777" w:rsidTr="00AC010C">
      <w:trPr>
        <w:trHeight w:val="2244"/>
        <w:jc w:val="center"/>
      </w:trPr>
      <w:tc>
        <w:tcPr>
          <w:tcW w:w="5672" w:type="dxa"/>
        </w:tcPr>
        <w:p w14:paraId="5A02D268" w14:textId="77777777" w:rsidR="002169D4" w:rsidRPr="00550FDE" w:rsidRDefault="00D96D47" w:rsidP="002A07BC">
          <w:pPr>
            <w:rPr>
              <w:b/>
              <w:sz w:val="28"/>
              <w:szCs w:val="28"/>
            </w:rPr>
          </w:pPr>
          <w:r>
            <w:drawing>
              <wp:inline distT="0" distB="0" distL="0" distR="0" wp14:anchorId="2D9335E8" wp14:editId="0387CC8B">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2154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394EBCEB" w14:textId="77777777" w:rsidR="002169D4" w:rsidRPr="002169D4" w:rsidRDefault="00D96D47" w:rsidP="002169D4">
          <w:pPr>
            <w:jc w:val="right"/>
            <w:rPr>
              <w:sz w:val="144"/>
              <w:szCs w:val="144"/>
            </w:rPr>
          </w:pPr>
          <w:r>
            <w:rPr>
              <w:sz w:val="144"/>
            </w:rPr>
            <w:t xml:space="preserve">ENG</w:t>
          </w:r>
        </w:p>
      </w:tc>
    </w:tr>
    <w:tr w:rsidR="00850BED" w14:paraId="36341F8D" w14:textId="77777777" w:rsidTr="00AC010C">
      <w:trPr>
        <w:trHeight w:val="420"/>
        <w:jc w:val="center"/>
      </w:trPr>
      <w:tc>
        <w:tcPr>
          <w:tcW w:w="8500" w:type="dxa"/>
          <w:gridSpan w:val="2"/>
        </w:tcPr>
        <w:p w14:paraId="0069E0E8" w14:textId="77777777" w:rsidR="000A4CD7" w:rsidRDefault="00D96D47" w:rsidP="008D2157">
          <w:pPr>
            <w:jc w:val="right"/>
          </w:pPr>
          <w:r>
            <w:t xml:space="preserve">Agenda Item:</w:t>
          </w:r>
        </w:p>
      </w:tc>
      <w:tc>
        <w:tcPr>
          <w:tcW w:w="2233" w:type="dxa"/>
          <w:gridSpan w:val="2"/>
        </w:tcPr>
        <w:p w14:paraId="78E5DCA0" w14:textId="77777777" w:rsidR="000A4CD7" w:rsidRDefault="00D96D47" w:rsidP="008D2157">
          <w:pPr>
            <w:jc w:val="right"/>
          </w:pPr>
          <w:bookmarkStart w:id="4" w:name="agenda"/>
          <w:r>
            <w:t xml:space="preserve">13th ATCM</w:t>
          </w:r>
          <w:bookmarkEnd w:id="4"/>
        </w:p>
      </w:tc>
      <w:tc>
        <w:tcPr>
          <w:tcW w:w="609" w:type="dxa"/>
        </w:tcPr>
        <w:p w14:paraId="254DD6BF" w14:textId="77777777" w:rsidR="000A4CD7" w:rsidRDefault="00D96D47" w:rsidP="00387A65">
          <w:pPr>
            <w:jc w:val="right"/>
          </w:pPr>
        </w:p>
      </w:tc>
    </w:tr>
    <w:tr w:rsidR="00850BED" w14:paraId="28E3E273" w14:textId="77777777" w:rsidTr="00AC010C">
      <w:trPr>
        <w:trHeight w:val="408"/>
        <w:jc w:val="center"/>
      </w:trPr>
      <w:tc>
        <w:tcPr>
          <w:tcW w:w="8500" w:type="dxa"/>
          <w:gridSpan w:val="2"/>
        </w:tcPr>
        <w:p w14:paraId="08AB269D" w14:textId="77777777" w:rsidR="000A4CD7" w:rsidRDefault="00D96D47" w:rsidP="008D2157">
          <w:pPr>
            <w:jc w:val="right"/>
          </w:pPr>
          <w:r>
            <w:t xml:space="preserve">Submitted by:</w:t>
          </w:r>
        </w:p>
      </w:tc>
      <w:tc>
        <w:tcPr>
          <w:tcW w:w="2233" w:type="dxa"/>
          <w:gridSpan w:val="2"/>
        </w:tcPr>
        <w:p w14:paraId="28F505F7" w14:textId="77777777" w:rsidR="000A4CD7" w:rsidRDefault="00D96D47" w:rsidP="008D2157">
          <w:pPr>
            <w:jc w:val="right"/>
          </w:pPr>
          <w:bookmarkStart w:id="5" w:name="party"/>
          <w:r>
            <w:t xml:space="preserve">Chile</w:t>
          </w:r>
          <w:bookmarkEnd w:id="5"/>
        </w:p>
      </w:tc>
      <w:tc>
        <w:tcPr>
          <w:tcW w:w="609" w:type="dxa"/>
        </w:tcPr>
        <w:p w14:paraId="5AF29FA8" w14:textId="77777777" w:rsidR="000A4CD7" w:rsidRDefault="00D96D47" w:rsidP="00387A65">
          <w:pPr>
            <w:jc w:val="right"/>
          </w:pPr>
        </w:p>
      </w:tc>
    </w:tr>
    <w:tr w:rsidR="00850BED" w14:paraId="39F8C7CA" w14:textId="77777777" w:rsidTr="00AC010C">
      <w:trPr>
        <w:trHeight w:val="420"/>
        <w:jc w:val="center"/>
      </w:trPr>
      <w:tc>
        <w:tcPr>
          <w:tcW w:w="8500" w:type="dxa"/>
          <w:gridSpan w:val="2"/>
        </w:tcPr>
        <w:p w14:paraId="49731744" w14:textId="77777777" w:rsidR="000A4CD7" w:rsidRDefault="00D96D47" w:rsidP="008D2157">
          <w:pPr>
            <w:jc w:val="right"/>
          </w:pPr>
          <w:r>
            <w:t xml:space="preserve">Original:</w:t>
          </w:r>
        </w:p>
      </w:tc>
      <w:tc>
        <w:tcPr>
          <w:tcW w:w="2233" w:type="dxa"/>
          <w:gridSpan w:val="2"/>
        </w:tcPr>
        <w:p w14:paraId="5F505C19" w14:textId="77777777" w:rsidR="000A4CD7" w:rsidRDefault="00D96D47" w:rsidP="008D2157">
          <w:pPr>
            <w:jc w:val="right"/>
          </w:pPr>
          <w:bookmarkStart w:id="6" w:name="language"/>
          <w:r>
            <w:t xml:space="preserve">Spanish</w:t>
          </w:r>
          <w:bookmarkEnd w:id="6"/>
        </w:p>
      </w:tc>
      <w:tc>
        <w:tcPr>
          <w:tcW w:w="609" w:type="dxa"/>
        </w:tcPr>
        <w:p w14:paraId="28EA2777" w14:textId="77777777" w:rsidR="000A4CD7" w:rsidRDefault="00D96D47" w:rsidP="00387A65">
          <w:pPr>
            <w:jc w:val="right"/>
          </w:pPr>
        </w:p>
      </w:tc>
    </w:tr>
    <w:tr w:rsidR="00850BED" w14:paraId="3E2E4F5C" w14:textId="77777777" w:rsidTr="00AC010C">
      <w:trPr>
        <w:trHeight w:val="420"/>
        <w:jc w:val="center"/>
      </w:trPr>
      <w:tc>
        <w:tcPr>
          <w:tcW w:w="8500" w:type="dxa"/>
          <w:gridSpan w:val="2"/>
        </w:tcPr>
        <w:p w14:paraId="181555C5" w14:textId="77777777" w:rsidR="00965EDE" w:rsidRDefault="00D96D47" w:rsidP="008D2157">
          <w:pPr>
            <w:jc w:val="right"/>
          </w:pPr>
          <w:r>
            <w:t xml:space="preserve">Submitted:</w:t>
          </w:r>
        </w:p>
      </w:tc>
      <w:tc>
        <w:tcPr>
          <w:tcW w:w="2233" w:type="dxa"/>
          <w:gridSpan w:val="2"/>
        </w:tcPr>
        <w:p w14:paraId="058821B0" w14:textId="77777777" w:rsidR="00965EDE" w:rsidRDefault="00D96D47" w:rsidP="008D2157">
          <w:pPr>
            <w:jc w:val="right"/>
          </w:pPr>
          <w:bookmarkStart w:id="7" w:name="date_submission"/>
          <w:r>
            <w:t xml:space="preserve">14 Apr 2023</w:t>
          </w:r>
          <w:bookmarkEnd w:id="7"/>
        </w:p>
      </w:tc>
      <w:tc>
        <w:tcPr>
          <w:tcW w:w="609" w:type="dxa"/>
        </w:tcPr>
        <w:p w14:paraId="52811C7A" w14:textId="77777777" w:rsidR="00965EDE" w:rsidRDefault="00D96D47" w:rsidP="00387A65">
          <w:pPr>
            <w:jc w:val="right"/>
          </w:pPr>
        </w:p>
      </w:tc>
    </w:tr>
  </w:tbl>
  <w:p w14:paraId="11A74A80" w14:textId="77777777" w:rsidR="00AE5DD0" w:rsidRDefault="00D96D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50BED" w14:paraId="3B99E8E9" w14:textId="77777777">
      <w:trPr>
        <w:trHeight w:val="354"/>
        <w:jc w:val="center"/>
      </w:trPr>
      <w:tc>
        <w:tcPr>
          <w:tcW w:w="9694" w:type="dxa"/>
        </w:tcPr>
        <w:p w14:paraId="0CC40A4C" w14:textId="68C44342" w:rsidR="00AE5DD0" w:rsidRPr="000A4CD7" w:rsidRDefault="00D96D47" w:rsidP="00C26F2D">
          <w:pPr>
            <w:jc w:val="right"/>
            <w:rPr>
              <w:b/>
              <w:sz w:val="32"/>
              <w:szCs w:val="32"/>
            </w:rPr>
          </w:pPr>
          <w:r>
            <w:rPr>
              <w:b/>
              <w:sz w:val="32"/>
            </w:rPr>
            <w:t xml:space="preserve">IP</w:t>
          </w:r>
        </w:p>
      </w:tc>
      <w:tc>
        <w:tcPr>
          <w:tcW w:w="1332" w:type="dxa"/>
        </w:tcPr>
        <w:p w14:paraId="57CBAC32" w14:textId="66634D25" w:rsidR="00AE5DD0" w:rsidRPr="000A4CD7" w:rsidRDefault="00D96D47" w:rsidP="00080F4C">
          <w:pPr>
            <w:rPr>
              <w:b/>
              <w:sz w:val="32"/>
              <w:szCs w:val="32"/>
            </w:rPr>
          </w:pPr>
          <w:r>
            <w:rPr>
              <w:b/>
              <w:sz w:val="32"/>
            </w:rPr>
            <w:t xml:space="preserve">18</w:t>
          </w:r>
        </w:p>
      </w:tc>
    </w:tr>
  </w:tbl>
  <w:p w14:paraId="1A88F7F5" w14:textId="77777777" w:rsidR="00AE5DD0" w:rsidRDefault="00D96D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BAA6E88">
      <w:start w:val="1"/>
      <w:numFmt w:val="bullet"/>
      <w:pStyle w:val="ATSBullet1"/>
      <w:lvlText w:val=""/>
      <w:lvlJc w:val="left"/>
      <w:pPr>
        <w:tabs>
          <w:tab w:val="num" w:pos="360"/>
        </w:tabs>
        <w:ind w:left="360" w:hanging="360"/>
      </w:pPr>
      <w:rPr>
        <w:rFonts w:ascii="Symbol" w:hAnsi="Symbol" w:hint="default"/>
        <w:color w:val="auto"/>
      </w:rPr>
    </w:lvl>
    <w:lvl w:ilvl="1" w:tplc="F5DA4070" w:tentative="1">
      <w:start w:val="1"/>
      <w:numFmt w:val="bullet"/>
      <w:lvlText w:val="o"/>
      <w:lvlJc w:val="left"/>
      <w:pPr>
        <w:tabs>
          <w:tab w:val="num" w:pos="1440"/>
        </w:tabs>
        <w:ind w:left="1440" w:hanging="360"/>
      </w:pPr>
      <w:rPr>
        <w:rFonts w:ascii="Courier New" w:hAnsi="Courier New" w:cs="Courier New" w:hint="default"/>
      </w:rPr>
    </w:lvl>
    <w:lvl w:ilvl="2" w:tplc="934C549E" w:tentative="1">
      <w:start w:val="1"/>
      <w:numFmt w:val="bullet"/>
      <w:lvlText w:val=""/>
      <w:lvlJc w:val="left"/>
      <w:pPr>
        <w:tabs>
          <w:tab w:val="num" w:pos="2160"/>
        </w:tabs>
        <w:ind w:left="2160" w:hanging="360"/>
      </w:pPr>
      <w:rPr>
        <w:rFonts w:ascii="Wingdings" w:hAnsi="Wingdings" w:hint="default"/>
      </w:rPr>
    </w:lvl>
    <w:lvl w:ilvl="3" w:tplc="BE7C4B3A" w:tentative="1">
      <w:start w:val="1"/>
      <w:numFmt w:val="bullet"/>
      <w:lvlText w:val=""/>
      <w:lvlJc w:val="left"/>
      <w:pPr>
        <w:tabs>
          <w:tab w:val="num" w:pos="2880"/>
        </w:tabs>
        <w:ind w:left="2880" w:hanging="360"/>
      </w:pPr>
      <w:rPr>
        <w:rFonts w:ascii="Symbol" w:hAnsi="Symbol" w:hint="default"/>
      </w:rPr>
    </w:lvl>
    <w:lvl w:ilvl="4" w:tplc="6A0CAF46" w:tentative="1">
      <w:start w:val="1"/>
      <w:numFmt w:val="bullet"/>
      <w:lvlText w:val="o"/>
      <w:lvlJc w:val="left"/>
      <w:pPr>
        <w:tabs>
          <w:tab w:val="num" w:pos="3600"/>
        </w:tabs>
        <w:ind w:left="3600" w:hanging="360"/>
      </w:pPr>
      <w:rPr>
        <w:rFonts w:ascii="Courier New" w:hAnsi="Courier New" w:cs="Courier New" w:hint="default"/>
      </w:rPr>
    </w:lvl>
    <w:lvl w:ilvl="5" w:tplc="A2C6F260" w:tentative="1">
      <w:start w:val="1"/>
      <w:numFmt w:val="bullet"/>
      <w:lvlText w:val=""/>
      <w:lvlJc w:val="left"/>
      <w:pPr>
        <w:tabs>
          <w:tab w:val="num" w:pos="4320"/>
        </w:tabs>
        <w:ind w:left="4320" w:hanging="360"/>
      </w:pPr>
      <w:rPr>
        <w:rFonts w:ascii="Wingdings" w:hAnsi="Wingdings" w:hint="default"/>
      </w:rPr>
    </w:lvl>
    <w:lvl w:ilvl="6" w:tplc="E7BE1C5C" w:tentative="1">
      <w:start w:val="1"/>
      <w:numFmt w:val="bullet"/>
      <w:lvlText w:val=""/>
      <w:lvlJc w:val="left"/>
      <w:pPr>
        <w:tabs>
          <w:tab w:val="num" w:pos="5040"/>
        </w:tabs>
        <w:ind w:left="5040" w:hanging="360"/>
      </w:pPr>
      <w:rPr>
        <w:rFonts w:ascii="Symbol" w:hAnsi="Symbol" w:hint="default"/>
      </w:rPr>
    </w:lvl>
    <w:lvl w:ilvl="7" w:tplc="4238CECA" w:tentative="1">
      <w:start w:val="1"/>
      <w:numFmt w:val="bullet"/>
      <w:lvlText w:val="o"/>
      <w:lvlJc w:val="left"/>
      <w:pPr>
        <w:tabs>
          <w:tab w:val="num" w:pos="5760"/>
        </w:tabs>
        <w:ind w:left="5760" w:hanging="360"/>
      </w:pPr>
      <w:rPr>
        <w:rFonts w:ascii="Courier New" w:hAnsi="Courier New" w:cs="Courier New" w:hint="default"/>
      </w:rPr>
    </w:lvl>
    <w:lvl w:ilvl="8" w:tplc="DA5692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C1E12AC">
      <w:start w:val="1"/>
      <w:numFmt w:val="decimal"/>
      <w:lvlText w:val="%1)"/>
      <w:lvlJc w:val="left"/>
      <w:pPr>
        <w:tabs>
          <w:tab w:val="num" w:pos="340"/>
        </w:tabs>
        <w:ind w:left="340" w:hanging="340"/>
      </w:pPr>
      <w:rPr>
        <w:rFonts w:hint="default"/>
      </w:rPr>
    </w:lvl>
    <w:lvl w:ilvl="1" w:tplc="CD38675C" w:tentative="1">
      <w:start w:val="1"/>
      <w:numFmt w:val="lowerLetter"/>
      <w:lvlText w:val="%2."/>
      <w:lvlJc w:val="left"/>
      <w:pPr>
        <w:tabs>
          <w:tab w:val="num" w:pos="1440"/>
        </w:tabs>
        <w:ind w:left="1440" w:hanging="360"/>
      </w:pPr>
    </w:lvl>
    <w:lvl w:ilvl="2" w:tplc="A42C9D90" w:tentative="1">
      <w:start w:val="1"/>
      <w:numFmt w:val="lowerRoman"/>
      <w:lvlText w:val="%3."/>
      <w:lvlJc w:val="right"/>
      <w:pPr>
        <w:tabs>
          <w:tab w:val="num" w:pos="2160"/>
        </w:tabs>
        <w:ind w:left="2160" w:hanging="180"/>
      </w:pPr>
    </w:lvl>
    <w:lvl w:ilvl="3" w:tplc="05B2E220" w:tentative="1">
      <w:start w:val="1"/>
      <w:numFmt w:val="decimal"/>
      <w:lvlText w:val="%4."/>
      <w:lvlJc w:val="left"/>
      <w:pPr>
        <w:tabs>
          <w:tab w:val="num" w:pos="2880"/>
        </w:tabs>
        <w:ind w:left="2880" w:hanging="360"/>
      </w:pPr>
    </w:lvl>
    <w:lvl w:ilvl="4" w:tplc="808870CC" w:tentative="1">
      <w:start w:val="1"/>
      <w:numFmt w:val="lowerLetter"/>
      <w:lvlText w:val="%5."/>
      <w:lvlJc w:val="left"/>
      <w:pPr>
        <w:tabs>
          <w:tab w:val="num" w:pos="3600"/>
        </w:tabs>
        <w:ind w:left="3600" w:hanging="360"/>
      </w:pPr>
    </w:lvl>
    <w:lvl w:ilvl="5" w:tplc="D2769CD4" w:tentative="1">
      <w:start w:val="1"/>
      <w:numFmt w:val="lowerRoman"/>
      <w:lvlText w:val="%6."/>
      <w:lvlJc w:val="right"/>
      <w:pPr>
        <w:tabs>
          <w:tab w:val="num" w:pos="4320"/>
        </w:tabs>
        <w:ind w:left="4320" w:hanging="180"/>
      </w:pPr>
    </w:lvl>
    <w:lvl w:ilvl="6" w:tplc="0C462D8A" w:tentative="1">
      <w:start w:val="1"/>
      <w:numFmt w:val="decimal"/>
      <w:lvlText w:val="%7."/>
      <w:lvlJc w:val="left"/>
      <w:pPr>
        <w:tabs>
          <w:tab w:val="num" w:pos="5040"/>
        </w:tabs>
        <w:ind w:left="5040" w:hanging="360"/>
      </w:pPr>
    </w:lvl>
    <w:lvl w:ilvl="7" w:tplc="5A087488" w:tentative="1">
      <w:start w:val="1"/>
      <w:numFmt w:val="lowerLetter"/>
      <w:lvlText w:val="%8."/>
      <w:lvlJc w:val="left"/>
      <w:pPr>
        <w:tabs>
          <w:tab w:val="num" w:pos="5760"/>
        </w:tabs>
        <w:ind w:left="5760" w:hanging="360"/>
      </w:pPr>
    </w:lvl>
    <w:lvl w:ilvl="8" w:tplc="04CA054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D5A5D0A">
      <w:start w:val="1"/>
      <w:numFmt w:val="decimal"/>
      <w:lvlText w:val="%1."/>
      <w:lvlJc w:val="left"/>
      <w:pPr>
        <w:tabs>
          <w:tab w:val="num" w:pos="1057"/>
        </w:tabs>
        <w:ind w:left="1057" w:hanging="360"/>
      </w:pPr>
      <w:rPr>
        <w:rFonts w:hint="default"/>
      </w:rPr>
    </w:lvl>
    <w:lvl w:ilvl="1" w:tplc="BFDE209C" w:tentative="1">
      <w:start w:val="1"/>
      <w:numFmt w:val="lowerLetter"/>
      <w:lvlText w:val="%2."/>
      <w:lvlJc w:val="left"/>
      <w:pPr>
        <w:tabs>
          <w:tab w:val="num" w:pos="2137"/>
        </w:tabs>
        <w:ind w:left="2137" w:hanging="360"/>
      </w:pPr>
    </w:lvl>
    <w:lvl w:ilvl="2" w:tplc="82660378" w:tentative="1">
      <w:start w:val="1"/>
      <w:numFmt w:val="lowerRoman"/>
      <w:lvlText w:val="%3."/>
      <w:lvlJc w:val="right"/>
      <w:pPr>
        <w:tabs>
          <w:tab w:val="num" w:pos="2857"/>
        </w:tabs>
        <w:ind w:left="2857" w:hanging="180"/>
      </w:pPr>
    </w:lvl>
    <w:lvl w:ilvl="3" w:tplc="7362EEAE" w:tentative="1">
      <w:start w:val="1"/>
      <w:numFmt w:val="decimal"/>
      <w:lvlText w:val="%4."/>
      <w:lvlJc w:val="left"/>
      <w:pPr>
        <w:tabs>
          <w:tab w:val="num" w:pos="3577"/>
        </w:tabs>
        <w:ind w:left="3577" w:hanging="360"/>
      </w:pPr>
    </w:lvl>
    <w:lvl w:ilvl="4" w:tplc="224AF91E" w:tentative="1">
      <w:start w:val="1"/>
      <w:numFmt w:val="lowerLetter"/>
      <w:lvlText w:val="%5."/>
      <w:lvlJc w:val="left"/>
      <w:pPr>
        <w:tabs>
          <w:tab w:val="num" w:pos="4297"/>
        </w:tabs>
        <w:ind w:left="4297" w:hanging="360"/>
      </w:pPr>
    </w:lvl>
    <w:lvl w:ilvl="5" w:tplc="9D7E7740" w:tentative="1">
      <w:start w:val="1"/>
      <w:numFmt w:val="lowerRoman"/>
      <w:lvlText w:val="%6."/>
      <w:lvlJc w:val="right"/>
      <w:pPr>
        <w:tabs>
          <w:tab w:val="num" w:pos="5017"/>
        </w:tabs>
        <w:ind w:left="5017" w:hanging="180"/>
      </w:pPr>
    </w:lvl>
    <w:lvl w:ilvl="6" w:tplc="74426AAA" w:tentative="1">
      <w:start w:val="1"/>
      <w:numFmt w:val="decimal"/>
      <w:lvlText w:val="%7."/>
      <w:lvlJc w:val="left"/>
      <w:pPr>
        <w:tabs>
          <w:tab w:val="num" w:pos="5737"/>
        </w:tabs>
        <w:ind w:left="5737" w:hanging="360"/>
      </w:pPr>
    </w:lvl>
    <w:lvl w:ilvl="7" w:tplc="6E46E2F2" w:tentative="1">
      <w:start w:val="1"/>
      <w:numFmt w:val="lowerLetter"/>
      <w:lvlText w:val="%8."/>
      <w:lvlJc w:val="left"/>
      <w:pPr>
        <w:tabs>
          <w:tab w:val="num" w:pos="6457"/>
        </w:tabs>
        <w:ind w:left="6457" w:hanging="360"/>
      </w:pPr>
    </w:lvl>
    <w:lvl w:ilvl="8" w:tplc="0CCE753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78C84CA">
      <w:start w:val="1"/>
      <w:numFmt w:val="decimal"/>
      <w:pStyle w:val="ATSNumber1"/>
      <w:lvlText w:val="%1)"/>
      <w:lvlJc w:val="left"/>
      <w:pPr>
        <w:tabs>
          <w:tab w:val="num" w:pos="720"/>
        </w:tabs>
        <w:ind w:left="720" w:hanging="360"/>
      </w:pPr>
    </w:lvl>
    <w:lvl w:ilvl="1" w:tplc="C9A45380" w:tentative="1">
      <w:start w:val="1"/>
      <w:numFmt w:val="lowerLetter"/>
      <w:lvlText w:val="%2."/>
      <w:lvlJc w:val="left"/>
      <w:pPr>
        <w:tabs>
          <w:tab w:val="num" w:pos="1440"/>
        </w:tabs>
        <w:ind w:left="1440" w:hanging="360"/>
      </w:pPr>
    </w:lvl>
    <w:lvl w:ilvl="2" w:tplc="BC9EA1B6" w:tentative="1">
      <w:start w:val="1"/>
      <w:numFmt w:val="lowerRoman"/>
      <w:lvlText w:val="%3."/>
      <w:lvlJc w:val="right"/>
      <w:pPr>
        <w:tabs>
          <w:tab w:val="num" w:pos="2160"/>
        </w:tabs>
        <w:ind w:left="2160" w:hanging="180"/>
      </w:pPr>
    </w:lvl>
    <w:lvl w:ilvl="3" w:tplc="3E2EF608" w:tentative="1">
      <w:start w:val="1"/>
      <w:numFmt w:val="decimal"/>
      <w:lvlText w:val="%4."/>
      <w:lvlJc w:val="left"/>
      <w:pPr>
        <w:tabs>
          <w:tab w:val="num" w:pos="2880"/>
        </w:tabs>
        <w:ind w:left="2880" w:hanging="360"/>
      </w:pPr>
    </w:lvl>
    <w:lvl w:ilvl="4" w:tplc="53CAC23C" w:tentative="1">
      <w:start w:val="1"/>
      <w:numFmt w:val="lowerLetter"/>
      <w:lvlText w:val="%5."/>
      <w:lvlJc w:val="left"/>
      <w:pPr>
        <w:tabs>
          <w:tab w:val="num" w:pos="3600"/>
        </w:tabs>
        <w:ind w:left="3600" w:hanging="360"/>
      </w:pPr>
    </w:lvl>
    <w:lvl w:ilvl="5" w:tplc="3154E35C" w:tentative="1">
      <w:start w:val="1"/>
      <w:numFmt w:val="lowerRoman"/>
      <w:lvlText w:val="%6."/>
      <w:lvlJc w:val="right"/>
      <w:pPr>
        <w:tabs>
          <w:tab w:val="num" w:pos="4320"/>
        </w:tabs>
        <w:ind w:left="4320" w:hanging="180"/>
      </w:pPr>
    </w:lvl>
    <w:lvl w:ilvl="6" w:tplc="BC50C224" w:tentative="1">
      <w:start w:val="1"/>
      <w:numFmt w:val="decimal"/>
      <w:lvlText w:val="%7."/>
      <w:lvlJc w:val="left"/>
      <w:pPr>
        <w:tabs>
          <w:tab w:val="num" w:pos="5040"/>
        </w:tabs>
        <w:ind w:left="5040" w:hanging="360"/>
      </w:pPr>
    </w:lvl>
    <w:lvl w:ilvl="7" w:tplc="5B6A7A14" w:tentative="1">
      <w:start w:val="1"/>
      <w:numFmt w:val="lowerLetter"/>
      <w:lvlText w:val="%8."/>
      <w:lvlJc w:val="left"/>
      <w:pPr>
        <w:tabs>
          <w:tab w:val="num" w:pos="5760"/>
        </w:tabs>
        <w:ind w:left="5760" w:hanging="360"/>
      </w:pPr>
    </w:lvl>
    <w:lvl w:ilvl="8" w:tplc="BBE4C8B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CB69B3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012FFE0" w:tentative="1">
      <w:start w:val="1"/>
      <w:numFmt w:val="bullet"/>
      <w:lvlText w:val="o"/>
      <w:lvlJc w:val="left"/>
      <w:pPr>
        <w:tabs>
          <w:tab w:val="num" w:pos="2517"/>
        </w:tabs>
        <w:ind w:left="2517" w:hanging="360"/>
      </w:pPr>
      <w:rPr>
        <w:rFonts w:ascii="Courier New" w:hAnsi="Courier New" w:cs="Courier New" w:hint="default"/>
      </w:rPr>
    </w:lvl>
    <w:lvl w:ilvl="2" w:tplc="C904308E" w:tentative="1">
      <w:start w:val="1"/>
      <w:numFmt w:val="bullet"/>
      <w:lvlText w:val=""/>
      <w:lvlJc w:val="left"/>
      <w:pPr>
        <w:tabs>
          <w:tab w:val="num" w:pos="3237"/>
        </w:tabs>
        <w:ind w:left="3237" w:hanging="360"/>
      </w:pPr>
      <w:rPr>
        <w:rFonts w:ascii="Wingdings" w:hAnsi="Wingdings" w:hint="default"/>
      </w:rPr>
    </w:lvl>
    <w:lvl w:ilvl="3" w:tplc="0C56A390" w:tentative="1">
      <w:start w:val="1"/>
      <w:numFmt w:val="bullet"/>
      <w:lvlText w:val=""/>
      <w:lvlJc w:val="left"/>
      <w:pPr>
        <w:tabs>
          <w:tab w:val="num" w:pos="3957"/>
        </w:tabs>
        <w:ind w:left="3957" w:hanging="360"/>
      </w:pPr>
      <w:rPr>
        <w:rFonts w:ascii="Symbol" w:hAnsi="Symbol" w:hint="default"/>
      </w:rPr>
    </w:lvl>
    <w:lvl w:ilvl="4" w:tplc="57385788" w:tentative="1">
      <w:start w:val="1"/>
      <w:numFmt w:val="bullet"/>
      <w:lvlText w:val="o"/>
      <w:lvlJc w:val="left"/>
      <w:pPr>
        <w:tabs>
          <w:tab w:val="num" w:pos="4677"/>
        </w:tabs>
        <w:ind w:left="4677" w:hanging="360"/>
      </w:pPr>
      <w:rPr>
        <w:rFonts w:ascii="Courier New" w:hAnsi="Courier New" w:cs="Courier New" w:hint="default"/>
      </w:rPr>
    </w:lvl>
    <w:lvl w:ilvl="5" w:tplc="61A67C6E" w:tentative="1">
      <w:start w:val="1"/>
      <w:numFmt w:val="bullet"/>
      <w:lvlText w:val=""/>
      <w:lvlJc w:val="left"/>
      <w:pPr>
        <w:tabs>
          <w:tab w:val="num" w:pos="5397"/>
        </w:tabs>
        <w:ind w:left="5397" w:hanging="360"/>
      </w:pPr>
      <w:rPr>
        <w:rFonts w:ascii="Wingdings" w:hAnsi="Wingdings" w:hint="default"/>
      </w:rPr>
    </w:lvl>
    <w:lvl w:ilvl="6" w:tplc="16FE7712" w:tentative="1">
      <w:start w:val="1"/>
      <w:numFmt w:val="bullet"/>
      <w:lvlText w:val=""/>
      <w:lvlJc w:val="left"/>
      <w:pPr>
        <w:tabs>
          <w:tab w:val="num" w:pos="6117"/>
        </w:tabs>
        <w:ind w:left="6117" w:hanging="360"/>
      </w:pPr>
      <w:rPr>
        <w:rFonts w:ascii="Symbol" w:hAnsi="Symbol" w:hint="default"/>
      </w:rPr>
    </w:lvl>
    <w:lvl w:ilvl="7" w:tplc="8AA45058" w:tentative="1">
      <w:start w:val="1"/>
      <w:numFmt w:val="bullet"/>
      <w:lvlText w:val="o"/>
      <w:lvlJc w:val="left"/>
      <w:pPr>
        <w:tabs>
          <w:tab w:val="num" w:pos="6837"/>
        </w:tabs>
        <w:ind w:left="6837" w:hanging="360"/>
      </w:pPr>
      <w:rPr>
        <w:rFonts w:ascii="Courier New" w:hAnsi="Courier New" w:cs="Courier New" w:hint="default"/>
      </w:rPr>
    </w:lvl>
    <w:lvl w:ilvl="8" w:tplc="98AC8BA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21EC4B6">
      <w:start w:val="1"/>
      <w:numFmt w:val="decimal"/>
      <w:pStyle w:val="ATSNumber2"/>
      <w:lvlText w:val="%1."/>
      <w:lvlJc w:val="left"/>
      <w:pPr>
        <w:tabs>
          <w:tab w:val="num" w:pos="720"/>
        </w:tabs>
        <w:ind w:left="720" w:hanging="360"/>
      </w:pPr>
      <w:rPr>
        <w:rFonts w:hint="default"/>
      </w:rPr>
    </w:lvl>
    <w:lvl w:ilvl="1" w:tplc="329276A6" w:tentative="1">
      <w:start w:val="1"/>
      <w:numFmt w:val="lowerLetter"/>
      <w:lvlText w:val="%2."/>
      <w:lvlJc w:val="left"/>
      <w:pPr>
        <w:tabs>
          <w:tab w:val="num" w:pos="1440"/>
        </w:tabs>
        <w:ind w:left="1440" w:hanging="360"/>
      </w:pPr>
    </w:lvl>
    <w:lvl w:ilvl="2" w:tplc="1EC606C6" w:tentative="1">
      <w:start w:val="1"/>
      <w:numFmt w:val="lowerRoman"/>
      <w:lvlText w:val="%3."/>
      <w:lvlJc w:val="right"/>
      <w:pPr>
        <w:tabs>
          <w:tab w:val="num" w:pos="2160"/>
        </w:tabs>
        <w:ind w:left="2160" w:hanging="180"/>
      </w:pPr>
    </w:lvl>
    <w:lvl w:ilvl="3" w:tplc="238064FA" w:tentative="1">
      <w:start w:val="1"/>
      <w:numFmt w:val="decimal"/>
      <w:lvlText w:val="%4."/>
      <w:lvlJc w:val="left"/>
      <w:pPr>
        <w:tabs>
          <w:tab w:val="num" w:pos="2880"/>
        </w:tabs>
        <w:ind w:left="2880" w:hanging="360"/>
      </w:pPr>
    </w:lvl>
    <w:lvl w:ilvl="4" w:tplc="3350019A" w:tentative="1">
      <w:start w:val="1"/>
      <w:numFmt w:val="lowerLetter"/>
      <w:lvlText w:val="%5."/>
      <w:lvlJc w:val="left"/>
      <w:pPr>
        <w:tabs>
          <w:tab w:val="num" w:pos="3600"/>
        </w:tabs>
        <w:ind w:left="3600" w:hanging="360"/>
      </w:pPr>
    </w:lvl>
    <w:lvl w:ilvl="5" w:tplc="F0C4219E" w:tentative="1">
      <w:start w:val="1"/>
      <w:numFmt w:val="lowerRoman"/>
      <w:lvlText w:val="%6."/>
      <w:lvlJc w:val="right"/>
      <w:pPr>
        <w:tabs>
          <w:tab w:val="num" w:pos="4320"/>
        </w:tabs>
        <w:ind w:left="4320" w:hanging="180"/>
      </w:pPr>
    </w:lvl>
    <w:lvl w:ilvl="6" w:tplc="00AE4EF6" w:tentative="1">
      <w:start w:val="1"/>
      <w:numFmt w:val="decimal"/>
      <w:lvlText w:val="%7."/>
      <w:lvlJc w:val="left"/>
      <w:pPr>
        <w:tabs>
          <w:tab w:val="num" w:pos="5040"/>
        </w:tabs>
        <w:ind w:left="5040" w:hanging="360"/>
      </w:pPr>
    </w:lvl>
    <w:lvl w:ilvl="7" w:tplc="AB84985E" w:tentative="1">
      <w:start w:val="1"/>
      <w:numFmt w:val="lowerLetter"/>
      <w:lvlText w:val="%8."/>
      <w:lvlJc w:val="left"/>
      <w:pPr>
        <w:tabs>
          <w:tab w:val="num" w:pos="5760"/>
        </w:tabs>
        <w:ind w:left="5760" w:hanging="360"/>
      </w:pPr>
    </w:lvl>
    <w:lvl w:ilvl="8" w:tplc="C3F892D2" w:tentative="1">
      <w:start w:val="1"/>
      <w:numFmt w:val="lowerRoman"/>
      <w:lvlText w:val="%9."/>
      <w:lvlJc w:val="right"/>
      <w:pPr>
        <w:tabs>
          <w:tab w:val="num" w:pos="6480"/>
        </w:tabs>
        <w:ind w:left="6480" w:hanging="180"/>
      </w:pPr>
    </w:lvl>
  </w:abstractNum>
  <w:num w:numId="1" w16cid:durableId="28578429">
    <w:abstractNumId w:val="9"/>
  </w:num>
  <w:num w:numId="2" w16cid:durableId="1972634751">
    <w:abstractNumId w:val="7"/>
  </w:num>
  <w:num w:numId="3" w16cid:durableId="2129228534">
    <w:abstractNumId w:val="6"/>
  </w:num>
  <w:num w:numId="4" w16cid:durableId="2002268015">
    <w:abstractNumId w:val="5"/>
  </w:num>
  <w:num w:numId="5" w16cid:durableId="1268125361">
    <w:abstractNumId w:val="4"/>
  </w:num>
  <w:num w:numId="6" w16cid:durableId="904922591">
    <w:abstractNumId w:val="8"/>
  </w:num>
  <w:num w:numId="7" w16cid:durableId="334771842">
    <w:abstractNumId w:val="3"/>
  </w:num>
  <w:num w:numId="8" w16cid:durableId="1169370388">
    <w:abstractNumId w:val="2"/>
  </w:num>
  <w:num w:numId="9" w16cid:durableId="1647934192">
    <w:abstractNumId w:val="1"/>
  </w:num>
  <w:num w:numId="10" w16cid:durableId="1149246483">
    <w:abstractNumId w:val="0"/>
  </w:num>
  <w:num w:numId="11" w16cid:durableId="953172230">
    <w:abstractNumId w:val="11"/>
  </w:num>
  <w:num w:numId="12" w16cid:durableId="957953689">
    <w:abstractNumId w:val="15"/>
  </w:num>
  <w:num w:numId="13" w16cid:durableId="1849130604">
    <w:abstractNumId w:val="14"/>
  </w:num>
  <w:num w:numId="14" w16cid:durableId="2012026049">
    <w:abstractNumId w:val="12"/>
  </w:num>
  <w:num w:numId="15" w16cid:durableId="1815175487">
    <w:abstractNumId w:val="13"/>
  </w:num>
  <w:num w:numId="16" w16cid:durableId="300308384">
    <w:abstractNumId w:val="10"/>
  </w:num>
  <w:num w:numId="17" w16cid:durableId="1560094223">
    <w:abstractNumId w:val="11"/>
  </w:num>
  <w:num w:numId="18" w16cid:durableId="469524">
    <w:abstractNumId w:val="15"/>
  </w:num>
  <w:num w:numId="19" w16cid:durableId="232198720">
    <w:abstractNumId w:val="14"/>
  </w:num>
  <w:num w:numId="20" w16cid:durableId="10601776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ED"/>
    <w:rsid w:val="00850BED"/>
    <w:rsid w:val="00D96D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70A55"/>
  <w15:chartTrackingRefBased/>
  <w15:docId w15:val="{6AA77D54-9C8D-443C-A067-2287ACE1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1131</Words>
  <Characters>6296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3</cp:revision>
  <cp:lastPrinted>1900-01-01T03:00:00Z</cp:lastPrinted>
  <dcterms:created xsi:type="dcterms:W3CDTF">2022-10-28T13:17:00Z</dcterms:created>
  <dcterms:modified xsi:type="dcterms:W3CDTF">2023-04-18T12:15:00Z</dcterms:modified>
</cp:coreProperties>
</file>