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62E5D" w14:textId="77777777" w:rsidR="00C26F2D" w:rsidRPr="00BF077B" w:rsidRDefault="008024C2" w:rsidP="00BF077B">
      <w:pPr>
        <w:pStyle w:val="ATSNormal"/>
        <w:rPr>
          <w:rStyle w:val="Ttulodellibro"/>
        </w:rPr>
      </w:pPr>
    </w:p>
    <w:p w14:paraId="585D5EA8" w14:textId="77777777" w:rsidR="002F0A13" w:rsidRDefault="008024C2" w:rsidP="004B4A60">
      <w:pPr>
        <w:rPr>
          <w:b/>
          <w:u w:val="single"/>
          <w:lang w:val="es-ES_tradnl"/>
        </w:rPr>
      </w:pPr>
    </w:p>
    <w:p w14:paraId="110527B4" w14:textId="77777777" w:rsidR="002F0A13" w:rsidRDefault="008024C2" w:rsidP="004B4A60">
      <w:pPr>
        <w:rPr>
          <w:b/>
          <w:u w:val="single"/>
          <w:lang w:val="es-ES_tradnl"/>
        </w:rPr>
      </w:pPr>
    </w:p>
    <w:p w14:paraId="0DD0E19C" w14:textId="77777777" w:rsidR="002F0A13" w:rsidRDefault="008024C2" w:rsidP="004B4A60">
      <w:pPr>
        <w:rPr>
          <w:b/>
          <w:u w:val="single"/>
          <w:lang w:val="es-ES_tradnl"/>
        </w:rPr>
      </w:pPr>
    </w:p>
    <w:p w14:paraId="216BE083" w14:textId="77777777" w:rsidR="002F0A13" w:rsidRDefault="008024C2" w:rsidP="004B4A60">
      <w:pPr>
        <w:rPr>
          <w:b/>
          <w:u w:val="single"/>
          <w:lang w:val="es-ES_tradnl"/>
        </w:rPr>
      </w:pPr>
    </w:p>
    <w:p w14:paraId="4290B5F7" w14:textId="77777777" w:rsidR="00C26F2D" w:rsidRDefault="008024C2" w:rsidP="004B4A60">
      <w:pPr>
        <w:rPr>
          <w:b/>
          <w:u w:val="single"/>
          <w:lang w:val="es-ES_tradnl"/>
        </w:rPr>
      </w:pPr>
    </w:p>
    <w:p w14:paraId="44A19D4C" w14:textId="77777777" w:rsidR="004B4A60" w:rsidRPr="0057246E" w:rsidRDefault="003D1CF3" w:rsidP="001B789F">
      <w:pPr>
        <w:pStyle w:val="ATSTitle"/>
      </w:pPr>
      <w:bookmarkStart w:id="0" w:name="name"/>
      <w:r>
        <w:t>Report on the Deaths of Four U.S. Citizen Tourists in Three Incidents</w:t>
      </w:r>
      <w:bookmarkEnd w:id="0"/>
    </w:p>
    <w:p w14:paraId="071C3AEA" w14:textId="77777777" w:rsidR="004B4A60" w:rsidRPr="0057246E" w:rsidRDefault="008024C2" w:rsidP="00F75424">
      <w:pPr>
        <w:jc w:val="center"/>
      </w:pPr>
    </w:p>
    <w:p w14:paraId="610CCF5D" w14:textId="77777777" w:rsidR="004B4A60" w:rsidRPr="002F0A13" w:rsidRDefault="008024C2" w:rsidP="002F0A13"/>
    <w:p w14:paraId="437C1101" w14:textId="77777777" w:rsidR="004B4A60" w:rsidRDefault="008024C2" w:rsidP="00F75424">
      <w:pPr>
        <w:jc w:val="center"/>
      </w:pPr>
      <w:bookmarkStart w:id="1" w:name="memo"/>
      <w:bookmarkEnd w:id="1"/>
    </w:p>
    <w:p w14:paraId="09A534A0" w14:textId="77777777" w:rsidR="0097629D" w:rsidRDefault="008024C2" w:rsidP="00F75424">
      <w:pPr>
        <w:jc w:val="center"/>
      </w:pPr>
    </w:p>
    <w:p w14:paraId="21E088C3" w14:textId="77777777" w:rsidR="0097629D" w:rsidRDefault="008024C2" w:rsidP="00F75424">
      <w:pPr>
        <w:jc w:val="center"/>
      </w:pPr>
    </w:p>
    <w:p w14:paraId="3DEB61E1" w14:textId="77777777" w:rsidR="0097629D" w:rsidRDefault="008024C2" w:rsidP="00F75424">
      <w:pPr>
        <w:jc w:val="center"/>
      </w:pPr>
    </w:p>
    <w:p w14:paraId="0A16C1B1" w14:textId="77777777" w:rsidR="0097629D" w:rsidRPr="00C26F2D" w:rsidRDefault="008024C2" w:rsidP="00F75424">
      <w:pPr>
        <w:jc w:val="center"/>
      </w:pPr>
    </w:p>
    <w:p w14:paraId="26116BAF" w14:textId="77777777" w:rsidR="004B4A60" w:rsidRPr="0057246E" w:rsidRDefault="008024C2" w:rsidP="004B4A60"/>
    <w:p w14:paraId="055CDDE3" w14:textId="77777777" w:rsidR="00C26F2D" w:rsidRDefault="008024C2"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096527D9" w14:textId="77777777" w:rsidR="003D1CF3" w:rsidRPr="00DE77E5" w:rsidRDefault="003D1CF3" w:rsidP="003D1CF3">
      <w:pPr>
        <w:pStyle w:val="ATSHeading1"/>
        <w:spacing w:before="0" w:after="0"/>
      </w:pPr>
      <w:r>
        <w:lastRenderedPageBreak/>
        <w:t>Report on the Deaths of Four U.S. Citizen Tourists in Three Incidents</w:t>
      </w:r>
    </w:p>
    <w:p w14:paraId="08B657D9" w14:textId="77777777" w:rsidR="003D1CF3" w:rsidRDefault="003D1CF3" w:rsidP="003D1CF3">
      <w:pPr>
        <w:pStyle w:val="ATSHeading2"/>
        <w:spacing w:before="0" w:after="0"/>
      </w:pPr>
    </w:p>
    <w:p w14:paraId="5654D328" w14:textId="77777777" w:rsidR="003D1CF3" w:rsidRPr="00DE77E5" w:rsidRDefault="003D1CF3" w:rsidP="003D1CF3">
      <w:pPr>
        <w:pStyle w:val="ATSHeading2"/>
        <w:spacing w:before="0" w:after="0"/>
      </w:pPr>
      <w:r>
        <w:t>Summary</w:t>
      </w:r>
    </w:p>
    <w:p w14:paraId="0F358FA2" w14:textId="77777777" w:rsidR="003D1CF3" w:rsidRDefault="003D1CF3" w:rsidP="003D1CF3"/>
    <w:p w14:paraId="14D3F51F" w14:textId="77777777" w:rsidR="003D1CF3" w:rsidRDefault="003D1CF3" w:rsidP="003D1CF3">
      <w:r>
        <w:t xml:space="preserve">Four U.S. citizens died in three separate incidents on tour expeditions authorized by the United States, the Netherlands, and Norway during the 2022-2023 season.  Relevant agencies in those governments are investigating the incidents.  Other interested parties, such as Portugal and Argentina, are closely monitoring the incidents and investigations.  The governments act under domestic authority for all investigative activity.  The governments may bring recommendations to the ATCM if they identify reasonable actions to increase tourism safety.  </w:t>
      </w:r>
    </w:p>
    <w:p w14:paraId="226F73BD" w14:textId="77777777" w:rsidR="003D1CF3" w:rsidRPr="00C91B16" w:rsidRDefault="003D1CF3" w:rsidP="003D1CF3">
      <w:r>
        <w:t xml:space="preserve"> </w:t>
      </w:r>
    </w:p>
    <w:p w14:paraId="28B7EC75" w14:textId="77777777" w:rsidR="003D1CF3" w:rsidRPr="00C91B16" w:rsidRDefault="003D1CF3" w:rsidP="003D1CF3">
      <w:pPr>
        <w:pStyle w:val="ATSHeading2"/>
        <w:spacing w:before="0" w:after="0"/>
      </w:pPr>
      <w:r>
        <w:t xml:space="preserve">Brief Summary of the Preliminary Reports from the Incidents  </w:t>
      </w:r>
    </w:p>
    <w:p w14:paraId="32F71354" w14:textId="77777777" w:rsidR="003D1CF3" w:rsidRDefault="003D1CF3" w:rsidP="003D1CF3"/>
    <w:p w14:paraId="4BAD5AA7" w14:textId="27F6B5F6" w:rsidR="003D1CF3" w:rsidRPr="00C91B16" w:rsidRDefault="003D1CF3" w:rsidP="003D1CF3">
      <w:r>
        <w:t xml:space="preserve">On November </w:t>
      </w:r>
      <w:r w:rsidR="008024C2">
        <w:t>15</w:t>
      </w:r>
      <w:r>
        <w:t xml:space="preserve">, two deaths occurred when the inflatable boat flipped in the shallow waters at 61°11.010’ S, 055°03.299’ W near Elephant Island.  The inflatable boat was operated from the </w:t>
      </w:r>
      <w:r w:rsidRPr="4570C963">
        <w:rPr>
          <w:i/>
          <w:iCs/>
        </w:rPr>
        <w:t>World Explorer</w:t>
      </w:r>
      <w:r>
        <w:t xml:space="preserve"> by an experienced guide of Quark Expeditions and the general weather conditions were sunny and calm.  Passengers were wearing cold-weather clothing but not clothing appropriate for immersion in cold water.   </w:t>
      </w:r>
    </w:p>
    <w:p w14:paraId="547B8A0A" w14:textId="77777777" w:rsidR="003D1CF3" w:rsidRPr="00C91B16" w:rsidRDefault="003D1CF3" w:rsidP="003D1CF3">
      <w:r>
        <w:t xml:space="preserve"> </w:t>
      </w:r>
    </w:p>
    <w:p w14:paraId="226B8584" w14:textId="77777777" w:rsidR="003D1CF3" w:rsidRPr="00C91B16" w:rsidRDefault="003D1CF3" w:rsidP="003D1CF3">
      <w:r>
        <w:t xml:space="preserve">The United States gave notice according to the Treaty Article VII (5) through the Electronic Information Exchange System (EIES) for Quark’s operations and Portugal is the country of registry for the </w:t>
      </w:r>
      <w:r w:rsidRPr="4570C963">
        <w:rPr>
          <w:i/>
          <w:iCs/>
        </w:rPr>
        <w:t>World Explorer</w:t>
      </w:r>
      <w:r>
        <w:t xml:space="preserve">.  Its maximum passenger capacity is 172 and maximum crew capacity is 135.  The </w:t>
      </w:r>
      <w:r w:rsidRPr="4570C963">
        <w:rPr>
          <w:i/>
          <w:iCs/>
        </w:rPr>
        <w:t>World Explorer</w:t>
      </w:r>
      <w:r>
        <w:t xml:space="preserve"> was commissioned in 2019.  </w:t>
      </w:r>
    </w:p>
    <w:p w14:paraId="11EDD14D" w14:textId="77777777" w:rsidR="003D1CF3" w:rsidRPr="00C91B16" w:rsidRDefault="003D1CF3" w:rsidP="003D1CF3">
      <w:r>
        <w:t xml:space="preserve"> </w:t>
      </w:r>
    </w:p>
    <w:p w14:paraId="6B834139" w14:textId="77777777" w:rsidR="003D1CF3" w:rsidRPr="00C91B16" w:rsidRDefault="003D1CF3" w:rsidP="003D1CF3">
      <w:r>
        <w:t xml:space="preserve">On November 29, one death occurred when a rogue wave struck the </w:t>
      </w:r>
      <w:r w:rsidRPr="4570C963">
        <w:rPr>
          <w:i/>
          <w:iCs/>
        </w:rPr>
        <w:t>Viking Polaris</w:t>
      </w:r>
      <w:r>
        <w:t xml:space="preserve"> operated by Viking Cruises at 56°31.229’ S, 066°08.2’ W as it crossed the Drake Passage outside of the Antarctic Treaty area.  The wave broke seven windows causing major damage to some of the passenger cabins on the lower level.   </w:t>
      </w:r>
    </w:p>
    <w:p w14:paraId="256A2823" w14:textId="77777777" w:rsidR="003D1CF3" w:rsidRPr="00C91B16" w:rsidRDefault="003D1CF3" w:rsidP="003D1CF3">
      <w:r>
        <w:t xml:space="preserve"> </w:t>
      </w:r>
    </w:p>
    <w:p w14:paraId="74928713" w14:textId="77777777" w:rsidR="003D1CF3" w:rsidRPr="00C91B16" w:rsidRDefault="003D1CF3" w:rsidP="003D1CF3">
      <w:r>
        <w:t xml:space="preserve">Norway gave notice according to the Treaty Article VII (5) through the EIES for </w:t>
      </w:r>
      <w:r w:rsidRPr="71F05C36">
        <w:rPr>
          <w:i/>
          <w:iCs/>
        </w:rPr>
        <w:t>Viking Polaris’s</w:t>
      </w:r>
      <w:r>
        <w:t xml:space="preserve"> operations and is the country of registry for the </w:t>
      </w:r>
      <w:r w:rsidRPr="71F05C36">
        <w:rPr>
          <w:i/>
          <w:iCs/>
        </w:rPr>
        <w:t>Viking Polaris</w:t>
      </w:r>
      <w:r>
        <w:t xml:space="preserve">.  Its maximum passenger capacity is 378 and maximum crew capacity is 256.  The </w:t>
      </w:r>
      <w:r w:rsidRPr="71F05C36">
        <w:rPr>
          <w:i/>
          <w:iCs/>
        </w:rPr>
        <w:t>Viking Polaris</w:t>
      </w:r>
      <w:r>
        <w:t xml:space="preserve"> was commissioned in 2022; the incident occurred on its fourth commercial voyage while the ship was sailing toward Ushuaia, Argentina.    </w:t>
      </w:r>
    </w:p>
    <w:p w14:paraId="3454E53B" w14:textId="77777777" w:rsidR="003D1CF3" w:rsidRPr="00C91B16" w:rsidRDefault="003D1CF3" w:rsidP="003D1CF3">
      <w:r>
        <w:t xml:space="preserve"> </w:t>
      </w:r>
    </w:p>
    <w:p w14:paraId="37EACFB1" w14:textId="77777777" w:rsidR="003D1CF3" w:rsidRPr="00C91B16" w:rsidRDefault="003D1CF3" w:rsidP="003D1CF3">
      <w:r>
        <w:t xml:space="preserve">On December 2, one death occurred after severe weather struck the </w:t>
      </w:r>
      <w:r w:rsidRPr="4570C963">
        <w:rPr>
          <w:i/>
          <w:iCs/>
        </w:rPr>
        <w:t>M/V Plancius</w:t>
      </w:r>
      <w:r>
        <w:t xml:space="preserve"> operated by Oceanwide Expeditions.  The tourist hit his head on December 1 when the vessel was in stormy weather at 55°32.09’ S, 036°46.75’ W between South Georgia and the Antarctic Peninsula outside of the Antarctic Treaty area and died the next day.  The vessel was too far from emergency medical support for evacuation once ship staff learned of the severity of the passenger’s injury.   </w:t>
      </w:r>
    </w:p>
    <w:p w14:paraId="462E892D" w14:textId="77777777" w:rsidR="003D1CF3" w:rsidRPr="00C91B16" w:rsidRDefault="003D1CF3" w:rsidP="003D1CF3">
      <w:r>
        <w:t xml:space="preserve"> </w:t>
      </w:r>
    </w:p>
    <w:p w14:paraId="02514EF4" w14:textId="77777777" w:rsidR="003D1CF3" w:rsidRPr="00C91B16" w:rsidRDefault="003D1CF3" w:rsidP="003D1CF3">
      <w:r>
        <w:t xml:space="preserve">The Netherlands gave notice according to the Treaty Article VII (5) through the EIES for Oceanwide’s operations and the Netherlands is its country of registry for the </w:t>
      </w:r>
      <w:r w:rsidRPr="4570C963">
        <w:rPr>
          <w:i/>
          <w:iCs/>
        </w:rPr>
        <w:t>M/V Plancius</w:t>
      </w:r>
      <w:r>
        <w:t xml:space="preserve">.  Its maximum passenger capacity is 108 and maximum crew capacity is 40.  The </w:t>
      </w:r>
      <w:r w:rsidRPr="4570C963">
        <w:rPr>
          <w:i/>
          <w:iCs/>
        </w:rPr>
        <w:t>M/V Plancius</w:t>
      </w:r>
      <w:r>
        <w:t xml:space="preserve">, formerly known as the </w:t>
      </w:r>
      <w:r w:rsidRPr="4570C963">
        <w:rPr>
          <w:i/>
          <w:iCs/>
        </w:rPr>
        <w:t>HNLMS Tydeman</w:t>
      </w:r>
      <w:r>
        <w:t xml:space="preserve">, was commissioned in 1976.   </w:t>
      </w:r>
    </w:p>
    <w:p w14:paraId="044EA4AF" w14:textId="77777777" w:rsidR="003D1CF3" w:rsidRPr="00C91B16" w:rsidRDefault="003D1CF3" w:rsidP="003D1CF3">
      <w:r>
        <w:t xml:space="preserve"> </w:t>
      </w:r>
    </w:p>
    <w:p w14:paraId="58109056" w14:textId="77777777" w:rsidR="003D1CF3" w:rsidRPr="00C91B16" w:rsidRDefault="003D1CF3" w:rsidP="003D1CF3">
      <w:pPr>
        <w:rPr>
          <w:rFonts w:ascii="Arial" w:eastAsia="Arial" w:hAnsi="Arial" w:cs="Arial"/>
          <w:b/>
          <w:bCs/>
          <w:i/>
          <w:iCs/>
          <w:sz w:val="24"/>
        </w:rPr>
      </w:pPr>
      <w:r w:rsidRPr="71F05C36">
        <w:rPr>
          <w:rFonts w:ascii="Arial" w:eastAsia="Arial" w:hAnsi="Arial" w:cs="Arial"/>
          <w:b/>
          <w:bCs/>
          <w:i/>
          <w:iCs/>
          <w:sz w:val="24"/>
        </w:rPr>
        <w:t xml:space="preserve">Next Steps </w:t>
      </w:r>
      <w:r>
        <w:t xml:space="preserve"> </w:t>
      </w:r>
    </w:p>
    <w:p w14:paraId="0E7E1E02" w14:textId="77777777" w:rsidR="003D1CF3" w:rsidRPr="00C91B16" w:rsidRDefault="003D1CF3" w:rsidP="003D1CF3">
      <w:r>
        <w:t xml:space="preserve">The countries will continue to rely on their domestic legal authorities and follow their domestic procedures on the investigations and anticipate sharing the final results with the ATCM.   </w:t>
      </w:r>
    </w:p>
    <w:p w14:paraId="1751F710" w14:textId="77777777" w:rsidR="003D1CF3" w:rsidRPr="00C91B16" w:rsidRDefault="003D1CF3" w:rsidP="003D1CF3">
      <w:r>
        <w:t xml:space="preserve"> </w:t>
      </w:r>
    </w:p>
    <w:p w14:paraId="3E7FED77" w14:textId="0E95E371" w:rsidR="003D1CF3" w:rsidRPr="00C91B16" w:rsidRDefault="003D1CF3" w:rsidP="003D1CF3">
      <w:r>
        <w:t xml:space="preserve">For the United States, the U.S. Coast Guard is investigating the November </w:t>
      </w:r>
      <w:r w:rsidR="008024C2">
        <w:t>15</w:t>
      </w:r>
      <w:r>
        <w:t xml:space="preserve"> and November 29 incidents, supported by the U.S. National Transportation Safety Board.  The U.S. Coast Guard is investigating the December 1 incident.  They have briefed the U.S. Department of State, </w:t>
      </w:r>
      <w:r>
        <w:lastRenderedPageBreak/>
        <w:t>Environmental Protection Agency, and National Science Foundation on the ongoing investigations.  The U.S. Department of State has updated its Travel Advisory for travel to the Antarctic Region (</w:t>
      </w:r>
      <w:hyperlink r:id="rId11">
        <w:r w:rsidRPr="71F05C36">
          <w:rPr>
            <w:rStyle w:val="Hipervnculo"/>
          </w:rPr>
          <w:t>https://travel.state.gov/content/travel/en/traveladvisories/traveladvisories/antarctica-travel-advisory.html</w:t>
        </w:r>
      </w:hyperlink>
      <w:r>
        <w:t xml:space="preserve">) to further emphasize marine risks and limited emergency services available in the region.   </w:t>
      </w:r>
    </w:p>
    <w:p w14:paraId="4CC5C11A" w14:textId="77777777" w:rsidR="003D1CF3" w:rsidRPr="00C91B16" w:rsidRDefault="003D1CF3" w:rsidP="003D1CF3">
      <w:r>
        <w:t xml:space="preserve"> </w:t>
      </w:r>
    </w:p>
    <w:p w14:paraId="598DD83D" w14:textId="77777777" w:rsidR="003D1CF3" w:rsidRPr="00C91B16" w:rsidRDefault="003D1CF3" w:rsidP="003D1CF3">
      <w:r>
        <w:t xml:space="preserve">For Norway, the Norwegian Safety Investigation Authority has launched a safety investigation into the November 29 incident.  The incident occurred outside the Antarctic Treaty Area, so the Norwegian Polar Institute, which is the National Competent Authority for the Environmental Protocol to the Treaty, is not involved in this investigation.  However, the Norwegian Polar Institute does follow up on potential concerns regarding safety in Antarctica.  </w:t>
      </w:r>
    </w:p>
    <w:p w14:paraId="31AD752D" w14:textId="77777777" w:rsidR="003D1CF3" w:rsidRPr="00C91B16" w:rsidRDefault="003D1CF3" w:rsidP="003D1CF3">
      <w:r>
        <w:t xml:space="preserve"> </w:t>
      </w:r>
    </w:p>
    <w:p w14:paraId="66751118" w14:textId="77777777" w:rsidR="003D1CF3" w:rsidRPr="00C91B16" w:rsidRDefault="003D1CF3" w:rsidP="003D1CF3">
      <w:r>
        <w:t xml:space="preserve">For the Netherlands, Rijkswaterstaat, which is the National Competent Authority of the Netherlands, will discuss the circumstances regarding the December 2 incident with Oceanwide.  They will discuss the safety instructions and whether there is a need to pay more specific attention to these safety instructions in the licensing process. </w:t>
      </w:r>
    </w:p>
    <w:p w14:paraId="56B9019D" w14:textId="77777777" w:rsidR="004B4A60" w:rsidRDefault="008024C2" w:rsidP="00952E9F"/>
    <w:sectPr w:rsidR="004B4A60"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92A46" w14:textId="77777777" w:rsidR="00672497" w:rsidRDefault="003D1CF3">
      <w:r>
        <w:separator/>
      </w:r>
    </w:p>
  </w:endnote>
  <w:endnote w:type="continuationSeparator" w:id="0">
    <w:p w14:paraId="4374B47C" w14:textId="77777777" w:rsidR="00672497" w:rsidRDefault="003D1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F2366" w14:textId="77777777" w:rsidR="00FA0B9F" w:rsidRDefault="003D1CF3" w:rsidP="00CF5C82">
    <w:pPr>
      <w:framePr w:wrap="around" w:vAnchor="text" w:hAnchor="margin" w:xAlign="right" w:y="1"/>
    </w:pPr>
    <w:r>
      <w:fldChar w:fldCharType="begin"/>
    </w:r>
    <w:r>
      <w:instrText xml:space="preserve">PAGE  </w:instrText>
    </w:r>
    <w:r w:rsidR="008024C2">
      <w:fldChar w:fldCharType="separate"/>
    </w:r>
    <w:r>
      <w:fldChar w:fldCharType="end"/>
    </w:r>
  </w:p>
  <w:p w14:paraId="05DDD002" w14:textId="77777777" w:rsidR="00FA0B9F" w:rsidRDefault="008024C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F191B" w14:textId="77777777" w:rsidR="00FA0B9F" w:rsidRDefault="003D1CF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6230A4E" w14:textId="1822A662" w:rsidR="00FA0B9F" w:rsidRDefault="008024C2" w:rsidP="003D1CF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A2A6" w14:textId="77777777" w:rsidR="00E311C9" w:rsidRDefault="003D1CF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714B6C3" w14:textId="77777777" w:rsidR="00E311C9" w:rsidRDefault="008024C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FCE10" w14:textId="77777777" w:rsidR="00672497" w:rsidRDefault="003D1CF3">
      <w:r>
        <w:separator/>
      </w:r>
    </w:p>
  </w:footnote>
  <w:footnote w:type="continuationSeparator" w:id="0">
    <w:p w14:paraId="40D85A22" w14:textId="77777777" w:rsidR="00672497" w:rsidRDefault="003D1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C935F4" w14:paraId="2E1491B2" w14:textId="77777777" w:rsidTr="002E12EC">
      <w:trPr>
        <w:trHeight w:val="344"/>
        <w:jc w:val="center"/>
      </w:trPr>
      <w:tc>
        <w:tcPr>
          <w:tcW w:w="5495" w:type="dxa"/>
        </w:tcPr>
        <w:p w14:paraId="2499C4E9" w14:textId="77777777" w:rsidR="00DB7C09" w:rsidRDefault="008024C2" w:rsidP="00F968D4"/>
      </w:tc>
      <w:tc>
        <w:tcPr>
          <w:tcW w:w="4253" w:type="dxa"/>
          <w:gridSpan w:val="2"/>
        </w:tcPr>
        <w:p w14:paraId="3A23EB26" w14:textId="77777777" w:rsidR="00DB7C09" w:rsidRPr="00BD47E4" w:rsidRDefault="003D1CF3" w:rsidP="002A07BC">
          <w:pPr>
            <w:jc w:val="right"/>
            <w:rPr>
              <w:b/>
              <w:sz w:val="32"/>
              <w:szCs w:val="32"/>
            </w:rPr>
          </w:pPr>
          <w:bookmarkStart w:id="2" w:name="type"/>
          <w:r w:rsidRPr="00BD47E4">
            <w:rPr>
              <w:b/>
              <w:sz w:val="32"/>
              <w:szCs w:val="32"/>
            </w:rPr>
            <w:t>IP</w:t>
          </w:r>
          <w:bookmarkEnd w:id="2"/>
        </w:p>
      </w:tc>
      <w:tc>
        <w:tcPr>
          <w:tcW w:w="1524" w:type="dxa"/>
          <w:gridSpan w:val="2"/>
        </w:tcPr>
        <w:p w14:paraId="0F00D5BE" w14:textId="13C5648C" w:rsidR="00DB7C09" w:rsidRPr="00BD47E4" w:rsidRDefault="003D1CF3" w:rsidP="00DB7C09">
          <w:pPr>
            <w:rPr>
              <w:b/>
              <w:sz w:val="32"/>
              <w:szCs w:val="32"/>
            </w:rPr>
          </w:pPr>
          <w:bookmarkStart w:id="3" w:name="number"/>
          <w:r w:rsidRPr="00BD47E4">
            <w:rPr>
              <w:b/>
              <w:sz w:val="32"/>
              <w:szCs w:val="32"/>
            </w:rPr>
            <w:t>21</w:t>
          </w:r>
          <w:bookmarkEnd w:id="3"/>
          <w:r w:rsidR="008024C2">
            <w:rPr>
              <w:b/>
              <w:sz w:val="32"/>
              <w:szCs w:val="32"/>
            </w:rPr>
            <w:t xml:space="preserve"> rev.1</w:t>
          </w:r>
        </w:p>
      </w:tc>
    </w:tr>
    <w:tr w:rsidR="00C935F4" w14:paraId="24518A75" w14:textId="77777777" w:rsidTr="002E12EC">
      <w:trPr>
        <w:trHeight w:val="2165"/>
        <w:jc w:val="center"/>
      </w:trPr>
      <w:tc>
        <w:tcPr>
          <w:tcW w:w="5495" w:type="dxa"/>
        </w:tcPr>
        <w:p w14:paraId="662631ED" w14:textId="77777777" w:rsidR="00490760" w:rsidRPr="00EE4D48" w:rsidRDefault="003D1CF3" w:rsidP="002A07BC">
          <w:pPr>
            <w:rPr>
              <w:b/>
              <w:sz w:val="28"/>
              <w:szCs w:val="28"/>
            </w:rPr>
          </w:pPr>
          <w:r>
            <w:rPr>
              <w:noProof/>
            </w:rPr>
            <w:drawing>
              <wp:inline distT="0" distB="0" distL="0" distR="0" wp14:anchorId="2788C601" wp14:editId="4520D061">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3456"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2565040" w14:textId="77777777" w:rsidR="00490760" w:rsidRPr="00FE5146" w:rsidRDefault="003D1CF3" w:rsidP="00490760">
          <w:pPr>
            <w:jc w:val="right"/>
            <w:rPr>
              <w:sz w:val="144"/>
              <w:szCs w:val="144"/>
            </w:rPr>
          </w:pPr>
          <w:r w:rsidRPr="00FE5146">
            <w:rPr>
              <w:sz w:val="144"/>
              <w:szCs w:val="144"/>
            </w:rPr>
            <w:t>ENG</w:t>
          </w:r>
        </w:p>
      </w:tc>
    </w:tr>
    <w:tr w:rsidR="00C935F4" w14:paraId="24B81C9A" w14:textId="77777777" w:rsidTr="002E12EC">
      <w:trPr>
        <w:trHeight w:val="409"/>
        <w:jc w:val="center"/>
      </w:trPr>
      <w:tc>
        <w:tcPr>
          <w:tcW w:w="8500" w:type="dxa"/>
          <w:gridSpan w:val="2"/>
        </w:tcPr>
        <w:p w14:paraId="673970DC" w14:textId="77777777" w:rsidR="00BD47E4" w:rsidRDefault="003D1CF3" w:rsidP="002C30DA">
          <w:pPr>
            <w:jc w:val="right"/>
          </w:pPr>
          <w:r>
            <w:t>Agenda Item:</w:t>
          </w:r>
        </w:p>
      </w:tc>
      <w:tc>
        <w:tcPr>
          <w:tcW w:w="2382" w:type="dxa"/>
          <w:gridSpan w:val="2"/>
        </w:tcPr>
        <w:p w14:paraId="21AB9744" w14:textId="77777777" w:rsidR="00BD47E4" w:rsidRDefault="003D1CF3" w:rsidP="002C30DA">
          <w:pPr>
            <w:jc w:val="right"/>
          </w:pPr>
          <w:bookmarkStart w:id="4" w:name="agenda"/>
          <w:r>
            <w:t>ATCM 13</w:t>
          </w:r>
          <w:bookmarkEnd w:id="4"/>
        </w:p>
      </w:tc>
      <w:tc>
        <w:tcPr>
          <w:tcW w:w="390" w:type="dxa"/>
        </w:tcPr>
        <w:p w14:paraId="4ED6E265" w14:textId="77777777" w:rsidR="00BD47E4" w:rsidRDefault="008024C2" w:rsidP="00387A65">
          <w:pPr>
            <w:jc w:val="right"/>
          </w:pPr>
        </w:p>
      </w:tc>
    </w:tr>
    <w:tr w:rsidR="00C935F4" w14:paraId="199390B2" w14:textId="77777777" w:rsidTr="002E12EC">
      <w:trPr>
        <w:trHeight w:val="397"/>
        <w:jc w:val="center"/>
      </w:trPr>
      <w:tc>
        <w:tcPr>
          <w:tcW w:w="8500" w:type="dxa"/>
          <w:gridSpan w:val="2"/>
        </w:tcPr>
        <w:p w14:paraId="462E069A" w14:textId="77777777" w:rsidR="00BD47E4" w:rsidRDefault="003D1CF3" w:rsidP="002C30DA">
          <w:pPr>
            <w:jc w:val="right"/>
          </w:pPr>
          <w:r>
            <w:t>Presented by:</w:t>
          </w:r>
        </w:p>
      </w:tc>
      <w:tc>
        <w:tcPr>
          <w:tcW w:w="2382" w:type="dxa"/>
          <w:gridSpan w:val="2"/>
        </w:tcPr>
        <w:p w14:paraId="6EC026CC" w14:textId="77777777" w:rsidR="00BD47E4" w:rsidRDefault="003D1CF3" w:rsidP="002C30DA">
          <w:pPr>
            <w:jc w:val="right"/>
          </w:pPr>
          <w:bookmarkStart w:id="5" w:name="party"/>
          <w:r>
            <w:t>United States, Netherlands, Norway, Portugal</w:t>
          </w:r>
          <w:bookmarkEnd w:id="5"/>
        </w:p>
      </w:tc>
      <w:tc>
        <w:tcPr>
          <w:tcW w:w="390" w:type="dxa"/>
        </w:tcPr>
        <w:p w14:paraId="5C9D4CAE" w14:textId="77777777" w:rsidR="00BD47E4" w:rsidRDefault="008024C2" w:rsidP="00387A65">
          <w:pPr>
            <w:jc w:val="right"/>
          </w:pPr>
        </w:p>
      </w:tc>
    </w:tr>
    <w:tr w:rsidR="00C935F4" w14:paraId="62213CF2" w14:textId="77777777" w:rsidTr="002E12EC">
      <w:trPr>
        <w:trHeight w:val="409"/>
        <w:jc w:val="center"/>
      </w:trPr>
      <w:tc>
        <w:tcPr>
          <w:tcW w:w="8500" w:type="dxa"/>
          <w:gridSpan w:val="2"/>
        </w:tcPr>
        <w:p w14:paraId="4D22BC34" w14:textId="77777777" w:rsidR="00BD47E4" w:rsidRDefault="003D1CF3" w:rsidP="002C30DA">
          <w:pPr>
            <w:jc w:val="right"/>
          </w:pPr>
          <w:r>
            <w:t>Original:</w:t>
          </w:r>
        </w:p>
      </w:tc>
      <w:tc>
        <w:tcPr>
          <w:tcW w:w="2382" w:type="dxa"/>
          <w:gridSpan w:val="2"/>
        </w:tcPr>
        <w:p w14:paraId="489AF1EE" w14:textId="77777777" w:rsidR="00BD47E4" w:rsidRDefault="003D1CF3" w:rsidP="002C30DA">
          <w:pPr>
            <w:jc w:val="right"/>
          </w:pPr>
          <w:bookmarkStart w:id="6" w:name="language"/>
          <w:r>
            <w:t>English</w:t>
          </w:r>
          <w:bookmarkEnd w:id="6"/>
        </w:p>
      </w:tc>
      <w:tc>
        <w:tcPr>
          <w:tcW w:w="390" w:type="dxa"/>
        </w:tcPr>
        <w:p w14:paraId="7B400588" w14:textId="77777777" w:rsidR="00BD47E4" w:rsidRDefault="008024C2" w:rsidP="00387A65">
          <w:pPr>
            <w:jc w:val="right"/>
          </w:pPr>
        </w:p>
      </w:tc>
    </w:tr>
    <w:tr w:rsidR="00C935F4" w14:paraId="704BCD2E" w14:textId="77777777" w:rsidTr="002E12EC">
      <w:trPr>
        <w:trHeight w:val="409"/>
        <w:jc w:val="center"/>
      </w:trPr>
      <w:tc>
        <w:tcPr>
          <w:tcW w:w="8500" w:type="dxa"/>
          <w:gridSpan w:val="2"/>
        </w:tcPr>
        <w:p w14:paraId="302C0A93" w14:textId="77777777" w:rsidR="0097629D" w:rsidRDefault="003D1CF3" w:rsidP="002C30DA">
          <w:pPr>
            <w:jc w:val="right"/>
          </w:pPr>
          <w:r>
            <w:t>Submitted:</w:t>
          </w:r>
        </w:p>
      </w:tc>
      <w:tc>
        <w:tcPr>
          <w:tcW w:w="2382" w:type="dxa"/>
          <w:gridSpan w:val="2"/>
        </w:tcPr>
        <w:p w14:paraId="249E6A24" w14:textId="77777777" w:rsidR="0097629D" w:rsidRDefault="003D1CF3" w:rsidP="0097629D">
          <w:pPr>
            <w:jc w:val="right"/>
          </w:pPr>
          <w:bookmarkStart w:id="7" w:name="date_submission"/>
          <w:r>
            <w:t>14 Apr 2023</w:t>
          </w:r>
          <w:bookmarkEnd w:id="7"/>
        </w:p>
      </w:tc>
      <w:tc>
        <w:tcPr>
          <w:tcW w:w="390" w:type="dxa"/>
        </w:tcPr>
        <w:p w14:paraId="6C5ABE84" w14:textId="77777777" w:rsidR="0097629D" w:rsidRDefault="008024C2" w:rsidP="00387A65">
          <w:pPr>
            <w:jc w:val="right"/>
          </w:pPr>
        </w:p>
      </w:tc>
    </w:tr>
  </w:tbl>
  <w:p w14:paraId="270B4809" w14:textId="77777777" w:rsidR="00AE5DD0" w:rsidRDefault="008024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935F4" w14:paraId="4F141291" w14:textId="77777777">
      <w:trPr>
        <w:trHeight w:val="354"/>
        <w:jc w:val="center"/>
      </w:trPr>
      <w:tc>
        <w:tcPr>
          <w:tcW w:w="9694" w:type="dxa"/>
        </w:tcPr>
        <w:p w14:paraId="0D1342BE" w14:textId="6C632F97" w:rsidR="00AE5DD0" w:rsidRPr="00BD47E4" w:rsidRDefault="003D1CF3" w:rsidP="00C26F2D">
          <w:pPr>
            <w:jc w:val="right"/>
            <w:rPr>
              <w:b/>
              <w:sz w:val="32"/>
              <w:szCs w:val="32"/>
            </w:rPr>
          </w:pPr>
          <w:r>
            <w:rPr>
              <w:b/>
              <w:sz w:val="32"/>
              <w:szCs w:val="32"/>
            </w:rPr>
            <w:t>IP</w:t>
          </w:r>
        </w:p>
      </w:tc>
      <w:tc>
        <w:tcPr>
          <w:tcW w:w="1332" w:type="dxa"/>
        </w:tcPr>
        <w:p w14:paraId="36F423F4" w14:textId="3931D2EA" w:rsidR="00AE5DD0" w:rsidRPr="00BD47E4" w:rsidRDefault="003D1CF3" w:rsidP="00080F4C">
          <w:pPr>
            <w:rPr>
              <w:b/>
              <w:sz w:val="32"/>
              <w:szCs w:val="32"/>
            </w:rPr>
          </w:pPr>
          <w:r>
            <w:rPr>
              <w:b/>
              <w:sz w:val="32"/>
              <w:szCs w:val="32"/>
            </w:rPr>
            <w:t>21</w:t>
          </w:r>
          <w:r w:rsidR="008024C2">
            <w:rPr>
              <w:b/>
              <w:sz w:val="32"/>
              <w:szCs w:val="32"/>
            </w:rPr>
            <w:t xml:space="preserve"> rev.1</w:t>
          </w:r>
        </w:p>
      </w:tc>
    </w:tr>
  </w:tbl>
  <w:p w14:paraId="50193717" w14:textId="77777777" w:rsidR="00AE5DD0" w:rsidRDefault="008024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222142E">
      <w:start w:val="1"/>
      <w:numFmt w:val="bullet"/>
      <w:pStyle w:val="ATSBullet1"/>
      <w:lvlText w:val=""/>
      <w:lvlJc w:val="left"/>
      <w:pPr>
        <w:tabs>
          <w:tab w:val="num" w:pos="360"/>
        </w:tabs>
        <w:ind w:left="360" w:hanging="360"/>
      </w:pPr>
      <w:rPr>
        <w:rFonts w:ascii="Symbol" w:hAnsi="Symbol" w:hint="default"/>
        <w:color w:val="auto"/>
      </w:rPr>
    </w:lvl>
    <w:lvl w:ilvl="1" w:tplc="8ACC419A" w:tentative="1">
      <w:start w:val="1"/>
      <w:numFmt w:val="bullet"/>
      <w:lvlText w:val="o"/>
      <w:lvlJc w:val="left"/>
      <w:pPr>
        <w:tabs>
          <w:tab w:val="num" w:pos="1440"/>
        </w:tabs>
        <w:ind w:left="1440" w:hanging="360"/>
      </w:pPr>
      <w:rPr>
        <w:rFonts w:ascii="Courier New" w:hAnsi="Courier New" w:cs="Courier New" w:hint="default"/>
      </w:rPr>
    </w:lvl>
    <w:lvl w:ilvl="2" w:tplc="1A50F008" w:tentative="1">
      <w:start w:val="1"/>
      <w:numFmt w:val="bullet"/>
      <w:lvlText w:val=""/>
      <w:lvlJc w:val="left"/>
      <w:pPr>
        <w:tabs>
          <w:tab w:val="num" w:pos="2160"/>
        </w:tabs>
        <w:ind w:left="2160" w:hanging="360"/>
      </w:pPr>
      <w:rPr>
        <w:rFonts w:ascii="Wingdings" w:hAnsi="Wingdings" w:hint="default"/>
      </w:rPr>
    </w:lvl>
    <w:lvl w:ilvl="3" w:tplc="EB444FD6" w:tentative="1">
      <w:start w:val="1"/>
      <w:numFmt w:val="bullet"/>
      <w:lvlText w:val=""/>
      <w:lvlJc w:val="left"/>
      <w:pPr>
        <w:tabs>
          <w:tab w:val="num" w:pos="2880"/>
        </w:tabs>
        <w:ind w:left="2880" w:hanging="360"/>
      </w:pPr>
      <w:rPr>
        <w:rFonts w:ascii="Symbol" w:hAnsi="Symbol" w:hint="default"/>
      </w:rPr>
    </w:lvl>
    <w:lvl w:ilvl="4" w:tplc="17D84214" w:tentative="1">
      <w:start w:val="1"/>
      <w:numFmt w:val="bullet"/>
      <w:lvlText w:val="o"/>
      <w:lvlJc w:val="left"/>
      <w:pPr>
        <w:tabs>
          <w:tab w:val="num" w:pos="3600"/>
        </w:tabs>
        <w:ind w:left="3600" w:hanging="360"/>
      </w:pPr>
      <w:rPr>
        <w:rFonts w:ascii="Courier New" w:hAnsi="Courier New" w:cs="Courier New" w:hint="default"/>
      </w:rPr>
    </w:lvl>
    <w:lvl w:ilvl="5" w:tplc="4B266A22" w:tentative="1">
      <w:start w:val="1"/>
      <w:numFmt w:val="bullet"/>
      <w:lvlText w:val=""/>
      <w:lvlJc w:val="left"/>
      <w:pPr>
        <w:tabs>
          <w:tab w:val="num" w:pos="4320"/>
        </w:tabs>
        <w:ind w:left="4320" w:hanging="360"/>
      </w:pPr>
      <w:rPr>
        <w:rFonts w:ascii="Wingdings" w:hAnsi="Wingdings" w:hint="default"/>
      </w:rPr>
    </w:lvl>
    <w:lvl w:ilvl="6" w:tplc="07045FFA" w:tentative="1">
      <w:start w:val="1"/>
      <w:numFmt w:val="bullet"/>
      <w:lvlText w:val=""/>
      <w:lvlJc w:val="left"/>
      <w:pPr>
        <w:tabs>
          <w:tab w:val="num" w:pos="5040"/>
        </w:tabs>
        <w:ind w:left="5040" w:hanging="360"/>
      </w:pPr>
      <w:rPr>
        <w:rFonts w:ascii="Symbol" w:hAnsi="Symbol" w:hint="default"/>
      </w:rPr>
    </w:lvl>
    <w:lvl w:ilvl="7" w:tplc="87569218" w:tentative="1">
      <w:start w:val="1"/>
      <w:numFmt w:val="bullet"/>
      <w:lvlText w:val="o"/>
      <w:lvlJc w:val="left"/>
      <w:pPr>
        <w:tabs>
          <w:tab w:val="num" w:pos="5760"/>
        </w:tabs>
        <w:ind w:left="5760" w:hanging="360"/>
      </w:pPr>
      <w:rPr>
        <w:rFonts w:ascii="Courier New" w:hAnsi="Courier New" w:cs="Courier New" w:hint="default"/>
      </w:rPr>
    </w:lvl>
    <w:lvl w:ilvl="8" w:tplc="1100AB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BF41044">
      <w:start w:val="1"/>
      <w:numFmt w:val="decimal"/>
      <w:lvlText w:val="%1)"/>
      <w:lvlJc w:val="left"/>
      <w:pPr>
        <w:tabs>
          <w:tab w:val="num" w:pos="340"/>
        </w:tabs>
        <w:ind w:left="340" w:hanging="340"/>
      </w:pPr>
      <w:rPr>
        <w:rFonts w:hint="default"/>
      </w:rPr>
    </w:lvl>
    <w:lvl w:ilvl="1" w:tplc="7A5C8DEA" w:tentative="1">
      <w:start w:val="1"/>
      <w:numFmt w:val="lowerLetter"/>
      <w:lvlText w:val="%2."/>
      <w:lvlJc w:val="left"/>
      <w:pPr>
        <w:tabs>
          <w:tab w:val="num" w:pos="1440"/>
        </w:tabs>
        <w:ind w:left="1440" w:hanging="360"/>
      </w:pPr>
    </w:lvl>
    <w:lvl w:ilvl="2" w:tplc="BF3AA068" w:tentative="1">
      <w:start w:val="1"/>
      <w:numFmt w:val="lowerRoman"/>
      <w:lvlText w:val="%3."/>
      <w:lvlJc w:val="right"/>
      <w:pPr>
        <w:tabs>
          <w:tab w:val="num" w:pos="2160"/>
        </w:tabs>
        <w:ind w:left="2160" w:hanging="180"/>
      </w:pPr>
    </w:lvl>
    <w:lvl w:ilvl="3" w:tplc="53F8A2D0" w:tentative="1">
      <w:start w:val="1"/>
      <w:numFmt w:val="decimal"/>
      <w:lvlText w:val="%4."/>
      <w:lvlJc w:val="left"/>
      <w:pPr>
        <w:tabs>
          <w:tab w:val="num" w:pos="2880"/>
        </w:tabs>
        <w:ind w:left="2880" w:hanging="360"/>
      </w:pPr>
    </w:lvl>
    <w:lvl w:ilvl="4" w:tplc="9FD8BE6C" w:tentative="1">
      <w:start w:val="1"/>
      <w:numFmt w:val="lowerLetter"/>
      <w:lvlText w:val="%5."/>
      <w:lvlJc w:val="left"/>
      <w:pPr>
        <w:tabs>
          <w:tab w:val="num" w:pos="3600"/>
        </w:tabs>
        <w:ind w:left="3600" w:hanging="360"/>
      </w:pPr>
    </w:lvl>
    <w:lvl w:ilvl="5" w:tplc="D3C0223E" w:tentative="1">
      <w:start w:val="1"/>
      <w:numFmt w:val="lowerRoman"/>
      <w:lvlText w:val="%6."/>
      <w:lvlJc w:val="right"/>
      <w:pPr>
        <w:tabs>
          <w:tab w:val="num" w:pos="4320"/>
        </w:tabs>
        <w:ind w:left="4320" w:hanging="180"/>
      </w:pPr>
    </w:lvl>
    <w:lvl w:ilvl="6" w:tplc="2CB0BD2A" w:tentative="1">
      <w:start w:val="1"/>
      <w:numFmt w:val="decimal"/>
      <w:lvlText w:val="%7."/>
      <w:lvlJc w:val="left"/>
      <w:pPr>
        <w:tabs>
          <w:tab w:val="num" w:pos="5040"/>
        </w:tabs>
        <w:ind w:left="5040" w:hanging="360"/>
      </w:pPr>
    </w:lvl>
    <w:lvl w:ilvl="7" w:tplc="66CC4064" w:tentative="1">
      <w:start w:val="1"/>
      <w:numFmt w:val="lowerLetter"/>
      <w:lvlText w:val="%8."/>
      <w:lvlJc w:val="left"/>
      <w:pPr>
        <w:tabs>
          <w:tab w:val="num" w:pos="5760"/>
        </w:tabs>
        <w:ind w:left="5760" w:hanging="360"/>
      </w:pPr>
    </w:lvl>
    <w:lvl w:ilvl="8" w:tplc="A62C5B1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E402126">
      <w:start w:val="1"/>
      <w:numFmt w:val="decimal"/>
      <w:lvlText w:val="%1."/>
      <w:lvlJc w:val="left"/>
      <w:pPr>
        <w:tabs>
          <w:tab w:val="num" w:pos="1057"/>
        </w:tabs>
        <w:ind w:left="1057" w:hanging="360"/>
      </w:pPr>
      <w:rPr>
        <w:rFonts w:hint="default"/>
      </w:rPr>
    </w:lvl>
    <w:lvl w:ilvl="1" w:tplc="1D9A0B80" w:tentative="1">
      <w:start w:val="1"/>
      <w:numFmt w:val="lowerLetter"/>
      <w:lvlText w:val="%2."/>
      <w:lvlJc w:val="left"/>
      <w:pPr>
        <w:tabs>
          <w:tab w:val="num" w:pos="2137"/>
        </w:tabs>
        <w:ind w:left="2137" w:hanging="360"/>
      </w:pPr>
    </w:lvl>
    <w:lvl w:ilvl="2" w:tplc="7A38477E" w:tentative="1">
      <w:start w:val="1"/>
      <w:numFmt w:val="lowerRoman"/>
      <w:lvlText w:val="%3."/>
      <w:lvlJc w:val="right"/>
      <w:pPr>
        <w:tabs>
          <w:tab w:val="num" w:pos="2857"/>
        </w:tabs>
        <w:ind w:left="2857" w:hanging="180"/>
      </w:pPr>
    </w:lvl>
    <w:lvl w:ilvl="3" w:tplc="340E792A" w:tentative="1">
      <w:start w:val="1"/>
      <w:numFmt w:val="decimal"/>
      <w:lvlText w:val="%4."/>
      <w:lvlJc w:val="left"/>
      <w:pPr>
        <w:tabs>
          <w:tab w:val="num" w:pos="3577"/>
        </w:tabs>
        <w:ind w:left="3577" w:hanging="360"/>
      </w:pPr>
    </w:lvl>
    <w:lvl w:ilvl="4" w:tplc="D40C711C" w:tentative="1">
      <w:start w:val="1"/>
      <w:numFmt w:val="lowerLetter"/>
      <w:lvlText w:val="%5."/>
      <w:lvlJc w:val="left"/>
      <w:pPr>
        <w:tabs>
          <w:tab w:val="num" w:pos="4297"/>
        </w:tabs>
        <w:ind w:left="4297" w:hanging="360"/>
      </w:pPr>
    </w:lvl>
    <w:lvl w:ilvl="5" w:tplc="B4C8DF3E" w:tentative="1">
      <w:start w:val="1"/>
      <w:numFmt w:val="lowerRoman"/>
      <w:lvlText w:val="%6."/>
      <w:lvlJc w:val="right"/>
      <w:pPr>
        <w:tabs>
          <w:tab w:val="num" w:pos="5017"/>
        </w:tabs>
        <w:ind w:left="5017" w:hanging="180"/>
      </w:pPr>
    </w:lvl>
    <w:lvl w:ilvl="6" w:tplc="0BE6BA52" w:tentative="1">
      <w:start w:val="1"/>
      <w:numFmt w:val="decimal"/>
      <w:lvlText w:val="%7."/>
      <w:lvlJc w:val="left"/>
      <w:pPr>
        <w:tabs>
          <w:tab w:val="num" w:pos="5737"/>
        </w:tabs>
        <w:ind w:left="5737" w:hanging="360"/>
      </w:pPr>
    </w:lvl>
    <w:lvl w:ilvl="7" w:tplc="6018EF16" w:tentative="1">
      <w:start w:val="1"/>
      <w:numFmt w:val="lowerLetter"/>
      <w:lvlText w:val="%8."/>
      <w:lvlJc w:val="left"/>
      <w:pPr>
        <w:tabs>
          <w:tab w:val="num" w:pos="6457"/>
        </w:tabs>
        <w:ind w:left="6457" w:hanging="360"/>
      </w:pPr>
    </w:lvl>
    <w:lvl w:ilvl="8" w:tplc="BB0C2D7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32A20A6">
      <w:start w:val="1"/>
      <w:numFmt w:val="decimal"/>
      <w:pStyle w:val="ATSNumber1"/>
      <w:lvlText w:val="%1)"/>
      <w:lvlJc w:val="left"/>
      <w:pPr>
        <w:tabs>
          <w:tab w:val="num" w:pos="720"/>
        </w:tabs>
        <w:ind w:left="720" w:hanging="360"/>
      </w:pPr>
    </w:lvl>
    <w:lvl w:ilvl="1" w:tplc="09042756" w:tentative="1">
      <w:start w:val="1"/>
      <w:numFmt w:val="lowerLetter"/>
      <w:lvlText w:val="%2."/>
      <w:lvlJc w:val="left"/>
      <w:pPr>
        <w:tabs>
          <w:tab w:val="num" w:pos="1440"/>
        </w:tabs>
        <w:ind w:left="1440" w:hanging="360"/>
      </w:pPr>
    </w:lvl>
    <w:lvl w:ilvl="2" w:tplc="7F1834D4" w:tentative="1">
      <w:start w:val="1"/>
      <w:numFmt w:val="lowerRoman"/>
      <w:lvlText w:val="%3."/>
      <w:lvlJc w:val="right"/>
      <w:pPr>
        <w:tabs>
          <w:tab w:val="num" w:pos="2160"/>
        </w:tabs>
        <w:ind w:left="2160" w:hanging="180"/>
      </w:pPr>
    </w:lvl>
    <w:lvl w:ilvl="3" w:tplc="0EBC8FC8" w:tentative="1">
      <w:start w:val="1"/>
      <w:numFmt w:val="decimal"/>
      <w:lvlText w:val="%4."/>
      <w:lvlJc w:val="left"/>
      <w:pPr>
        <w:tabs>
          <w:tab w:val="num" w:pos="2880"/>
        </w:tabs>
        <w:ind w:left="2880" w:hanging="360"/>
      </w:pPr>
    </w:lvl>
    <w:lvl w:ilvl="4" w:tplc="667282D6" w:tentative="1">
      <w:start w:val="1"/>
      <w:numFmt w:val="lowerLetter"/>
      <w:lvlText w:val="%5."/>
      <w:lvlJc w:val="left"/>
      <w:pPr>
        <w:tabs>
          <w:tab w:val="num" w:pos="3600"/>
        </w:tabs>
        <w:ind w:left="3600" w:hanging="360"/>
      </w:pPr>
    </w:lvl>
    <w:lvl w:ilvl="5" w:tplc="E062D176" w:tentative="1">
      <w:start w:val="1"/>
      <w:numFmt w:val="lowerRoman"/>
      <w:lvlText w:val="%6."/>
      <w:lvlJc w:val="right"/>
      <w:pPr>
        <w:tabs>
          <w:tab w:val="num" w:pos="4320"/>
        </w:tabs>
        <w:ind w:left="4320" w:hanging="180"/>
      </w:pPr>
    </w:lvl>
    <w:lvl w:ilvl="6" w:tplc="412C9D6A" w:tentative="1">
      <w:start w:val="1"/>
      <w:numFmt w:val="decimal"/>
      <w:lvlText w:val="%7."/>
      <w:lvlJc w:val="left"/>
      <w:pPr>
        <w:tabs>
          <w:tab w:val="num" w:pos="5040"/>
        </w:tabs>
        <w:ind w:left="5040" w:hanging="360"/>
      </w:pPr>
    </w:lvl>
    <w:lvl w:ilvl="7" w:tplc="547EFA54" w:tentative="1">
      <w:start w:val="1"/>
      <w:numFmt w:val="lowerLetter"/>
      <w:lvlText w:val="%8."/>
      <w:lvlJc w:val="left"/>
      <w:pPr>
        <w:tabs>
          <w:tab w:val="num" w:pos="5760"/>
        </w:tabs>
        <w:ind w:left="5760" w:hanging="360"/>
      </w:pPr>
    </w:lvl>
    <w:lvl w:ilvl="8" w:tplc="2B0CCB4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9D8332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DD0E17E" w:tentative="1">
      <w:start w:val="1"/>
      <w:numFmt w:val="bullet"/>
      <w:lvlText w:val="o"/>
      <w:lvlJc w:val="left"/>
      <w:pPr>
        <w:tabs>
          <w:tab w:val="num" w:pos="2517"/>
        </w:tabs>
        <w:ind w:left="2517" w:hanging="360"/>
      </w:pPr>
      <w:rPr>
        <w:rFonts w:ascii="Courier New" w:hAnsi="Courier New" w:cs="Courier New" w:hint="default"/>
      </w:rPr>
    </w:lvl>
    <w:lvl w:ilvl="2" w:tplc="56B02BB0" w:tentative="1">
      <w:start w:val="1"/>
      <w:numFmt w:val="bullet"/>
      <w:lvlText w:val=""/>
      <w:lvlJc w:val="left"/>
      <w:pPr>
        <w:tabs>
          <w:tab w:val="num" w:pos="3237"/>
        </w:tabs>
        <w:ind w:left="3237" w:hanging="360"/>
      </w:pPr>
      <w:rPr>
        <w:rFonts w:ascii="Wingdings" w:hAnsi="Wingdings" w:hint="default"/>
      </w:rPr>
    </w:lvl>
    <w:lvl w:ilvl="3" w:tplc="8200B838" w:tentative="1">
      <w:start w:val="1"/>
      <w:numFmt w:val="bullet"/>
      <w:lvlText w:val=""/>
      <w:lvlJc w:val="left"/>
      <w:pPr>
        <w:tabs>
          <w:tab w:val="num" w:pos="3957"/>
        </w:tabs>
        <w:ind w:left="3957" w:hanging="360"/>
      </w:pPr>
      <w:rPr>
        <w:rFonts w:ascii="Symbol" w:hAnsi="Symbol" w:hint="default"/>
      </w:rPr>
    </w:lvl>
    <w:lvl w:ilvl="4" w:tplc="B28C3B78" w:tentative="1">
      <w:start w:val="1"/>
      <w:numFmt w:val="bullet"/>
      <w:lvlText w:val="o"/>
      <w:lvlJc w:val="left"/>
      <w:pPr>
        <w:tabs>
          <w:tab w:val="num" w:pos="4677"/>
        </w:tabs>
        <w:ind w:left="4677" w:hanging="360"/>
      </w:pPr>
      <w:rPr>
        <w:rFonts w:ascii="Courier New" w:hAnsi="Courier New" w:cs="Courier New" w:hint="default"/>
      </w:rPr>
    </w:lvl>
    <w:lvl w:ilvl="5" w:tplc="EF588F40" w:tentative="1">
      <w:start w:val="1"/>
      <w:numFmt w:val="bullet"/>
      <w:lvlText w:val=""/>
      <w:lvlJc w:val="left"/>
      <w:pPr>
        <w:tabs>
          <w:tab w:val="num" w:pos="5397"/>
        </w:tabs>
        <w:ind w:left="5397" w:hanging="360"/>
      </w:pPr>
      <w:rPr>
        <w:rFonts w:ascii="Wingdings" w:hAnsi="Wingdings" w:hint="default"/>
      </w:rPr>
    </w:lvl>
    <w:lvl w:ilvl="6" w:tplc="1CBEF478" w:tentative="1">
      <w:start w:val="1"/>
      <w:numFmt w:val="bullet"/>
      <w:lvlText w:val=""/>
      <w:lvlJc w:val="left"/>
      <w:pPr>
        <w:tabs>
          <w:tab w:val="num" w:pos="6117"/>
        </w:tabs>
        <w:ind w:left="6117" w:hanging="360"/>
      </w:pPr>
      <w:rPr>
        <w:rFonts w:ascii="Symbol" w:hAnsi="Symbol" w:hint="default"/>
      </w:rPr>
    </w:lvl>
    <w:lvl w:ilvl="7" w:tplc="2F9CE9EE" w:tentative="1">
      <w:start w:val="1"/>
      <w:numFmt w:val="bullet"/>
      <w:lvlText w:val="o"/>
      <w:lvlJc w:val="left"/>
      <w:pPr>
        <w:tabs>
          <w:tab w:val="num" w:pos="6837"/>
        </w:tabs>
        <w:ind w:left="6837" w:hanging="360"/>
      </w:pPr>
      <w:rPr>
        <w:rFonts w:ascii="Courier New" w:hAnsi="Courier New" w:cs="Courier New" w:hint="default"/>
      </w:rPr>
    </w:lvl>
    <w:lvl w:ilvl="8" w:tplc="E0D4DC7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502BE00">
      <w:start w:val="1"/>
      <w:numFmt w:val="decimal"/>
      <w:pStyle w:val="ATSNumber2"/>
      <w:lvlText w:val="%1."/>
      <w:lvlJc w:val="left"/>
      <w:pPr>
        <w:tabs>
          <w:tab w:val="num" w:pos="720"/>
        </w:tabs>
        <w:ind w:left="720" w:hanging="360"/>
      </w:pPr>
      <w:rPr>
        <w:rFonts w:hint="default"/>
      </w:rPr>
    </w:lvl>
    <w:lvl w:ilvl="1" w:tplc="B442E298" w:tentative="1">
      <w:start w:val="1"/>
      <w:numFmt w:val="lowerLetter"/>
      <w:lvlText w:val="%2."/>
      <w:lvlJc w:val="left"/>
      <w:pPr>
        <w:tabs>
          <w:tab w:val="num" w:pos="1440"/>
        </w:tabs>
        <w:ind w:left="1440" w:hanging="360"/>
      </w:pPr>
    </w:lvl>
    <w:lvl w:ilvl="2" w:tplc="70FA91DE" w:tentative="1">
      <w:start w:val="1"/>
      <w:numFmt w:val="lowerRoman"/>
      <w:lvlText w:val="%3."/>
      <w:lvlJc w:val="right"/>
      <w:pPr>
        <w:tabs>
          <w:tab w:val="num" w:pos="2160"/>
        </w:tabs>
        <w:ind w:left="2160" w:hanging="180"/>
      </w:pPr>
    </w:lvl>
    <w:lvl w:ilvl="3" w:tplc="89865076" w:tentative="1">
      <w:start w:val="1"/>
      <w:numFmt w:val="decimal"/>
      <w:lvlText w:val="%4."/>
      <w:lvlJc w:val="left"/>
      <w:pPr>
        <w:tabs>
          <w:tab w:val="num" w:pos="2880"/>
        </w:tabs>
        <w:ind w:left="2880" w:hanging="360"/>
      </w:pPr>
    </w:lvl>
    <w:lvl w:ilvl="4" w:tplc="179AD0A8" w:tentative="1">
      <w:start w:val="1"/>
      <w:numFmt w:val="lowerLetter"/>
      <w:lvlText w:val="%5."/>
      <w:lvlJc w:val="left"/>
      <w:pPr>
        <w:tabs>
          <w:tab w:val="num" w:pos="3600"/>
        </w:tabs>
        <w:ind w:left="3600" w:hanging="360"/>
      </w:pPr>
    </w:lvl>
    <w:lvl w:ilvl="5" w:tplc="4CDAD0D0" w:tentative="1">
      <w:start w:val="1"/>
      <w:numFmt w:val="lowerRoman"/>
      <w:lvlText w:val="%6."/>
      <w:lvlJc w:val="right"/>
      <w:pPr>
        <w:tabs>
          <w:tab w:val="num" w:pos="4320"/>
        </w:tabs>
        <w:ind w:left="4320" w:hanging="180"/>
      </w:pPr>
    </w:lvl>
    <w:lvl w:ilvl="6" w:tplc="409872D0" w:tentative="1">
      <w:start w:val="1"/>
      <w:numFmt w:val="decimal"/>
      <w:lvlText w:val="%7."/>
      <w:lvlJc w:val="left"/>
      <w:pPr>
        <w:tabs>
          <w:tab w:val="num" w:pos="5040"/>
        </w:tabs>
        <w:ind w:left="5040" w:hanging="360"/>
      </w:pPr>
    </w:lvl>
    <w:lvl w:ilvl="7" w:tplc="1C82FC56" w:tentative="1">
      <w:start w:val="1"/>
      <w:numFmt w:val="lowerLetter"/>
      <w:lvlText w:val="%8."/>
      <w:lvlJc w:val="left"/>
      <w:pPr>
        <w:tabs>
          <w:tab w:val="num" w:pos="5760"/>
        </w:tabs>
        <w:ind w:left="5760" w:hanging="360"/>
      </w:pPr>
    </w:lvl>
    <w:lvl w:ilvl="8" w:tplc="13DEA6E0" w:tentative="1">
      <w:start w:val="1"/>
      <w:numFmt w:val="lowerRoman"/>
      <w:lvlText w:val="%9."/>
      <w:lvlJc w:val="right"/>
      <w:pPr>
        <w:tabs>
          <w:tab w:val="num" w:pos="6480"/>
        </w:tabs>
        <w:ind w:left="6480" w:hanging="180"/>
      </w:pPr>
    </w:lvl>
  </w:abstractNum>
  <w:num w:numId="1" w16cid:durableId="801309522">
    <w:abstractNumId w:val="9"/>
  </w:num>
  <w:num w:numId="2" w16cid:durableId="1075399074">
    <w:abstractNumId w:val="7"/>
  </w:num>
  <w:num w:numId="3" w16cid:durableId="417024326">
    <w:abstractNumId w:val="6"/>
  </w:num>
  <w:num w:numId="4" w16cid:durableId="602346957">
    <w:abstractNumId w:val="5"/>
  </w:num>
  <w:num w:numId="5" w16cid:durableId="1641643207">
    <w:abstractNumId w:val="4"/>
  </w:num>
  <w:num w:numId="6" w16cid:durableId="1546986830">
    <w:abstractNumId w:val="8"/>
  </w:num>
  <w:num w:numId="7" w16cid:durableId="143741892">
    <w:abstractNumId w:val="3"/>
  </w:num>
  <w:num w:numId="8" w16cid:durableId="2107261439">
    <w:abstractNumId w:val="2"/>
  </w:num>
  <w:num w:numId="9" w16cid:durableId="1953510252">
    <w:abstractNumId w:val="1"/>
  </w:num>
  <w:num w:numId="10" w16cid:durableId="1503008593">
    <w:abstractNumId w:val="0"/>
  </w:num>
  <w:num w:numId="11" w16cid:durableId="507601916">
    <w:abstractNumId w:val="11"/>
  </w:num>
  <w:num w:numId="12" w16cid:durableId="320350288">
    <w:abstractNumId w:val="15"/>
  </w:num>
  <w:num w:numId="13" w16cid:durableId="1661614075">
    <w:abstractNumId w:val="14"/>
  </w:num>
  <w:num w:numId="14" w16cid:durableId="822358356">
    <w:abstractNumId w:val="12"/>
  </w:num>
  <w:num w:numId="15" w16cid:durableId="1882589726">
    <w:abstractNumId w:val="13"/>
  </w:num>
  <w:num w:numId="16" w16cid:durableId="1729566977">
    <w:abstractNumId w:val="10"/>
  </w:num>
  <w:num w:numId="17" w16cid:durableId="320356490">
    <w:abstractNumId w:val="11"/>
  </w:num>
  <w:num w:numId="18" w16cid:durableId="1502235057">
    <w:abstractNumId w:val="15"/>
  </w:num>
  <w:num w:numId="19" w16cid:durableId="1384787342">
    <w:abstractNumId w:val="14"/>
  </w:num>
  <w:num w:numId="20" w16cid:durableId="768304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F4"/>
    <w:rsid w:val="003D1CF3"/>
    <w:rsid w:val="00672497"/>
    <w:rsid w:val="008024C2"/>
    <w:rsid w:val="00C935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DF5738"/>
  <w15:chartTrackingRefBased/>
  <w15:docId w15:val="{B2F09DC6-8DD5-4C04-B4F4-DB8F25F8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uiPriority w:val="1"/>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uiPriority w:val="1"/>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uiPriority w:val="1"/>
    <w:rsid w:val="003D1CF3"/>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vel.state.gov/content/travel/en/traveladvisories/traveladvisories/antarctica-travel-advisory.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696</Words>
  <Characters>4161</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2023-05-23T04:13:00Z</dcterms:modified>
</cp:coreProperties>
</file>