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FA7DC" w14:textId="77777777" w:rsidR="00C26F2D" w:rsidRPr="00BF077B" w:rsidRDefault="00137E0A" w:rsidP="00BF077B">
      <w:pPr>
        <w:pStyle w:val="ATSNormal"/>
        <w:rPr>
          <w:rStyle w:val="Ttulodellibro"/>
        </w:rPr>
      </w:pPr>
    </w:p>
    <w:p w14:paraId="2CC78B26" w14:textId="77777777" w:rsidR="002F0A13" w:rsidRDefault="00137E0A" w:rsidP="004B4A60">
      <w:pPr>
        <w:rPr>
          <w:b/>
          <w:u w:val="single"/>
          <w:lang w:val="es-ES_tradnl"/>
        </w:rPr>
      </w:pPr>
    </w:p>
    <w:p w14:paraId="7E31FDAD" w14:textId="77777777" w:rsidR="002F0A13" w:rsidRDefault="00137E0A" w:rsidP="004B4A60">
      <w:pPr>
        <w:rPr>
          <w:b/>
          <w:u w:val="single"/>
          <w:lang w:val="es-ES_tradnl"/>
        </w:rPr>
      </w:pPr>
    </w:p>
    <w:p w14:paraId="5EDDE3FC" w14:textId="77777777" w:rsidR="002F0A13" w:rsidRDefault="00137E0A" w:rsidP="004B4A60">
      <w:pPr>
        <w:rPr>
          <w:b/>
          <w:u w:val="single"/>
          <w:lang w:val="es-ES_tradnl"/>
        </w:rPr>
      </w:pPr>
    </w:p>
    <w:p w14:paraId="01802A6B" w14:textId="77777777" w:rsidR="002F0A13" w:rsidRDefault="00137E0A" w:rsidP="004B4A60">
      <w:pPr>
        <w:rPr>
          <w:b/>
          <w:u w:val="single"/>
          <w:lang w:val="es-ES_tradnl"/>
        </w:rPr>
      </w:pPr>
    </w:p>
    <w:p w14:paraId="2CE8059E" w14:textId="77777777" w:rsidR="00C26F2D" w:rsidRDefault="00137E0A" w:rsidP="004B4A60">
      <w:pPr>
        <w:rPr>
          <w:b/>
          <w:u w:val="single"/>
          <w:lang w:val="es-ES_tradnl"/>
        </w:rPr>
      </w:pPr>
    </w:p>
    <w:p w14:paraId="5C2C4176" w14:textId="77777777" w:rsidR="004B4A60" w:rsidRPr="0057246E" w:rsidRDefault="00137E0A" w:rsidP="001B789F">
      <w:pPr>
        <w:pStyle w:val="ATSTitle"/>
      </w:pPr>
      <w:bookmarkStart w:id="0" w:name="name"/>
    </w:p>
    <w:p w14:paraId="28D820A6" w14:textId="77777777" w:rsidR="00456E82" w:rsidRDefault="00137E0A" w:rsidP="001B789F">
      <w:pPr>
        <w:pStyle w:val="ATSTitle"/>
      </w:pPr>
      <w:r>
        <w:t>IAATO Deep Field and Air Overview of Antarctic Tourism: 2022-23 Season and Preliminary Estimates for 2023-24 Season</w:t>
      </w:r>
    </w:p>
    <w:bookmarkEnd w:id="0"/>
    <w:p w14:paraId="06695B1F" w14:textId="77777777" w:rsidR="00456E82" w:rsidRDefault="00456E82" w:rsidP="001B789F">
      <w:pPr>
        <w:pStyle w:val="ATSTitle"/>
      </w:pPr>
    </w:p>
    <w:p w14:paraId="12D96D6F" w14:textId="77777777" w:rsidR="004B4A60" w:rsidRPr="0057246E" w:rsidRDefault="00137E0A" w:rsidP="00F75424">
      <w:pPr>
        <w:jc w:val="center"/>
      </w:pPr>
    </w:p>
    <w:p w14:paraId="3A480581" w14:textId="77777777" w:rsidR="004B4A60" w:rsidRPr="002F0A13" w:rsidRDefault="00137E0A" w:rsidP="002F0A13"/>
    <w:p w14:paraId="7807F8F5" w14:textId="77777777" w:rsidR="004B4A60" w:rsidRDefault="00137E0A" w:rsidP="00F75424">
      <w:pPr>
        <w:jc w:val="center"/>
      </w:pPr>
      <w:bookmarkStart w:id="1" w:name="memo"/>
      <w:bookmarkEnd w:id="1"/>
    </w:p>
    <w:p w14:paraId="64E6B9B3" w14:textId="77777777" w:rsidR="0097629D" w:rsidRDefault="00137E0A" w:rsidP="00F75424">
      <w:pPr>
        <w:jc w:val="center"/>
      </w:pPr>
    </w:p>
    <w:p w14:paraId="026EFB0C" w14:textId="77777777" w:rsidR="0097629D" w:rsidRDefault="00137E0A" w:rsidP="00F75424">
      <w:pPr>
        <w:jc w:val="center"/>
      </w:pPr>
    </w:p>
    <w:p w14:paraId="76A1A7DD" w14:textId="77777777" w:rsidR="0097629D" w:rsidRDefault="00137E0A" w:rsidP="00F75424">
      <w:pPr>
        <w:jc w:val="center"/>
      </w:pPr>
    </w:p>
    <w:p w14:paraId="32B1C572" w14:textId="77777777" w:rsidR="0097629D" w:rsidRPr="00C26F2D" w:rsidRDefault="00137E0A" w:rsidP="00F75424">
      <w:pPr>
        <w:jc w:val="center"/>
      </w:pPr>
    </w:p>
    <w:p w14:paraId="68F07011" w14:textId="77777777" w:rsidR="004B4A60" w:rsidRPr="0057246E" w:rsidRDefault="00137E0A" w:rsidP="004B4A60"/>
    <w:p w14:paraId="6B082B38" w14:textId="77777777" w:rsidR="00C26F2D" w:rsidRDefault="00137E0A"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787B5432" w14:textId="77777777" w:rsidR="00137E0A" w:rsidRPr="00256992" w:rsidRDefault="00137E0A" w:rsidP="00137E0A">
      <w:pPr>
        <w:pStyle w:val="ATSHeading1"/>
      </w:pPr>
      <w:r w:rsidRPr="00256992">
        <w:lastRenderedPageBreak/>
        <w:t>IAATO Overview of Deep Field and Air Tourism:</w:t>
      </w:r>
      <w:r w:rsidRPr="00256992">
        <w:br/>
        <w:t>A Historical Review of Growth, the 2022–23 Season,                                                  and Preliminary Estimates for 2023-24</w:t>
      </w:r>
    </w:p>
    <w:p w14:paraId="2E59F2C8" w14:textId="77777777" w:rsidR="00137E0A" w:rsidRPr="00256992" w:rsidRDefault="00137E0A" w:rsidP="00137E0A">
      <w:pPr>
        <w:spacing w:before="480" w:after="120"/>
        <w:jc w:val="center"/>
        <w:rPr>
          <w:b/>
          <w:sz w:val="32"/>
          <w:szCs w:val="32"/>
        </w:rPr>
      </w:pPr>
      <w:r w:rsidRPr="00256992">
        <w:rPr>
          <w:b/>
          <w:lang w:val="en-US"/>
        </w:rPr>
        <w:t>Information Paper Submitted by the</w:t>
      </w:r>
      <w:r w:rsidRPr="00256992">
        <w:rPr>
          <w:b/>
          <w:lang w:val="en-US"/>
        </w:rPr>
        <w:br w:type="textWrapping" w:clear="all"/>
        <w:t>International Association of Antarctica Tour Operators (IAATO)</w:t>
      </w:r>
    </w:p>
    <w:p w14:paraId="4BC3BCCB" w14:textId="77777777" w:rsidR="00137E0A" w:rsidRPr="00256992" w:rsidRDefault="00137E0A" w:rsidP="00137E0A">
      <w:pPr>
        <w:pStyle w:val="ATSHeading2"/>
        <w:ind w:right="234"/>
        <w:outlineLvl w:val="0"/>
        <w:rPr>
          <w:rFonts w:ascii="Times New Roman" w:hAnsi="Times New Roman"/>
        </w:rPr>
      </w:pPr>
      <w:r w:rsidRPr="00256992">
        <w:rPr>
          <w:rFonts w:ascii="Times New Roman" w:hAnsi="Times New Roman"/>
        </w:rPr>
        <w:t>Introduction</w:t>
      </w:r>
    </w:p>
    <w:p w14:paraId="2F2EA54B" w14:textId="77777777" w:rsidR="00137E0A" w:rsidRPr="00256992" w:rsidRDefault="00137E0A" w:rsidP="00137E0A">
      <w:pPr>
        <w:pStyle w:val="ATSNormal"/>
        <w:ind w:right="234"/>
        <w:rPr>
          <w:lang w:val="en-US"/>
        </w:rPr>
      </w:pPr>
      <w:r w:rsidRPr="00256992">
        <w:rPr>
          <w:lang w:val="en-US"/>
        </w:rPr>
        <w:t xml:space="preserve">IAATO is pleased to provide the statistical data compiled from Deep Field and Air Operator Post Visit Reports for the 2022-23 season and the preliminary estimates for 2023-24 season as of 01 May, 2023. </w:t>
      </w:r>
    </w:p>
    <w:p w14:paraId="2B87F727" w14:textId="77777777" w:rsidR="00137E0A" w:rsidRPr="00256992" w:rsidRDefault="00137E0A" w:rsidP="00137E0A">
      <w:pPr>
        <w:pStyle w:val="ATSNormal"/>
        <w:rPr>
          <w:lang w:val="en-US"/>
        </w:rPr>
      </w:pPr>
      <w:r w:rsidRPr="00256992">
        <w:rPr>
          <w:lang w:val="en-US"/>
        </w:rPr>
        <w:t xml:space="preserve">We take this opportunity to build on discussions with different Treaty Parties around growth and diversification of Deep Field and Air activities, by including some historical perspective which may aid ongoing considerations. The data presented throughout this paper are based on information provided to IAATO by its Operators in Post Visit Reports. Visitor numbers reflect only those travelling with IAATO Operator companies and do not include Observers, Government Officials, or those individuals taking part in research projects that are being supported by Deep Field Operators. It does not include information from any non-IAATO operators, nor does it include information about IAATO Operator support of National Antarctic Programs (NAPs). </w:t>
      </w:r>
    </w:p>
    <w:p w14:paraId="1A2162E5" w14:textId="77777777" w:rsidR="00137E0A" w:rsidRPr="00256992" w:rsidRDefault="00137E0A" w:rsidP="00137E0A">
      <w:pPr>
        <w:pStyle w:val="ATSNormal"/>
        <w:ind w:right="234"/>
        <w:rPr>
          <w:b/>
          <w:bCs/>
          <w:smallCaps/>
        </w:rPr>
      </w:pPr>
      <w:r w:rsidRPr="00256992">
        <w:rPr>
          <w:lang w:val="en-US"/>
        </w:rPr>
        <w:t xml:space="preserve">It should be noted at the outset that the worldwide SARS CoV-2 pandemic has had a significant impact on Antarctic private sector travel and consequently the numbers reported in this paper. Specifically, we draw attention to the fact that: </w:t>
      </w:r>
    </w:p>
    <w:p w14:paraId="0DDBA8DC" w14:textId="77777777" w:rsidR="00137E0A" w:rsidRPr="00256992" w:rsidRDefault="00137E0A" w:rsidP="00137E0A">
      <w:pPr>
        <w:pStyle w:val="ATSNormal"/>
        <w:numPr>
          <w:ilvl w:val="0"/>
          <w:numId w:val="21"/>
        </w:numPr>
        <w:ind w:right="234"/>
        <w:rPr>
          <w:rFonts w:eastAsia="Calibri"/>
          <w:szCs w:val="22"/>
          <w:lang w:val="en-US"/>
        </w:rPr>
      </w:pPr>
      <w:r w:rsidRPr="00256992">
        <w:rPr>
          <w:lang w:val="en-US"/>
        </w:rPr>
        <w:t>During the 2020-2021 season, there were no IAATO Deep Field and Air Operations, although some National Antarctic Program Support was given by IAATO Operators, following COMNAP and NAP COVID-19 Protocols. As this was not a representative season for IAATO the 2020-2021 data has been omitted from overall deliberations in this paper.</w:t>
      </w:r>
    </w:p>
    <w:p w14:paraId="3EE9C634" w14:textId="77777777" w:rsidR="00137E0A" w:rsidRPr="00256992" w:rsidRDefault="00137E0A" w:rsidP="00137E0A">
      <w:pPr>
        <w:pStyle w:val="ATSNormal"/>
        <w:numPr>
          <w:ilvl w:val="0"/>
          <w:numId w:val="21"/>
        </w:numPr>
        <w:ind w:right="234"/>
        <w:rPr>
          <w:szCs w:val="22"/>
          <w:lang w:val="en-US"/>
        </w:rPr>
      </w:pPr>
      <w:r w:rsidRPr="00256992">
        <w:t xml:space="preserve">During the 2021-2022 season there was a resumption of activities however visitor numbers remained depressed. </w:t>
      </w:r>
    </w:p>
    <w:p w14:paraId="2965A144" w14:textId="77777777" w:rsidR="00137E0A" w:rsidRPr="00256992" w:rsidRDefault="00137E0A" w:rsidP="00137E0A">
      <w:pPr>
        <w:pStyle w:val="ATSNormal"/>
        <w:ind w:right="234"/>
      </w:pPr>
      <w:r w:rsidRPr="00256992">
        <w:rPr>
          <w:lang w:val="en-US"/>
        </w:rPr>
        <w:t xml:space="preserve">IAATO’s Deep Field and Air Operators encompass all of the private-sector tour operators. </w:t>
      </w:r>
      <w:r w:rsidRPr="00256992">
        <w:t xml:space="preserve">Operator activities are permitted or authorized through Environmental Impact Assessments, Advance Notifications and, where relevant, Waste Management Permits, and submitted in advance of the season. </w:t>
      </w:r>
    </w:p>
    <w:p w14:paraId="3AE88884" w14:textId="77777777" w:rsidR="00137E0A" w:rsidRPr="00256992" w:rsidRDefault="00137E0A" w:rsidP="00137E0A">
      <w:pPr>
        <w:pStyle w:val="ATSNormal"/>
        <w:ind w:right="234"/>
      </w:pPr>
      <w:r w:rsidRPr="00256992">
        <w:t xml:space="preserve">All Deep Field and Air activities, that follow ATCM, COMNAP and IAATO policies and guidelines, have been authorised and conducted on expeditions since the 1990’s. Regular deep field activities commenced towards the end of the 1980s, although there were exceptional one-off expeditions prior to this period, e.g. Transglobe Expedition (1980–81); In the Footsteps of Scott (1984–1987). IAATO Operators conduct their operations in a safe and environmentally responsible manner, and all activities are planned to have no more than a minor or transitory impact on the Antarctic environment.  </w:t>
      </w:r>
    </w:p>
    <w:p w14:paraId="05CA0F7E" w14:textId="77777777" w:rsidR="00137E0A" w:rsidRPr="00256992" w:rsidRDefault="00137E0A" w:rsidP="00137E0A">
      <w:pPr>
        <w:rPr>
          <w:b/>
          <w:bCs/>
          <w:i/>
          <w:iCs/>
          <w:lang w:val="en-US"/>
        </w:rPr>
      </w:pPr>
      <w:r w:rsidRPr="00256992">
        <w:rPr>
          <w:b/>
          <w:bCs/>
          <w:i/>
          <w:iCs/>
          <w:lang w:val="en-US"/>
        </w:rPr>
        <w:t>1.0 IAATO Member Nationalities</w:t>
      </w:r>
    </w:p>
    <w:p w14:paraId="33C0F897" w14:textId="77777777" w:rsidR="00137E0A" w:rsidRPr="00256992" w:rsidRDefault="00137E0A" w:rsidP="00137E0A">
      <w:pPr>
        <w:rPr>
          <w:b/>
          <w:bCs/>
          <w:sz w:val="10"/>
          <w:szCs w:val="10"/>
          <w:lang w:val="en-US"/>
        </w:rPr>
      </w:pPr>
    </w:p>
    <w:p w14:paraId="0D0D8BF4" w14:textId="77777777" w:rsidR="00137E0A" w:rsidRPr="00256992" w:rsidRDefault="00137E0A" w:rsidP="00137E0A">
      <w:r w:rsidRPr="00256992">
        <w:rPr>
          <w:lang w:val="en-US"/>
        </w:rPr>
        <w:t xml:space="preserve">Reflecting on the latest period of growth, the Post Visit Reports submitted to IAATO indicate the top 10 nationalities who visited Antarctica (vessel and deep field) have remained relatively consistent over the last ten seasons, although proportionately and prior to the pandemic, China had seen the greatest increase in travelers to Antarctica. During the 2023-24 season Chinese </w:t>
      </w:r>
      <w:r w:rsidRPr="00256992">
        <w:rPr>
          <w:lang w:val="en-US"/>
        </w:rPr>
        <w:lastRenderedPageBreak/>
        <w:t xml:space="preserve">visitors are expected to return in pre-pandemic numbers.  An overview of the last 10 years can be found in </w:t>
      </w:r>
      <w:r w:rsidRPr="00256992">
        <w:rPr>
          <w:i/>
          <w:iCs/>
        </w:rPr>
        <w:t>Figure 2</w:t>
      </w:r>
      <w:r w:rsidRPr="00256992">
        <w:t>.</w:t>
      </w:r>
      <w:r w:rsidRPr="00256992">
        <w:rPr>
          <w:i/>
          <w:iCs/>
        </w:rPr>
        <w:t xml:space="preserve"> </w:t>
      </w:r>
    </w:p>
    <w:p w14:paraId="5BBED3F9" w14:textId="77777777" w:rsidR="00137E0A" w:rsidRPr="00256992" w:rsidRDefault="00137E0A" w:rsidP="00137E0A">
      <w:pPr>
        <w:rPr>
          <w:b/>
          <w:bCs/>
        </w:rPr>
      </w:pPr>
    </w:p>
    <w:p w14:paraId="42D6EA79" w14:textId="77777777" w:rsidR="00137E0A" w:rsidRPr="00256992" w:rsidRDefault="00137E0A" w:rsidP="00137E0A">
      <w:pPr>
        <w:rPr>
          <w:b/>
          <w:bCs/>
          <w:i/>
          <w:iCs/>
        </w:rPr>
      </w:pPr>
      <w:r w:rsidRPr="00256992">
        <w:rPr>
          <w:b/>
          <w:bCs/>
          <w:noProof/>
          <w:lang w:eastAsia="en-GB"/>
        </w:rPr>
        <w:drawing>
          <wp:inline distT="0" distB="0" distL="0" distR="0" wp14:anchorId="3C0D6850" wp14:editId="69679A8E">
            <wp:extent cx="5400675" cy="3384550"/>
            <wp:effectExtent l="0" t="0" r="9525" b="6350"/>
            <wp:docPr id="5" name="Chart 5">
              <a:extLst xmlns:a="http://schemas.openxmlformats.org/drawingml/2006/main">
                <a:ext uri="{FF2B5EF4-FFF2-40B4-BE49-F238E27FC236}">
                  <a16:creationId xmlns:a16="http://schemas.microsoft.com/office/drawing/2014/main" id="{FBBDE705-B2F9-1E4F-0DB0-C014BDD2CF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9EDF6D4" w14:textId="77777777" w:rsidR="00137E0A" w:rsidRPr="00256992" w:rsidRDefault="00137E0A" w:rsidP="00137E0A">
      <w:pPr>
        <w:rPr>
          <w:i/>
          <w:iCs/>
        </w:rPr>
      </w:pPr>
      <w:r w:rsidRPr="00256992">
        <w:rPr>
          <w:i/>
          <w:iCs/>
        </w:rPr>
        <w:t>Figure 2: Top 10 Passenger nationalities (vessel and deep field) travelling with IAATO operators between 2014-2022</w:t>
      </w:r>
    </w:p>
    <w:p w14:paraId="4922F8CF" w14:textId="77777777" w:rsidR="00137E0A" w:rsidRPr="00256992" w:rsidRDefault="00137E0A" w:rsidP="00137E0A">
      <w:pPr>
        <w:pStyle w:val="ATSHeading2"/>
        <w:ind w:right="234"/>
        <w:outlineLvl w:val="0"/>
        <w:rPr>
          <w:rFonts w:ascii="Times New Roman" w:hAnsi="Times New Roman"/>
          <w:sz w:val="22"/>
        </w:rPr>
      </w:pPr>
      <w:r w:rsidRPr="00256992">
        <w:rPr>
          <w:rFonts w:ascii="Times New Roman" w:hAnsi="Times New Roman"/>
          <w:sz w:val="22"/>
        </w:rPr>
        <w:t>2.0</w:t>
      </w:r>
      <w:r w:rsidRPr="00256992">
        <w:rPr>
          <w:rFonts w:ascii="Times New Roman" w:hAnsi="Times New Roman"/>
          <w:sz w:val="22"/>
        </w:rPr>
        <w:tab/>
        <w:t>IAATO Deep Field and Air Operations Overview</w:t>
      </w:r>
    </w:p>
    <w:p w14:paraId="5DAFF636" w14:textId="77777777" w:rsidR="00137E0A" w:rsidRPr="00256992" w:rsidRDefault="00137E0A" w:rsidP="00137E0A">
      <w:pPr>
        <w:ind w:right="234"/>
        <w:rPr>
          <w:szCs w:val="22"/>
          <w:lang w:val="en-US"/>
        </w:rPr>
      </w:pPr>
      <w:r w:rsidRPr="00256992">
        <w:rPr>
          <w:szCs w:val="22"/>
          <w:lang w:val="en-US"/>
        </w:rPr>
        <w:t>This section focuses on IAATO Deep Field and Air Operations.</w:t>
      </w:r>
    </w:p>
    <w:p w14:paraId="42856DBA" w14:textId="77777777" w:rsidR="00137E0A" w:rsidRPr="00256992" w:rsidRDefault="00137E0A" w:rsidP="00137E0A">
      <w:pPr>
        <w:ind w:right="234"/>
        <w:rPr>
          <w:sz w:val="10"/>
          <w:szCs w:val="10"/>
          <w:lang w:val="en-US"/>
        </w:rPr>
      </w:pPr>
    </w:p>
    <w:p w14:paraId="13CF58EE" w14:textId="77777777" w:rsidR="00137E0A" w:rsidRPr="00256992" w:rsidRDefault="00137E0A" w:rsidP="00137E0A">
      <w:pPr>
        <w:rPr>
          <w:i/>
          <w:iCs/>
          <w:szCs w:val="22"/>
          <w:lang w:val="en-US"/>
        </w:rPr>
      </w:pPr>
      <w:r w:rsidRPr="00256992">
        <w:rPr>
          <w:szCs w:val="22"/>
          <w:lang w:val="en-US"/>
        </w:rPr>
        <w:t xml:space="preserve">For IAATO Vessel Operator information please refer to ATCM XLV IP56 </w:t>
      </w:r>
      <w:r w:rsidRPr="00256992">
        <w:rPr>
          <w:i/>
          <w:iCs/>
          <w:szCs w:val="22"/>
          <w:lang w:val="en-US"/>
        </w:rPr>
        <w:t>IAATO Vessel Overview of Antarctic Tourism: 2022-23 Season and Preliminary Estimates for 2023-24 Season.</w:t>
      </w:r>
    </w:p>
    <w:p w14:paraId="14936C91" w14:textId="77777777" w:rsidR="00137E0A" w:rsidRPr="00256992" w:rsidRDefault="00137E0A" w:rsidP="00137E0A"/>
    <w:p w14:paraId="76B8C2CD" w14:textId="77777777" w:rsidR="00137E0A" w:rsidRPr="00256992" w:rsidRDefault="00137E0A" w:rsidP="00137E0A">
      <w:pPr>
        <w:rPr>
          <w:b/>
          <w:bCs/>
          <w:szCs w:val="22"/>
        </w:rPr>
      </w:pPr>
      <w:r w:rsidRPr="00256992">
        <w:rPr>
          <w:b/>
          <w:bCs/>
          <w:szCs w:val="22"/>
        </w:rPr>
        <w:t>2.1</w:t>
      </w:r>
      <w:r w:rsidRPr="00256992">
        <w:rPr>
          <w:b/>
          <w:bCs/>
          <w:szCs w:val="22"/>
        </w:rPr>
        <w:tab/>
        <w:t>IAATO Deep Field and Air Operators</w:t>
      </w:r>
    </w:p>
    <w:p w14:paraId="2916214B" w14:textId="77777777" w:rsidR="00137E0A" w:rsidRPr="00256992" w:rsidRDefault="00137E0A" w:rsidP="00137E0A">
      <w:pPr>
        <w:rPr>
          <w:b/>
          <w:bCs/>
          <w:szCs w:val="22"/>
        </w:rPr>
      </w:pPr>
      <w:r w:rsidRPr="00256992">
        <w:rPr>
          <w:b/>
          <w:bCs/>
          <w:szCs w:val="22"/>
        </w:rPr>
        <w:t xml:space="preserve"> </w:t>
      </w:r>
    </w:p>
    <w:p w14:paraId="51080699" w14:textId="77777777" w:rsidR="00137E0A" w:rsidRPr="00256992" w:rsidRDefault="00137E0A" w:rsidP="00137E0A">
      <w:r w:rsidRPr="00256992">
        <w:t>IAATO members currently include four Operators who conduct deep field and air tourism activities, and one air Operator that supports air-cruise operations and single- or multi-day Antarctic experiences in the South Shetland Islands.</w:t>
      </w:r>
    </w:p>
    <w:p w14:paraId="3BF1F8F1" w14:textId="7C7C10B0" w:rsidR="00137E0A" w:rsidRDefault="00137E0A" w:rsidP="00137E0A">
      <w:r w:rsidRPr="00256992">
        <w:rPr>
          <w:i/>
          <w:iCs/>
        </w:rPr>
        <w:t xml:space="preserve">Table 2 </w:t>
      </w:r>
      <w:r w:rsidRPr="00256992">
        <w:t xml:space="preserve">provides an overview of Deep Field and Air Operators primary areas of seasonal operation/base camp. Deep Field Operators also utilise seasonal satellite field camps and runways for their different activities and flights. </w:t>
      </w:r>
      <w:r w:rsidRPr="00256992">
        <w:rPr>
          <w:i/>
          <w:iCs/>
        </w:rPr>
        <w:t>Figure 3</w:t>
      </w:r>
      <w:r w:rsidRPr="00256992">
        <w:t xml:space="preserve"> provides a pictorial view of the areas of operation. </w:t>
      </w:r>
      <w:r w:rsidRPr="00256992">
        <w:rPr>
          <w:i/>
          <w:iCs/>
          <w:lang w:val="en-US"/>
        </w:rPr>
        <w:t xml:space="preserve">Figure 4 </w:t>
      </w:r>
      <w:r w:rsidRPr="00256992">
        <w:rPr>
          <w:lang w:val="en-US"/>
        </w:rPr>
        <w:t>gives an overview of</w:t>
      </w:r>
      <w:r w:rsidRPr="00256992">
        <w:rPr>
          <w:i/>
          <w:iCs/>
          <w:lang w:val="en-US"/>
        </w:rPr>
        <w:t xml:space="preserve"> </w:t>
      </w:r>
      <w:r w:rsidRPr="00256992">
        <w:rPr>
          <w:lang w:val="en-US"/>
        </w:rPr>
        <w:t xml:space="preserve">the deep field and air client numbers for the last decade. </w:t>
      </w:r>
      <w:r w:rsidRPr="00256992">
        <w:rPr>
          <w:i/>
          <w:iCs/>
        </w:rPr>
        <w:t>Table 3</w:t>
      </w:r>
      <w:r w:rsidRPr="00256992">
        <w:t xml:space="preserve"> offers additional information about Deep Field and Air activities. </w:t>
      </w:r>
      <w:r>
        <w:br w:type="page"/>
      </w:r>
    </w:p>
    <w:p w14:paraId="3E993084" w14:textId="77777777" w:rsidR="00137E0A" w:rsidRPr="00256992" w:rsidRDefault="00137E0A" w:rsidP="00137E0A"/>
    <w:p w14:paraId="4CE81BD4" w14:textId="77777777" w:rsidR="00137E0A" w:rsidRPr="00256992" w:rsidRDefault="00137E0A" w:rsidP="00137E0A">
      <w:pPr>
        <w:rPr>
          <w:i/>
          <w:iCs/>
          <w:sz w:val="10"/>
          <w:szCs w:val="10"/>
        </w:rPr>
      </w:pPr>
    </w:p>
    <w:p w14:paraId="7F806B87" w14:textId="77777777" w:rsidR="00137E0A" w:rsidRPr="00256992" w:rsidRDefault="00137E0A" w:rsidP="00137E0A">
      <w:pPr>
        <w:rPr>
          <w:i/>
          <w:iCs/>
          <w:szCs w:val="22"/>
          <w:lang w:val="en-US"/>
        </w:rPr>
      </w:pPr>
      <w:r w:rsidRPr="00256992">
        <w:rPr>
          <w:i/>
          <w:iCs/>
          <w:szCs w:val="22"/>
        </w:rPr>
        <w:t>Table 2.  IAATO Deep Field and Air Operators Main Camps and Main Area of Operation</w:t>
      </w:r>
    </w:p>
    <w:tbl>
      <w:tblPr>
        <w:tblW w:w="8495" w:type="dxa"/>
        <w:tblLook w:val="04A0" w:firstRow="1" w:lastRow="0" w:firstColumn="1" w:lastColumn="0" w:noHBand="0" w:noVBand="1"/>
      </w:tblPr>
      <w:tblGrid>
        <w:gridCol w:w="2507"/>
        <w:gridCol w:w="2041"/>
        <w:gridCol w:w="2064"/>
        <w:gridCol w:w="1883"/>
      </w:tblGrid>
      <w:tr w:rsidR="00137E0A" w:rsidRPr="00256992" w14:paraId="2AF91CBF" w14:textId="77777777" w:rsidTr="00642C60">
        <w:trPr>
          <w:trHeight w:val="340"/>
        </w:trPr>
        <w:tc>
          <w:tcPr>
            <w:tcW w:w="250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CAA203C" w14:textId="77777777" w:rsidR="00137E0A" w:rsidRPr="00256992" w:rsidRDefault="00137E0A" w:rsidP="00642C60">
            <w:pPr>
              <w:rPr>
                <w:b/>
                <w:bCs/>
                <w:color w:val="000000"/>
                <w:szCs w:val="22"/>
              </w:rPr>
            </w:pPr>
            <w:r w:rsidRPr="00256992">
              <w:rPr>
                <w:b/>
                <w:bCs/>
                <w:color w:val="000000"/>
                <w:szCs w:val="22"/>
              </w:rPr>
              <w:t>Deep Field and Air Operators</w:t>
            </w:r>
          </w:p>
        </w:tc>
        <w:tc>
          <w:tcPr>
            <w:tcW w:w="2041" w:type="dxa"/>
            <w:tcBorders>
              <w:top w:val="single" w:sz="4" w:space="0" w:color="auto"/>
              <w:left w:val="nil"/>
              <w:bottom w:val="single" w:sz="4" w:space="0" w:color="auto"/>
              <w:right w:val="single" w:sz="4" w:space="0" w:color="auto"/>
            </w:tcBorders>
            <w:shd w:val="clear" w:color="auto" w:fill="auto"/>
            <w:vAlign w:val="bottom"/>
            <w:hideMark/>
          </w:tcPr>
          <w:p w14:paraId="25A3AA4A" w14:textId="77777777" w:rsidR="00137E0A" w:rsidRPr="00256992" w:rsidRDefault="00137E0A" w:rsidP="00642C60">
            <w:pPr>
              <w:rPr>
                <w:b/>
                <w:bCs/>
                <w:color w:val="000000"/>
                <w:szCs w:val="22"/>
              </w:rPr>
            </w:pPr>
            <w:r w:rsidRPr="00256992">
              <w:rPr>
                <w:b/>
                <w:bCs/>
                <w:color w:val="000000"/>
                <w:szCs w:val="22"/>
              </w:rPr>
              <w:t>Main Camp or Runway</w:t>
            </w:r>
          </w:p>
        </w:tc>
        <w:tc>
          <w:tcPr>
            <w:tcW w:w="2064" w:type="dxa"/>
            <w:tcBorders>
              <w:top w:val="single" w:sz="4" w:space="0" w:color="auto"/>
              <w:left w:val="nil"/>
              <w:bottom w:val="single" w:sz="4" w:space="0" w:color="auto"/>
              <w:right w:val="single" w:sz="4" w:space="0" w:color="auto"/>
            </w:tcBorders>
            <w:shd w:val="clear" w:color="auto" w:fill="auto"/>
            <w:vAlign w:val="bottom"/>
            <w:hideMark/>
          </w:tcPr>
          <w:p w14:paraId="12C8A28A" w14:textId="77777777" w:rsidR="00137E0A" w:rsidRPr="00256992" w:rsidRDefault="00137E0A" w:rsidP="00642C60">
            <w:pPr>
              <w:rPr>
                <w:b/>
                <w:bCs/>
                <w:color w:val="000000"/>
                <w:szCs w:val="22"/>
              </w:rPr>
            </w:pPr>
            <w:r w:rsidRPr="00256992">
              <w:rPr>
                <w:b/>
                <w:bCs/>
                <w:color w:val="000000"/>
                <w:szCs w:val="22"/>
              </w:rPr>
              <w:t>Main Area of Operation</w:t>
            </w:r>
          </w:p>
        </w:tc>
        <w:tc>
          <w:tcPr>
            <w:tcW w:w="1883" w:type="dxa"/>
            <w:tcBorders>
              <w:top w:val="single" w:sz="4" w:space="0" w:color="auto"/>
              <w:left w:val="nil"/>
              <w:bottom w:val="single" w:sz="4" w:space="0" w:color="auto"/>
              <w:right w:val="single" w:sz="4" w:space="0" w:color="auto"/>
            </w:tcBorders>
          </w:tcPr>
          <w:p w14:paraId="361050D0" w14:textId="77777777" w:rsidR="00137E0A" w:rsidRPr="00256992" w:rsidRDefault="00137E0A" w:rsidP="00642C60">
            <w:pPr>
              <w:rPr>
                <w:b/>
                <w:bCs/>
                <w:color w:val="000000"/>
                <w:szCs w:val="22"/>
              </w:rPr>
            </w:pPr>
            <w:r w:rsidRPr="00256992">
              <w:rPr>
                <w:b/>
                <w:bCs/>
                <w:color w:val="000000"/>
                <w:szCs w:val="22"/>
              </w:rPr>
              <w:t>First Operational Year</w:t>
            </w:r>
          </w:p>
        </w:tc>
      </w:tr>
      <w:tr w:rsidR="00137E0A" w:rsidRPr="00256992" w14:paraId="7BD40630" w14:textId="77777777" w:rsidTr="00642C60">
        <w:trPr>
          <w:trHeight w:val="680"/>
        </w:trPr>
        <w:tc>
          <w:tcPr>
            <w:tcW w:w="2507" w:type="dxa"/>
            <w:tcBorders>
              <w:top w:val="nil"/>
              <w:left w:val="single" w:sz="4" w:space="0" w:color="auto"/>
              <w:bottom w:val="single" w:sz="4" w:space="0" w:color="auto"/>
              <w:right w:val="single" w:sz="4" w:space="0" w:color="auto"/>
            </w:tcBorders>
            <w:shd w:val="clear" w:color="auto" w:fill="auto"/>
            <w:vAlign w:val="center"/>
            <w:hideMark/>
          </w:tcPr>
          <w:p w14:paraId="31D0956B" w14:textId="77777777" w:rsidR="00137E0A" w:rsidRPr="00256992" w:rsidRDefault="00137E0A" w:rsidP="00642C60">
            <w:pPr>
              <w:rPr>
                <w:b/>
                <w:bCs/>
                <w:color w:val="000000"/>
                <w:szCs w:val="22"/>
              </w:rPr>
            </w:pPr>
            <w:r w:rsidRPr="00256992">
              <w:rPr>
                <w:b/>
                <w:bCs/>
                <w:color w:val="000000"/>
                <w:szCs w:val="22"/>
              </w:rPr>
              <w:t>Antarctic Logistics and Expeditions (ALE)</w:t>
            </w:r>
          </w:p>
        </w:tc>
        <w:tc>
          <w:tcPr>
            <w:tcW w:w="2041" w:type="dxa"/>
            <w:tcBorders>
              <w:top w:val="nil"/>
              <w:left w:val="nil"/>
              <w:bottom w:val="single" w:sz="4" w:space="0" w:color="auto"/>
              <w:right w:val="single" w:sz="4" w:space="0" w:color="auto"/>
            </w:tcBorders>
            <w:shd w:val="clear" w:color="auto" w:fill="auto"/>
            <w:vAlign w:val="center"/>
            <w:hideMark/>
          </w:tcPr>
          <w:p w14:paraId="2A00EF08" w14:textId="77777777" w:rsidR="00137E0A" w:rsidRPr="00256992" w:rsidRDefault="00137E0A" w:rsidP="00642C60">
            <w:pPr>
              <w:rPr>
                <w:color w:val="000000"/>
                <w:szCs w:val="22"/>
              </w:rPr>
            </w:pPr>
            <w:r w:rsidRPr="00256992">
              <w:rPr>
                <w:color w:val="000000"/>
              </w:rPr>
              <w:t>Union Glacier</w:t>
            </w:r>
          </w:p>
        </w:tc>
        <w:tc>
          <w:tcPr>
            <w:tcW w:w="2064" w:type="dxa"/>
            <w:tcBorders>
              <w:top w:val="nil"/>
              <w:left w:val="nil"/>
              <w:bottom w:val="single" w:sz="4" w:space="0" w:color="auto"/>
              <w:right w:val="single" w:sz="4" w:space="0" w:color="auto"/>
            </w:tcBorders>
            <w:shd w:val="clear" w:color="auto" w:fill="auto"/>
            <w:vAlign w:val="center"/>
            <w:hideMark/>
          </w:tcPr>
          <w:p w14:paraId="00DED27D" w14:textId="77777777" w:rsidR="00137E0A" w:rsidRPr="00256992" w:rsidRDefault="00137E0A" w:rsidP="00642C60">
            <w:pPr>
              <w:rPr>
                <w:color w:val="000000"/>
                <w:szCs w:val="22"/>
              </w:rPr>
            </w:pPr>
            <w:r w:rsidRPr="00256992">
              <w:rPr>
                <w:color w:val="000000"/>
              </w:rPr>
              <w:t xml:space="preserve">West Antarctica to South Pole </w:t>
            </w:r>
          </w:p>
        </w:tc>
        <w:tc>
          <w:tcPr>
            <w:tcW w:w="1883" w:type="dxa"/>
            <w:tcBorders>
              <w:top w:val="nil"/>
              <w:left w:val="nil"/>
              <w:bottom w:val="single" w:sz="4" w:space="0" w:color="auto"/>
              <w:right w:val="single" w:sz="4" w:space="0" w:color="auto"/>
            </w:tcBorders>
          </w:tcPr>
          <w:p w14:paraId="7F3DAAF2" w14:textId="77777777" w:rsidR="00137E0A" w:rsidRPr="00256992" w:rsidRDefault="00137E0A" w:rsidP="00642C60">
            <w:pPr>
              <w:rPr>
                <w:color w:val="000000"/>
              </w:rPr>
            </w:pPr>
            <w:r w:rsidRPr="00256992">
              <w:rPr>
                <w:color w:val="000000"/>
              </w:rPr>
              <w:t xml:space="preserve">1985 </w:t>
            </w:r>
          </w:p>
        </w:tc>
      </w:tr>
      <w:tr w:rsidR="00137E0A" w:rsidRPr="00256992" w14:paraId="43FBC8B6" w14:textId="77777777" w:rsidTr="00642C60">
        <w:trPr>
          <w:trHeight w:val="1020"/>
        </w:trPr>
        <w:tc>
          <w:tcPr>
            <w:tcW w:w="25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FE69FC" w14:textId="77777777" w:rsidR="00137E0A" w:rsidRPr="00256992" w:rsidRDefault="00137E0A" w:rsidP="00642C60">
            <w:pPr>
              <w:rPr>
                <w:b/>
                <w:bCs/>
                <w:color w:val="000000"/>
                <w:szCs w:val="22"/>
              </w:rPr>
            </w:pPr>
            <w:r w:rsidRPr="00256992">
              <w:rPr>
                <w:b/>
                <w:bCs/>
                <w:color w:val="000000"/>
                <w:szCs w:val="22"/>
              </w:rPr>
              <w:t>Arctic Trucks</w:t>
            </w:r>
          </w:p>
        </w:tc>
        <w:tc>
          <w:tcPr>
            <w:tcW w:w="2041" w:type="dxa"/>
            <w:tcBorders>
              <w:top w:val="single" w:sz="4" w:space="0" w:color="auto"/>
              <w:left w:val="nil"/>
              <w:bottom w:val="single" w:sz="4" w:space="0" w:color="auto"/>
              <w:right w:val="single" w:sz="4" w:space="0" w:color="auto"/>
            </w:tcBorders>
            <w:shd w:val="clear" w:color="auto" w:fill="auto"/>
            <w:vAlign w:val="center"/>
            <w:hideMark/>
          </w:tcPr>
          <w:p w14:paraId="2E34967B" w14:textId="77777777" w:rsidR="00137E0A" w:rsidRPr="00256992" w:rsidRDefault="00137E0A" w:rsidP="00642C60">
            <w:pPr>
              <w:rPr>
                <w:color w:val="000000"/>
                <w:szCs w:val="22"/>
              </w:rPr>
            </w:pPr>
            <w:r w:rsidRPr="00256992">
              <w:rPr>
                <w:color w:val="000000"/>
              </w:rPr>
              <w:t>Union Glacier and Dronning Maud Land</w:t>
            </w:r>
          </w:p>
        </w:tc>
        <w:tc>
          <w:tcPr>
            <w:tcW w:w="2064" w:type="dxa"/>
            <w:tcBorders>
              <w:top w:val="single" w:sz="4" w:space="0" w:color="auto"/>
              <w:left w:val="nil"/>
              <w:bottom w:val="single" w:sz="4" w:space="0" w:color="auto"/>
              <w:right w:val="single" w:sz="4" w:space="0" w:color="auto"/>
            </w:tcBorders>
            <w:shd w:val="clear" w:color="auto" w:fill="auto"/>
            <w:vAlign w:val="center"/>
            <w:hideMark/>
          </w:tcPr>
          <w:p w14:paraId="327DAD6C" w14:textId="77777777" w:rsidR="00137E0A" w:rsidRPr="00256992" w:rsidRDefault="00137E0A" w:rsidP="00642C60">
            <w:pPr>
              <w:rPr>
                <w:color w:val="000000"/>
                <w:szCs w:val="22"/>
              </w:rPr>
            </w:pPr>
            <w:r w:rsidRPr="00256992">
              <w:rPr>
                <w:color w:val="000000"/>
              </w:rPr>
              <w:t>West Antarctica to Palmer Land to South and West Antarctica</w:t>
            </w:r>
          </w:p>
        </w:tc>
        <w:tc>
          <w:tcPr>
            <w:tcW w:w="1883" w:type="dxa"/>
            <w:tcBorders>
              <w:top w:val="single" w:sz="4" w:space="0" w:color="auto"/>
              <w:left w:val="nil"/>
              <w:bottom w:val="single" w:sz="4" w:space="0" w:color="auto"/>
              <w:right w:val="single" w:sz="4" w:space="0" w:color="auto"/>
            </w:tcBorders>
          </w:tcPr>
          <w:p w14:paraId="1A72DFAE" w14:textId="77777777" w:rsidR="00137E0A" w:rsidRPr="00256992" w:rsidRDefault="00137E0A" w:rsidP="00642C60">
            <w:pPr>
              <w:rPr>
                <w:color w:val="000000"/>
              </w:rPr>
            </w:pPr>
            <w:r w:rsidRPr="00256992">
              <w:rPr>
                <w:color w:val="000000"/>
              </w:rPr>
              <w:t>1996</w:t>
            </w:r>
          </w:p>
        </w:tc>
      </w:tr>
      <w:tr w:rsidR="00137E0A" w:rsidRPr="00256992" w14:paraId="4E046707" w14:textId="77777777" w:rsidTr="00642C60">
        <w:trPr>
          <w:trHeight w:val="680"/>
        </w:trPr>
        <w:tc>
          <w:tcPr>
            <w:tcW w:w="25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4FD84B" w14:textId="77777777" w:rsidR="00137E0A" w:rsidRPr="00256992" w:rsidRDefault="00137E0A" w:rsidP="00642C60">
            <w:pPr>
              <w:rPr>
                <w:b/>
                <w:bCs/>
                <w:color w:val="000000"/>
                <w:szCs w:val="22"/>
              </w:rPr>
            </w:pPr>
            <w:r w:rsidRPr="00256992">
              <w:rPr>
                <w:b/>
                <w:bCs/>
                <w:color w:val="000000"/>
                <w:szCs w:val="22"/>
              </w:rPr>
              <w:t>The Antarctic Company (TAC)*</w:t>
            </w:r>
          </w:p>
        </w:tc>
        <w:tc>
          <w:tcPr>
            <w:tcW w:w="2041" w:type="dxa"/>
            <w:tcBorders>
              <w:top w:val="single" w:sz="4" w:space="0" w:color="auto"/>
              <w:left w:val="nil"/>
              <w:bottom w:val="single" w:sz="4" w:space="0" w:color="auto"/>
              <w:right w:val="single" w:sz="4" w:space="0" w:color="auto"/>
            </w:tcBorders>
            <w:shd w:val="clear" w:color="auto" w:fill="auto"/>
            <w:vAlign w:val="center"/>
            <w:hideMark/>
          </w:tcPr>
          <w:p w14:paraId="6B29777B" w14:textId="77777777" w:rsidR="00137E0A" w:rsidRPr="00256992" w:rsidRDefault="00137E0A" w:rsidP="00642C60">
            <w:pPr>
              <w:rPr>
                <w:color w:val="000000"/>
                <w:szCs w:val="22"/>
              </w:rPr>
            </w:pPr>
            <w:r w:rsidRPr="00256992">
              <w:rPr>
                <w:color w:val="000000"/>
              </w:rPr>
              <w:t>Dronning Maud Land</w:t>
            </w:r>
          </w:p>
        </w:tc>
        <w:tc>
          <w:tcPr>
            <w:tcW w:w="2064" w:type="dxa"/>
            <w:tcBorders>
              <w:top w:val="single" w:sz="4" w:space="0" w:color="auto"/>
              <w:left w:val="nil"/>
              <w:bottom w:val="single" w:sz="4" w:space="0" w:color="auto"/>
              <w:right w:val="single" w:sz="4" w:space="0" w:color="auto"/>
            </w:tcBorders>
            <w:shd w:val="clear" w:color="auto" w:fill="auto"/>
            <w:vAlign w:val="center"/>
            <w:hideMark/>
          </w:tcPr>
          <w:p w14:paraId="30D99967" w14:textId="77777777" w:rsidR="00137E0A" w:rsidRPr="00256992" w:rsidRDefault="00137E0A" w:rsidP="00642C60">
            <w:pPr>
              <w:rPr>
                <w:color w:val="000000"/>
                <w:szCs w:val="22"/>
              </w:rPr>
            </w:pPr>
            <w:r w:rsidRPr="00256992">
              <w:rPr>
                <w:color w:val="000000"/>
              </w:rPr>
              <w:t>Dronning Maud Land to South Pole</w:t>
            </w:r>
          </w:p>
        </w:tc>
        <w:tc>
          <w:tcPr>
            <w:tcW w:w="1883" w:type="dxa"/>
            <w:tcBorders>
              <w:top w:val="single" w:sz="4" w:space="0" w:color="auto"/>
              <w:left w:val="nil"/>
              <w:bottom w:val="single" w:sz="4" w:space="0" w:color="auto"/>
              <w:right w:val="single" w:sz="4" w:space="0" w:color="auto"/>
            </w:tcBorders>
          </w:tcPr>
          <w:p w14:paraId="26DED7AA" w14:textId="77777777" w:rsidR="00137E0A" w:rsidRPr="00256992" w:rsidRDefault="00137E0A" w:rsidP="00642C60">
            <w:pPr>
              <w:rPr>
                <w:color w:val="000000"/>
              </w:rPr>
            </w:pPr>
            <w:r w:rsidRPr="00256992">
              <w:rPr>
                <w:color w:val="000000"/>
              </w:rPr>
              <w:t>2004</w:t>
            </w:r>
          </w:p>
        </w:tc>
      </w:tr>
      <w:tr w:rsidR="00137E0A" w:rsidRPr="00256992" w14:paraId="4D544F19" w14:textId="77777777" w:rsidTr="00642C60">
        <w:trPr>
          <w:trHeight w:val="680"/>
        </w:trPr>
        <w:tc>
          <w:tcPr>
            <w:tcW w:w="25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F16252" w14:textId="77777777" w:rsidR="00137E0A" w:rsidRPr="00256992" w:rsidRDefault="00137E0A" w:rsidP="00642C60">
            <w:pPr>
              <w:rPr>
                <w:b/>
                <w:bCs/>
                <w:color w:val="000000"/>
                <w:szCs w:val="22"/>
              </w:rPr>
            </w:pPr>
            <w:r w:rsidRPr="00256992">
              <w:rPr>
                <w:b/>
                <w:bCs/>
                <w:color w:val="000000"/>
                <w:szCs w:val="22"/>
              </w:rPr>
              <w:t>White Desert (WDL)</w:t>
            </w:r>
          </w:p>
        </w:tc>
        <w:tc>
          <w:tcPr>
            <w:tcW w:w="2041" w:type="dxa"/>
            <w:tcBorders>
              <w:top w:val="single" w:sz="4" w:space="0" w:color="auto"/>
              <w:left w:val="nil"/>
              <w:bottom w:val="single" w:sz="4" w:space="0" w:color="auto"/>
              <w:right w:val="single" w:sz="4" w:space="0" w:color="auto"/>
            </w:tcBorders>
            <w:shd w:val="clear" w:color="auto" w:fill="auto"/>
            <w:vAlign w:val="center"/>
            <w:hideMark/>
          </w:tcPr>
          <w:p w14:paraId="5C55910B" w14:textId="77777777" w:rsidR="00137E0A" w:rsidRPr="00256992" w:rsidRDefault="00137E0A" w:rsidP="00642C60">
            <w:pPr>
              <w:rPr>
                <w:color w:val="000000"/>
                <w:szCs w:val="22"/>
              </w:rPr>
            </w:pPr>
            <w:r w:rsidRPr="00256992">
              <w:rPr>
                <w:color w:val="000000"/>
              </w:rPr>
              <w:t>Dronning Maud Land</w:t>
            </w:r>
          </w:p>
        </w:tc>
        <w:tc>
          <w:tcPr>
            <w:tcW w:w="2064" w:type="dxa"/>
            <w:tcBorders>
              <w:top w:val="single" w:sz="4" w:space="0" w:color="auto"/>
              <w:left w:val="nil"/>
              <w:bottom w:val="single" w:sz="4" w:space="0" w:color="auto"/>
              <w:right w:val="single" w:sz="4" w:space="0" w:color="auto"/>
            </w:tcBorders>
            <w:shd w:val="clear" w:color="auto" w:fill="auto"/>
            <w:vAlign w:val="center"/>
            <w:hideMark/>
          </w:tcPr>
          <w:p w14:paraId="59AA481C" w14:textId="77777777" w:rsidR="00137E0A" w:rsidRPr="00256992" w:rsidRDefault="00137E0A" w:rsidP="00642C60">
            <w:pPr>
              <w:rPr>
                <w:color w:val="000000"/>
                <w:szCs w:val="22"/>
              </w:rPr>
            </w:pPr>
            <w:r w:rsidRPr="00256992">
              <w:rPr>
                <w:color w:val="000000"/>
              </w:rPr>
              <w:t>Dronning Maud Land to South Pole</w:t>
            </w:r>
          </w:p>
        </w:tc>
        <w:tc>
          <w:tcPr>
            <w:tcW w:w="1883" w:type="dxa"/>
            <w:tcBorders>
              <w:top w:val="single" w:sz="4" w:space="0" w:color="auto"/>
              <w:left w:val="nil"/>
              <w:bottom w:val="single" w:sz="4" w:space="0" w:color="auto"/>
              <w:right w:val="single" w:sz="4" w:space="0" w:color="auto"/>
            </w:tcBorders>
          </w:tcPr>
          <w:p w14:paraId="749D3056" w14:textId="77777777" w:rsidR="00137E0A" w:rsidRPr="00256992" w:rsidRDefault="00137E0A" w:rsidP="00642C60">
            <w:pPr>
              <w:rPr>
                <w:color w:val="000000"/>
              </w:rPr>
            </w:pPr>
            <w:r w:rsidRPr="00256992">
              <w:rPr>
                <w:color w:val="000000"/>
              </w:rPr>
              <w:t>2006</w:t>
            </w:r>
          </w:p>
        </w:tc>
      </w:tr>
      <w:tr w:rsidR="00137E0A" w:rsidRPr="00256992" w14:paraId="2AA69C57" w14:textId="77777777" w:rsidTr="00642C60">
        <w:trPr>
          <w:trHeight w:val="340"/>
        </w:trPr>
        <w:tc>
          <w:tcPr>
            <w:tcW w:w="25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6B55AA" w14:textId="77777777" w:rsidR="00137E0A" w:rsidRPr="00256992" w:rsidRDefault="00137E0A" w:rsidP="00642C60">
            <w:pPr>
              <w:rPr>
                <w:b/>
                <w:bCs/>
                <w:color w:val="000000"/>
                <w:szCs w:val="22"/>
              </w:rPr>
            </w:pPr>
            <w:r w:rsidRPr="00256992">
              <w:rPr>
                <w:b/>
                <w:bCs/>
                <w:color w:val="000000"/>
                <w:szCs w:val="22"/>
              </w:rPr>
              <w:t>DAP Antarctica</w:t>
            </w:r>
          </w:p>
        </w:tc>
        <w:tc>
          <w:tcPr>
            <w:tcW w:w="2041" w:type="dxa"/>
            <w:tcBorders>
              <w:top w:val="single" w:sz="4" w:space="0" w:color="auto"/>
              <w:left w:val="nil"/>
              <w:bottom w:val="single" w:sz="4" w:space="0" w:color="auto"/>
              <w:right w:val="single" w:sz="4" w:space="0" w:color="auto"/>
            </w:tcBorders>
            <w:shd w:val="clear" w:color="auto" w:fill="auto"/>
            <w:vAlign w:val="center"/>
            <w:hideMark/>
          </w:tcPr>
          <w:p w14:paraId="4EC21D98" w14:textId="77777777" w:rsidR="00137E0A" w:rsidRPr="00256992" w:rsidRDefault="00137E0A" w:rsidP="00642C60">
            <w:pPr>
              <w:rPr>
                <w:color w:val="000000"/>
                <w:szCs w:val="22"/>
              </w:rPr>
            </w:pPr>
            <w:r w:rsidRPr="00256992">
              <w:rPr>
                <w:color w:val="000000"/>
              </w:rPr>
              <w:t>King George Island</w:t>
            </w:r>
          </w:p>
        </w:tc>
        <w:tc>
          <w:tcPr>
            <w:tcW w:w="2064" w:type="dxa"/>
            <w:tcBorders>
              <w:top w:val="single" w:sz="4" w:space="0" w:color="auto"/>
              <w:left w:val="nil"/>
              <w:bottom w:val="single" w:sz="4" w:space="0" w:color="auto"/>
              <w:right w:val="single" w:sz="4" w:space="0" w:color="auto"/>
            </w:tcBorders>
            <w:shd w:val="clear" w:color="auto" w:fill="auto"/>
            <w:vAlign w:val="center"/>
            <w:hideMark/>
          </w:tcPr>
          <w:p w14:paraId="07F62AF6" w14:textId="77777777" w:rsidR="00137E0A" w:rsidRPr="00256992" w:rsidRDefault="00137E0A" w:rsidP="00642C60">
            <w:pPr>
              <w:rPr>
                <w:color w:val="000000"/>
                <w:szCs w:val="22"/>
              </w:rPr>
            </w:pPr>
            <w:r w:rsidRPr="00256992">
              <w:rPr>
                <w:color w:val="000000"/>
              </w:rPr>
              <w:t>King George Island</w:t>
            </w:r>
          </w:p>
        </w:tc>
        <w:tc>
          <w:tcPr>
            <w:tcW w:w="1883" w:type="dxa"/>
            <w:tcBorders>
              <w:top w:val="single" w:sz="4" w:space="0" w:color="auto"/>
              <w:left w:val="nil"/>
              <w:bottom w:val="single" w:sz="4" w:space="0" w:color="auto"/>
              <w:right w:val="single" w:sz="4" w:space="0" w:color="auto"/>
            </w:tcBorders>
          </w:tcPr>
          <w:p w14:paraId="09DAD193" w14:textId="77777777" w:rsidR="00137E0A" w:rsidRPr="00256992" w:rsidRDefault="00137E0A" w:rsidP="00642C60">
            <w:pPr>
              <w:rPr>
                <w:color w:val="000000"/>
              </w:rPr>
            </w:pPr>
            <w:r w:rsidRPr="00256992">
              <w:rPr>
                <w:color w:val="000000"/>
              </w:rPr>
              <w:t>2003</w:t>
            </w:r>
          </w:p>
        </w:tc>
      </w:tr>
    </w:tbl>
    <w:p w14:paraId="54C88853" w14:textId="77777777" w:rsidR="00137E0A" w:rsidRDefault="00137E0A" w:rsidP="00137E0A">
      <w:pPr>
        <w:rPr>
          <w:sz w:val="18"/>
          <w:szCs w:val="18"/>
        </w:rPr>
      </w:pPr>
      <w:r w:rsidRPr="00256992">
        <w:rPr>
          <w:sz w:val="18"/>
          <w:szCs w:val="18"/>
        </w:rPr>
        <w:t>*The Antarctic Company (TAC) is in the process of being incorporated as Ultima Expeditions. Ultima Expeditions was voted in as a Provisional Member at IAATO 2023, and will participate in the mandatory observer program during the 2023-24 season.</w:t>
      </w:r>
    </w:p>
    <w:p w14:paraId="2C22C660" w14:textId="77777777" w:rsidR="00137E0A" w:rsidRPr="00256992" w:rsidRDefault="00137E0A" w:rsidP="00137E0A">
      <w:pPr>
        <w:rPr>
          <w:sz w:val="10"/>
          <w:szCs w:val="10"/>
        </w:rPr>
      </w:pPr>
    </w:p>
    <w:p w14:paraId="4D210BC5" w14:textId="77777777" w:rsidR="00137E0A" w:rsidRPr="00256992" w:rsidRDefault="00137E0A" w:rsidP="00137E0A">
      <w:pPr>
        <w:rPr>
          <w:sz w:val="10"/>
          <w:szCs w:val="10"/>
        </w:rPr>
      </w:pPr>
    </w:p>
    <w:p w14:paraId="07CD5591" w14:textId="77777777" w:rsidR="00137E0A" w:rsidRPr="00256992" w:rsidRDefault="00137E0A" w:rsidP="00137E0A">
      <w:pPr>
        <w:rPr>
          <w:i/>
          <w:iCs/>
        </w:rPr>
      </w:pPr>
      <w:r w:rsidRPr="00256992">
        <w:rPr>
          <w:noProof/>
          <w:lang w:eastAsia="en-GB"/>
        </w:rPr>
        <w:drawing>
          <wp:inline distT="0" distB="0" distL="0" distR="0" wp14:anchorId="46A11D17" wp14:editId="2DE5DD96">
            <wp:extent cx="4643920" cy="3645489"/>
            <wp:effectExtent l="0" t="0" r="4445" b="0"/>
            <wp:docPr id="1634906991" name="Picture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06991" name="Picture 1" descr="Map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677009" cy="3671464"/>
                    </a:xfrm>
                    <a:prstGeom prst="rect">
                      <a:avLst/>
                    </a:prstGeom>
                  </pic:spPr>
                </pic:pic>
              </a:graphicData>
            </a:graphic>
          </wp:inline>
        </w:drawing>
      </w:r>
    </w:p>
    <w:p w14:paraId="6B585CB6" w14:textId="77777777" w:rsidR="00137E0A" w:rsidRPr="00256992" w:rsidRDefault="00137E0A" w:rsidP="00137E0A">
      <w:pPr>
        <w:rPr>
          <w:i/>
          <w:iCs/>
        </w:rPr>
      </w:pPr>
      <w:r w:rsidRPr="00256992">
        <w:rPr>
          <w:i/>
          <w:iCs/>
        </w:rPr>
        <w:t>Figure 3: Deep Field and Air Areas of Operation</w:t>
      </w:r>
    </w:p>
    <w:p w14:paraId="37E9A56F" w14:textId="77777777" w:rsidR="00137E0A" w:rsidRPr="00256992" w:rsidRDefault="00137E0A" w:rsidP="00137E0A">
      <w:pPr>
        <w:pStyle w:val="ATSNormal"/>
        <w:rPr>
          <w:szCs w:val="22"/>
        </w:rPr>
      </w:pPr>
      <w:r w:rsidRPr="00256992">
        <w:rPr>
          <w:noProof/>
        </w:rPr>
        <w:lastRenderedPageBreak/>
        <w:drawing>
          <wp:inline distT="0" distB="0" distL="0" distR="0" wp14:anchorId="6672A259" wp14:editId="56CB2EE3">
            <wp:extent cx="5292620" cy="2973314"/>
            <wp:effectExtent l="0" t="0" r="16510" b="11430"/>
            <wp:docPr id="705184577" name="Chart 1">
              <a:extLst xmlns:a="http://schemas.openxmlformats.org/drawingml/2006/main">
                <a:ext uri="{FF2B5EF4-FFF2-40B4-BE49-F238E27FC236}">
                  <a16:creationId xmlns:a16="http://schemas.microsoft.com/office/drawing/2014/main" id="{6346252B-63D6-56EF-736E-33ED3F4DF4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97C5BC8" w14:textId="77777777" w:rsidR="00137E0A" w:rsidRPr="00256992" w:rsidRDefault="00137E0A" w:rsidP="00137E0A">
      <w:pPr>
        <w:pStyle w:val="ATSNormal"/>
        <w:rPr>
          <w:szCs w:val="22"/>
        </w:rPr>
      </w:pPr>
      <w:r w:rsidRPr="00256992">
        <w:rPr>
          <w:i/>
          <w:iCs/>
          <w:lang w:val="en-US"/>
        </w:rPr>
        <w:t>Figure 4: Deep Field and Air Operator Clients 2012-2022 (excluding 2020-21)</w:t>
      </w:r>
    </w:p>
    <w:p w14:paraId="52D9D3EF" w14:textId="77777777" w:rsidR="00137E0A" w:rsidRPr="00256992" w:rsidRDefault="00137E0A" w:rsidP="00137E0A">
      <w:pPr>
        <w:pStyle w:val="ATSNormal"/>
      </w:pPr>
      <w:r w:rsidRPr="00256992">
        <w:t xml:space="preserve">Deep Field and Air Operators usually maintain a higher client to staff ratio than is typical for seaborne tourism, often one guide to every three clients (1:3). The exception is solo expeditions, for example during South Pole Ski Expeditions, where the clients are supported remotely and closely monitored daily through communication protocols. All Deep Field and Air Operators prepare contingency plans for the health, safety, medical care and evacuation for their staff and clients to meet ATCM Resolutions 6 (2017) </w:t>
      </w:r>
      <w:r w:rsidRPr="00256992">
        <w:rPr>
          <w:i/>
        </w:rPr>
        <w:t>Guidelines on Contingency Planning</w:t>
      </w:r>
      <w:r w:rsidRPr="00256992">
        <w:t xml:space="preserve"> and 6 (2021) </w:t>
      </w:r>
      <w:r w:rsidRPr="00256992">
        <w:rPr>
          <w:i/>
        </w:rPr>
        <w:t>Air Safety in Antarctica</w:t>
      </w:r>
      <w:r w:rsidRPr="00256992">
        <w:t xml:space="preserve">. </w:t>
      </w:r>
    </w:p>
    <w:p w14:paraId="09A44E38" w14:textId="77777777" w:rsidR="00137E0A" w:rsidRPr="00256992" w:rsidRDefault="00137E0A" w:rsidP="00137E0A">
      <w:pPr>
        <w:pStyle w:val="ATSNormal"/>
        <w:rPr>
          <w:lang w:val="en-US"/>
        </w:rPr>
      </w:pPr>
      <w:r w:rsidRPr="00256992">
        <w:rPr>
          <w:lang w:val="en-US"/>
        </w:rPr>
        <w:t xml:space="preserve">IAATO Air Operators comply fully with ATCM Measure 4 (2004) </w:t>
      </w:r>
      <w:r w:rsidRPr="00256992">
        <w:rPr>
          <w:i/>
          <w:lang w:val="en-US"/>
        </w:rPr>
        <w:t xml:space="preserve">Insurance and Contingency Planning for Tourism and Non-Governmental activities in the Antarctic Treaty Area </w:t>
      </w:r>
      <w:r w:rsidRPr="00256992">
        <w:rPr>
          <w:lang w:val="en-US"/>
        </w:rPr>
        <w:t>(updated by Resolution 6, 2017), and each Operators’ air activities are planned to have the appropriate contingency in place to effect search and rescue and medical evacuation.</w:t>
      </w:r>
    </w:p>
    <w:p w14:paraId="7F597E60" w14:textId="77777777" w:rsidR="00137E0A" w:rsidRPr="00256992" w:rsidRDefault="00137E0A" w:rsidP="00137E0A">
      <w:pPr>
        <w:pStyle w:val="ATSNormal"/>
        <w:jc w:val="both"/>
        <w:rPr>
          <w:b/>
          <w:bCs/>
          <w:i/>
          <w:iCs/>
          <w:lang w:val="en-US"/>
        </w:rPr>
      </w:pPr>
      <w:r w:rsidRPr="00256992">
        <w:rPr>
          <w:b/>
          <w:bCs/>
          <w:i/>
          <w:iCs/>
          <w:lang w:val="en-US"/>
        </w:rPr>
        <w:t>2.2</w:t>
      </w:r>
      <w:r w:rsidRPr="00256992">
        <w:rPr>
          <w:b/>
          <w:bCs/>
          <w:i/>
          <w:iCs/>
          <w:lang w:val="en-US"/>
        </w:rPr>
        <w:tab/>
        <w:t>Deep Field and Air Operator Programs and Activities</w:t>
      </w:r>
    </w:p>
    <w:p w14:paraId="27522662" w14:textId="77777777" w:rsidR="00137E0A" w:rsidRPr="00256992" w:rsidRDefault="00137E0A" w:rsidP="00137E0A">
      <w:pPr>
        <w:pStyle w:val="ATSNormal"/>
        <w:ind w:right="-284"/>
      </w:pPr>
      <w:r w:rsidRPr="00256992">
        <w:t xml:space="preserve">The last five seasons’ activities, including the operation of standard programs, the organization and operation of private expeditions, and logistical support of other expeditions, are outlined in </w:t>
      </w:r>
      <w:r w:rsidRPr="00256992">
        <w:rPr>
          <w:i/>
          <w:iCs/>
        </w:rPr>
        <w:t>Table 3: Programs and Participant Numbers (clients) for 2017-22</w:t>
      </w:r>
      <w:r w:rsidRPr="00256992">
        <w:t>. Total numbers participating include clients from all five IAATO Deep Field and Air Operators. Note that some clients participated in multiple programs.  Most activities detailed below have been offered consistently since the 1990s and have not changed during this latest period of growth. Activities for air Operator DAP Antarctica are listed for seasons 2018-2022, reporting on their activities since becoming an IAATO Member.</w:t>
      </w:r>
    </w:p>
    <w:p w14:paraId="15973AAC" w14:textId="5AE1FE97" w:rsidR="00137E0A" w:rsidRDefault="00137E0A" w:rsidP="00137E0A">
      <w:pPr>
        <w:pStyle w:val="ATSHeading4"/>
        <w:jc w:val="center"/>
      </w:pPr>
      <w:r>
        <w:br w:type="page"/>
      </w:r>
    </w:p>
    <w:p w14:paraId="2AF0DD52" w14:textId="77777777" w:rsidR="00137E0A" w:rsidRPr="00256992" w:rsidRDefault="00137E0A" w:rsidP="00137E0A">
      <w:pPr>
        <w:pStyle w:val="ATSHeading4"/>
        <w:jc w:val="center"/>
      </w:pPr>
    </w:p>
    <w:p w14:paraId="65B28D62" w14:textId="77777777" w:rsidR="00137E0A" w:rsidRPr="00256992" w:rsidRDefault="00137E0A" w:rsidP="00137E0A">
      <w:pPr>
        <w:pStyle w:val="ATSHeading4"/>
        <w:jc w:val="center"/>
      </w:pPr>
    </w:p>
    <w:p w14:paraId="0DE6CB96" w14:textId="77777777" w:rsidR="00137E0A" w:rsidRPr="00256992" w:rsidRDefault="00137E0A" w:rsidP="00137E0A">
      <w:pPr>
        <w:pStyle w:val="ATSHeading4"/>
        <w:jc w:val="center"/>
      </w:pPr>
    </w:p>
    <w:p w14:paraId="6A1CEAF1" w14:textId="77777777" w:rsidR="00137E0A" w:rsidRPr="00256992" w:rsidRDefault="00137E0A" w:rsidP="00137E0A">
      <w:pPr>
        <w:pStyle w:val="ATSHeading4"/>
        <w:jc w:val="center"/>
      </w:pPr>
      <w:r w:rsidRPr="00256992">
        <w:t xml:space="preserve">Table 3: Programs and Participant Numbers (clients) for 2016-21, excluding 2020–21 </w:t>
      </w:r>
    </w:p>
    <w:p w14:paraId="726E1B41" w14:textId="77777777" w:rsidR="00137E0A" w:rsidRPr="00256992" w:rsidRDefault="00137E0A" w:rsidP="00137E0A">
      <w:pPr>
        <w:pStyle w:val="ATSHeading4"/>
        <w:spacing w:before="0" w:after="240"/>
        <w:jc w:val="center"/>
      </w:pPr>
      <w:r w:rsidRPr="00256992">
        <w:t>(Note: some participants may take part in several programs)</w:t>
      </w:r>
    </w:p>
    <w:tbl>
      <w:tblPr>
        <w:tblW w:w="8390" w:type="dxa"/>
        <w:tblLook w:val="04A0" w:firstRow="1" w:lastRow="0" w:firstColumn="1" w:lastColumn="0" w:noHBand="0" w:noVBand="1"/>
      </w:tblPr>
      <w:tblGrid>
        <w:gridCol w:w="3209"/>
        <w:gridCol w:w="1007"/>
        <w:gridCol w:w="1007"/>
        <w:gridCol w:w="1007"/>
        <w:gridCol w:w="1007"/>
        <w:gridCol w:w="1153"/>
      </w:tblGrid>
      <w:tr w:rsidR="00137E0A" w:rsidRPr="00256992" w14:paraId="7B6555A9" w14:textId="77777777" w:rsidTr="00642C60">
        <w:trPr>
          <w:trHeight w:val="793"/>
        </w:trPr>
        <w:tc>
          <w:tcPr>
            <w:tcW w:w="3209" w:type="dxa"/>
            <w:tcBorders>
              <w:top w:val="single" w:sz="4" w:space="0" w:color="auto"/>
              <w:left w:val="single" w:sz="4" w:space="0" w:color="auto"/>
              <w:bottom w:val="single" w:sz="4" w:space="0" w:color="auto"/>
              <w:right w:val="single" w:sz="4" w:space="0" w:color="auto"/>
            </w:tcBorders>
            <w:noWrap/>
            <w:vAlign w:val="bottom"/>
            <w:hideMark/>
          </w:tcPr>
          <w:p w14:paraId="0518888C" w14:textId="77777777" w:rsidR="00137E0A" w:rsidRPr="00256992" w:rsidRDefault="00137E0A" w:rsidP="00642C60">
            <w:pPr>
              <w:jc w:val="center"/>
              <w:rPr>
                <w:b/>
                <w:bCs/>
                <w:lang w:val="en-US"/>
              </w:rPr>
            </w:pPr>
            <w:r w:rsidRPr="00256992">
              <w:rPr>
                <w:b/>
                <w:bCs/>
                <w:lang w:val="en-US"/>
              </w:rPr>
              <w:t>Program</w:t>
            </w:r>
          </w:p>
        </w:tc>
        <w:tc>
          <w:tcPr>
            <w:tcW w:w="1007" w:type="dxa"/>
            <w:tcBorders>
              <w:top w:val="single" w:sz="4" w:space="0" w:color="auto"/>
              <w:left w:val="nil"/>
              <w:bottom w:val="single" w:sz="4" w:space="0" w:color="auto"/>
              <w:right w:val="single" w:sz="4" w:space="0" w:color="auto"/>
            </w:tcBorders>
            <w:shd w:val="clear" w:color="auto" w:fill="BFBFBF"/>
            <w:noWrap/>
            <w:vAlign w:val="bottom"/>
            <w:hideMark/>
          </w:tcPr>
          <w:p w14:paraId="193B271F" w14:textId="77777777" w:rsidR="00137E0A" w:rsidRPr="00256992" w:rsidRDefault="00137E0A" w:rsidP="00642C60">
            <w:pPr>
              <w:jc w:val="center"/>
              <w:rPr>
                <w:b/>
                <w:bCs/>
                <w:lang w:val="es-AR"/>
              </w:rPr>
            </w:pPr>
            <w:r w:rsidRPr="00256992">
              <w:rPr>
                <w:b/>
                <w:bCs/>
                <w:lang w:val="es-AR"/>
              </w:rPr>
              <w:t>2017-18</w:t>
            </w:r>
          </w:p>
        </w:tc>
        <w:tc>
          <w:tcPr>
            <w:tcW w:w="1007" w:type="dxa"/>
            <w:tcBorders>
              <w:top w:val="single" w:sz="4" w:space="0" w:color="auto"/>
              <w:left w:val="nil"/>
              <w:bottom w:val="single" w:sz="4" w:space="0" w:color="auto"/>
              <w:right w:val="single" w:sz="4" w:space="0" w:color="auto"/>
            </w:tcBorders>
            <w:noWrap/>
            <w:vAlign w:val="bottom"/>
            <w:hideMark/>
          </w:tcPr>
          <w:p w14:paraId="0D5895F3" w14:textId="77777777" w:rsidR="00137E0A" w:rsidRPr="00256992" w:rsidRDefault="00137E0A" w:rsidP="00642C60">
            <w:pPr>
              <w:jc w:val="center"/>
              <w:rPr>
                <w:b/>
                <w:bCs/>
                <w:lang w:val="es-AR"/>
              </w:rPr>
            </w:pPr>
            <w:r w:rsidRPr="00256992">
              <w:rPr>
                <w:b/>
                <w:bCs/>
                <w:lang w:val="es-AR"/>
              </w:rPr>
              <w:t>2018-19</w:t>
            </w:r>
          </w:p>
        </w:tc>
        <w:tc>
          <w:tcPr>
            <w:tcW w:w="1007" w:type="dxa"/>
            <w:tcBorders>
              <w:top w:val="single" w:sz="4" w:space="0" w:color="auto"/>
              <w:left w:val="nil"/>
              <w:bottom w:val="single" w:sz="4" w:space="0" w:color="auto"/>
              <w:right w:val="single" w:sz="4" w:space="0" w:color="auto"/>
            </w:tcBorders>
            <w:shd w:val="clear" w:color="auto" w:fill="BFBFBF"/>
            <w:noWrap/>
            <w:vAlign w:val="bottom"/>
            <w:hideMark/>
          </w:tcPr>
          <w:p w14:paraId="1A7D3BE9" w14:textId="77777777" w:rsidR="00137E0A" w:rsidRPr="00256992" w:rsidRDefault="00137E0A" w:rsidP="00642C60">
            <w:pPr>
              <w:jc w:val="center"/>
              <w:rPr>
                <w:b/>
                <w:bCs/>
                <w:lang w:val="es-AR"/>
              </w:rPr>
            </w:pPr>
            <w:r w:rsidRPr="00256992">
              <w:rPr>
                <w:b/>
                <w:bCs/>
                <w:lang w:val="es-AR"/>
              </w:rPr>
              <w:t>2019-20</w:t>
            </w:r>
          </w:p>
        </w:tc>
        <w:tc>
          <w:tcPr>
            <w:tcW w:w="1007" w:type="dxa"/>
            <w:tcBorders>
              <w:top w:val="single" w:sz="4" w:space="0" w:color="auto"/>
              <w:left w:val="nil"/>
              <w:bottom w:val="single" w:sz="4" w:space="0" w:color="auto"/>
              <w:right w:val="single" w:sz="4" w:space="0" w:color="auto"/>
            </w:tcBorders>
            <w:noWrap/>
            <w:vAlign w:val="bottom"/>
            <w:hideMark/>
          </w:tcPr>
          <w:p w14:paraId="517008B3" w14:textId="77777777" w:rsidR="00137E0A" w:rsidRPr="00256992" w:rsidRDefault="00137E0A" w:rsidP="00642C60">
            <w:pPr>
              <w:jc w:val="center"/>
              <w:rPr>
                <w:b/>
                <w:bCs/>
                <w:lang w:val="es-AR"/>
              </w:rPr>
            </w:pPr>
            <w:r w:rsidRPr="00256992">
              <w:rPr>
                <w:b/>
                <w:bCs/>
                <w:lang w:val="es-AR"/>
              </w:rPr>
              <w:t>2021-22</w:t>
            </w:r>
          </w:p>
        </w:tc>
        <w:tc>
          <w:tcPr>
            <w:tcW w:w="1153" w:type="dxa"/>
            <w:tcBorders>
              <w:top w:val="single" w:sz="4" w:space="0" w:color="auto"/>
              <w:left w:val="nil"/>
              <w:bottom w:val="single" w:sz="4" w:space="0" w:color="auto"/>
              <w:right w:val="single" w:sz="4" w:space="0" w:color="auto"/>
            </w:tcBorders>
            <w:shd w:val="clear" w:color="auto" w:fill="BFBFBF"/>
            <w:noWrap/>
            <w:vAlign w:val="bottom"/>
            <w:hideMark/>
          </w:tcPr>
          <w:p w14:paraId="520A9790" w14:textId="77777777" w:rsidR="00137E0A" w:rsidRPr="00256992" w:rsidRDefault="00137E0A" w:rsidP="00642C60">
            <w:pPr>
              <w:jc w:val="center"/>
              <w:rPr>
                <w:b/>
                <w:bCs/>
                <w:lang w:val="es-AR"/>
              </w:rPr>
            </w:pPr>
            <w:r w:rsidRPr="00256992">
              <w:rPr>
                <w:b/>
                <w:bCs/>
                <w:lang w:val="es-AR"/>
              </w:rPr>
              <w:t>2022-23</w:t>
            </w:r>
          </w:p>
        </w:tc>
      </w:tr>
      <w:tr w:rsidR="00137E0A" w:rsidRPr="00256992" w14:paraId="53931F0A" w14:textId="77777777" w:rsidTr="00642C60">
        <w:trPr>
          <w:trHeight w:val="793"/>
        </w:trPr>
        <w:tc>
          <w:tcPr>
            <w:tcW w:w="3209" w:type="dxa"/>
            <w:tcBorders>
              <w:top w:val="nil"/>
              <w:left w:val="single" w:sz="4" w:space="0" w:color="auto"/>
              <w:bottom w:val="single" w:sz="4" w:space="0" w:color="auto"/>
              <w:right w:val="single" w:sz="4" w:space="0" w:color="auto"/>
            </w:tcBorders>
            <w:vAlign w:val="center"/>
            <w:hideMark/>
          </w:tcPr>
          <w:p w14:paraId="7994393D" w14:textId="77777777" w:rsidR="00137E0A" w:rsidRPr="00256992" w:rsidRDefault="00137E0A" w:rsidP="00642C60">
            <w:pPr>
              <w:rPr>
                <w:color w:val="000000"/>
                <w:szCs w:val="22"/>
                <w:lang w:val="en-US"/>
              </w:rPr>
            </w:pPr>
            <w:r w:rsidRPr="00256992">
              <w:rPr>
                <w:color w:val="000000"/>
                <w:szCs w:val="22"/>
                <w:lang w:val="en-US"/>
              </w:rPr>
              <w:t>Emperor Penguin Colony Visits</w:t>
            </w:r>
          </w:p>
        </w:tc>
        <w:tc>
          <w:tcPr>
            <w:tcW w:w="1007" w:type="dxa"/>
            <w:tcBorders>
              <w:top w:val="nil"/>
              <w:left w:val="nil"/>
              <w:bottom w:val="single" w:sz="4" w:space="0" w:color="auto"/>
              <w:right w:val="single" w:sz="4" w:space="0" w:color="auto"/>
            </w:tcBorders>
            <w:shd w:val="clear" w:color="auto" w:fill="BFBFBF"/>
            <w:noWrap/>
            <w:vAlign w:val="center"/>
            <w:hideMark/>
          </w:tcPr>
          <w:p w14:paraId="4664DB4F" w14:textId="77777777" w:rsidR="00137E0A" w:rsidRPr="00256992" w:rsidRDefault="00137E0A" w:rsidP="00642C60">
            <w:pPr>
              <w:jc w:val="center"/>
              <w:rPr>
                <w:szCs w:val="22"/>
                <w:lang w:val="es-AR"/>
              </w:rPr>
            </w:pPr>
            <w:r w:rsidRPr="00256992">
              <w:rPr>
                <w:szCs w:val="22"/>
                <w:lang w:val="es-AR"/>
              </w:rPr>
              <w:t>94</w:t>
            </w:r>
          </w:p>
        </w:tc>
        <w:tc>
          <w:tcPr>
            <w:tcW w:w="1007" w:type="dxa"/>
            <w:tcBorders>
              <w:top w:val="nil"/>
              <w:left w:val="nil"/>
              <w:bottom w:val="single" w:sz="4" w:space="0" w:color="auto"/>
              <w:right w:val="single" w:sz="4" w:space="0" w:color="auto"/>
            </w:tcBorders>
            <w:noWrap/>
            <w:vAlign w:val="center"/>
            <w:hideMark/>
          </w:tcPr>
          <w:p w14:paraId="263E532C" w14:textId="77777777" w:rsidR="00137E0A" w:rsidRPr="00256992" w:rsidRDefault="00137E0A" w:rsidP="00642C60">
            <w:pPr>
              <w:jc w:val="center"/>
              <w:rPr>
                <w:szCs w:val="22"/>
                <w:lang w:val="es-AR"/>
              </w:rPr>
            </w:pPr>
            <w:r w:rsidRPr="00256992">
              <w:rPr>
                <w:szCs w:val="22"/>
                <w:lang w:val="es-AR"/>
              </w:rPr>
              <w:t>142</w:t>
            </w:r>
          </w:p>
        </w:tc>
        <w:tc>
          <w:tcPr>
            <w:tcW w:w="1007" w:type="dxa"/>
            <w:tcBorders>
              <w:top w:val="nil"/>
              <w:left w:val="nil"/>
              <w:bottom w:val="single" w:sz="4" w:space="0" w:color="auto"/>
              <w:right w:val="single" w:sz="4" w:space="0" w:color="auto"/>
            </w:tcBorders>
            <w:shd w:val="clear" w:color="auto" w:fill="BFBFBF"/>
            <w:noWrap/>
            <w:vAlign w:val="center"/>
            <w:hideMark/>
          </w:tcPr>
          <w:p w14:paraId="400980EC" w14:textId="77777777" w:rsidR="00137E0A" w:rsidRPr="00256992" w:rsidRDefault="00137E0A" w:rsidP="00642C60">
            <w:pPr>
              <w:jc w:val="center"/>
              <w:rPr>
                <w:szCs w:val="22"/>
                <w:lang w:val="es-AR"/>
              </w:rPr>
            </w:pPr>
            <w:r w:rsidRPr="00256992">
              <w:rPr>
                <w:szCs w:val="22"/>
                <w:lang w:val="es-AR"/>
              </w:rPr>
              <w:t>155</w:t>
            </w:r>
          </w:p>
        </w:tc>
        <w:tc>
          <w:tcPr>
            <w:tcW w:w="1007" w:type="dxa"/>
            <w:tcBorders>
              <w:top w:val="nil"/>
              <w:left w:val="nil"/>
              <w:bottom w:val="single" w:sz="4" w:space="0" w:color="auto"/>
              <w:right w:val="single" w:sz="4" w:space="0" w:color="auto"/>
            </w:tcBorders>
            <w:noWrap/>
            <w:vAlign w:val="center"/>
            <w:hideMark/>
          </w:tcPr>
          <w:p w14:paraId="47A3B194" w14:textId="77777777" w:rsidR="00137E0A" w:rsidRPr="00256992" w:rsidRDefault="00137E0A" w:rsidP="00642C60">
            <w:pPr>
              <w:jc w:val="center"/>
              <w:rPr>
                <w:szCs w:val="22"/>
                <w:lang w:val="es-AR"/>
              </w:rPr>
            </w:pPr>
            <w:r w:rsidRPr="00256992">
              <w:rPr>
                <w:szCs w:val="22"/>
                <w:lang w:val="es-AR"/>
              </w:rPr>
              <w:t>200</w:t>
            </w:r>
          </w:p>
        </w:tc>
        <w:tc>
          <w:tcPr>
            <w:tcW w:w="1153" w:type="dxa"/>
            <w:tcBorders>
              <w:top w:val="nil"/>
              <w:left w:val="nil"/>
              <w:bottom w:val="single" w:sz="4" w:space="0" w:color="auto"/>
              <w:right w:val="single" w:sz="4" w:space="0" w:color="auto"/>
            </w:tcBorders>
            <w:shd w:val="clear" w:color="auto" w:fill="BFBFBF"/>
            <w:noWrap/>
            <w:vAlign w:val="center"/>
            <w:hideMark/>
          </w:tcPr>
          <w:p w14:paraId="6DE05E6B" w14:textId="77777777" w:rsidR="00137E0A" w:rsidRPr="00256992" w:rsidRDefault="00137E0A" w:rsidP="00642C60">
            <w:pPr>
              <w:jc w:val="center"/>
              <w:rPr>
                <w:szCs w:val="22"/>
                <w:lang w:val="es-AR"/>
              </w:rPr>
            </w:pPr>
            <w:r w:rsidRPr="00256992">
              <w:rPr>
                <w:szCs w:val="22"/>
                <w:lang w:val="es-AR"/>
              </w:rPr>
              <w:t>215</w:t>
            </w:r>
          </w:p>
        </w:tc>
      </w:tr>
      <w:tr w:rsidR="00137E0A" w:rsidRPr="00256992" w14:paraId="745069C6" w14:textId="77777777" w:rsidTr="00642C60">
        <w:trPr>
          <w:trHeight w:val="793"/>
        </w:trPr>
        <w:tc>
          <w:tcPr>
            <w:tcW w:w="3209" w:type="dxa"/>
            <w:tcBorders>
              <w:top w:val="nil"/>
              <w:left w:val="single" w:sz="4" w:space="0" w:color="auto"/>
              <w:bottom w:val="single" w:sz="4" w:space="0" w:color="auto"/>
              <w:right w:val="single" w:sz="4" w:space="0" w:color="auto"/>
            </w:tcBorders>
            <w:vAlign w:val="center"/>
            <w:hideMark/>
          </w:tcPr>
          <w:p w14:paraId="4E1A9953" w14:textId="77777777" w:rsidR="00137E0A" w:rsidRPr="00256992" w:rsidRDefault="00137E0A" w:rsidP="00642C60">
            <w:pPr>
              <w:rPr>
                <w:color w:val="000000"/>
                <w:szCs w:val="22"/>
                <w:lang w:val="en-US"/>
              </w:rPr>
            </w:pPr>
            <w:r w:rsidRPr="00256992">
              <w:rPr>
                <w:color w:val="000000"/>
                <w:szCs w:val="22"/>
                <w:lang w:val="en-US"/>
              </w:rPr>
              <w:t>Deep Field Experiences (camping, skiing, kite-skiing, mountaineering, skydiving, cycling, etc.)</w:t>
            </w:r>
          </w:p>
        </w:tc>
        <w:tc>
          <w:tcPr>
            <w:tcW w:w="1007" w:type="dxa"/>
            <w:tcBorders>
              <w:top w:val="nil"/>
              <w:left w:val="nil"/>
              <w:bottom w:val="single" w:sz="4" w:space="0" w:color="auto"/>
              <w:right w:val="single" w:sz="4" w:space="0" w:color="auto"/>
            </w:tcBorders>
            <w:shd w:val="clear" w:color="auto" w:fill="BFBFBF"/>
            <w:noWrap/>
            <w:vAlign w:val="center"/>
            <w:hideMark/>
          </w:tcPr>
          <w:p w14:paraId="6D78E50F" w14:textId="77777777" w:rsidR="00137E0A" w:rsidRPr="00256992" w:rsidRDefault="00137E0A" w:rsidP="00642C60">
            <w:pPr>
              <w:jc w:val="center"/>
              <w:rPr>
                <w:szCs w:val="22"/>
                <w:lang w:val="es-AR"/>
              </w:rPr>
            </w:pPr>
            <w:r w:rsidRPr="00256992">
              <w:rPr>
                <w:szCs w:val="22"/>
                <w:lang w:val="es-AR"/>
              </w:rPr>
              <w:t>88</w:t>
            </w:r>
          </w:p>
        </w:tc>
        <w:tc>
          <w:tcPr>
            <w:tcW w:w="1007" w:type="dxa"/>
            <w:tcBorders>
              <w:top w:val="nil"/>
              <w:left w:val="nil"/>
              <w:bottom w:val="single" w:sz="4" w:space="0" w:color="auto"/>
              <w:right w:val="single" w:sz="4" w:space="0" w:color="auto"/>
            </w:tcBorders>
            <w:noWrap/>
            <w:vAlign w:val="center"/>
            <w:hideMark/>
          </w:tcPr>
          <w:p w14:paraId="51F85D78" w14:textId="77777777" w:rsidR="00137E0A" w:rsidRPr="00256992" w:rsidRDefault="00137E0A" w:rsidP="00642C60">
            <w:pPr>
              <w:jc w:val="center"/>
              <w:rPr>
                <w:szCs w:val="22"/>
                <w:lang w:val="es-AR"/>
              </w:rPr>
            </w:pPr>
            <w:r w:rsidRPr="00256992">
              <w:rPr>
                <w:szCs w:val="22"/>
                <w:lang w:val="es-AR"/>
              </w:rPr>
              <w:t>44</w:t>
            </w:r>
          </w:p>
        </w:tc>
        <w:tc>
          <w:tcPr>
            <w:tcW w:w="1007" w:type="dxa"/>
            <w:tcBorders>
              <w:top w:val="nil"/>
              <w:left w:val="nil"/>
              <w:bottom w:val="single" w:sz="4" w:space="0" w:color="auto"/>
              <w:right w:val="single" w:sz="4" w:space="0" w:color="auto"/>
            </w:tcBorders>
            <w:shd w:val="clear" w:color="auto" w:fill="BFBFBF"/>
            <w:noWrap/>
            <w:vAlign w:val="center"/>
            <w:hideMark/>
          </w:tcPr>
          <w:p w14:paraId="4026A986" w14:textId="77777777" w:rsidR="00137E0A" w:rsidRPr="00256992" w:rsidRDefault="00137E0A" w:rsidP="00642C60">
            <w:pPr>
              <w:jc w:val="center"/>
              <w:rPr>
                <w:szCs w:val="22"/>
                <w:lang w:val="es-AR"/>
              </w:rPr>
            </w:pPr>
            <w:r w:rsidRPr="00256992">
              <w:rPr>
                <w:szCs w:val="22"/>
                <w:lang w:val="es-AR"/>
              </w:rPr>
              <w:t>37</w:t>
            </w:r>
          </w:p>
        </w:tc>
        <w:tc>
          <w:tcPr>
            <w:tcW w:w="1007" w:type="dxa"/>
            <w:tcBorders>
              <w:top w:val="nil"/>
              <w:left w:val="nil"/>
              <w:bottom w:val="single" w:sz="4" w:space="0" w:color="auto"/>
              <w:right w:val="single" w:sz="4" w:space="0" w:color="auto"/>
            </w:tcBorders>
            <w:noWrap/>
            <w:vAlign w:val="center"/>
            <w:hideMark/>
          </w:tcPr>
          <w:p w14:paraId="264246DC" w14:textId="77777777" w:rsidR="00137E0A" w:rsidRPr="00256992" w:rsidRDefault="00137E0A" w:rsidP="00642C60">
            <w:pPr>
              <w:jc w:val="center"/>
              <w:rPr>
                <w:szCs w:val="22"/>
                <w:lang w:val="es-AR"/>
              </w:rPr>
            </w:pPr>
            <w:r w:rsidRPr="00256992">
              <w:rPr>
                <w:szCs w:val="22"/>
                <w:lang w:val="es-AR"/>
              </w:rPr>
              <w:t>151</w:t>
            </w:r>
          </w:p>
        </w:tc>
        <w:tc>
          <w:tcPr>
            <w:tcW w:w="1153" w:type="dxa"/>
            <w:tcBorders>
              <w:top w:val="nil"/>
              <w:left w:val="nil"/>
              <w:bottom w:val="single" w:sz="4" w:space="0" w:color="auto"/>
              <w:right w:val="single" w:sz="4" w:space="0" w:color="auto"/>
            </w:tcBorders>
            <w:shd w:val="clear" w:color="auto" w:fill="BFBFBF"/>
            <w:noWrap/>
            <w:vAlign w:val="center"/>
            <w:hideMark/>
          </w:tcPr>
          <w:p w14:paraId="57A51CD8" w14:textId="77777777" w:rsidR="00137E0A" w:rsidRPr="00256992" w:rsidRDefault="00137E0A" w:rsidP="00642C60">
            <w:pPr>
              <w:jc w:val="center"/>
              <w:rPr>
                <w:szCs w:val="22"/>
                <w:lang w:val="es-AR"/>
              </w:rPr>
            </w:pPr>
            <w:r w:rsidRPr="00256992">
              <w:rPr>
                <w:szCs w:val="22"/>
                <w:lang w:val="es-AR"/>
              </w:rPr>
              <w:t>66</w:t>
            </w:r>
          </w:p>
        </w:tc>
      </w:tr>
      <w:tr w:rsidR="00137E0A" w:rsidRPr="00256992" w14:paraId="31DB5B41" w14:textId="77777777" w:rsidTr="00642C60">
        <w:trPr>
          <w:trHeight w:val="793"/>
        </w:trPr>
        <w:tc>
          <w:tcPr>
            <w:tcW w:w="3209" w:type="dxa"/>
            <w:tcBorders>
              <w:top w:val="nil"/>
              <w:left w:val="single" w:sz="4" w:space="0" w:color="auto"/>
              <w:bottom w:val="single" w:sz="4" w:space="0" w:color="auto"/>
              <w:right w:val="single" w:sz="4" w:space="0" w:color="auto"/>
            </w:tcBorders>
            <w:vAlign w:val="center"/>
            <w:hideMark/>
          </w:tcPr>
          <w:p w14:paraId="4BF6D2EE" w14:textId="77777777" w:rsidR="00137E0A" w:rsidRPr="00256992" w:rsidRDefault="00137E0A" w:rsidP="00642C60">
            <w:pPr>
              <w:rPr>
                <w:color w:val="000000"/>
                <w:szCs w:val="22"/>
                <w:lang w:val="en-US"/>
              </w:rPr>
            </w:pPr>
            <w:r w:rsidRPr="00256992">
              <w:rPr>
                <w:color w:val="000000"/>
                <w:szCs w:val="22"/>
                <w:lang w:val="en-US"/>
              </w:rPr>
              <w:t>Deep Field Flights (e.g. to Pole of Inaccessibility)</w:t>
            </w:r>
          </w:p>
        </w:tc>
        <w:tc>
          <w:tcPr>
            <w:tcW w:w="1007" w:type="dxa"/>
            <w:tcBorders>
              <w:top w:val="nil"/>
              <w:left w:val="nil"/>
              <w:bottom w:val="single" w:sz="4" w:space="0" w:color="auto"/>
              <w:right w:val="single" w:sz="4" w:space="0" w:color="auto"/>
            </w:tcBorders>
            <w:shd w:val="clear" w:color="auto" w:fill="BFBFBF"/>
            <w:noWrap/>
            <w:vAlign w:val="center"/>
            <w:hideMark/>
          </w:tcPr>
          <w:p w14:paraId="5706D3FE" w14:textId="77777777" w:rsidR="00137E0A" w:rsidRPr="00256992" w:rsidRDefault="00137E0A" w:rsidP="00642C60">
            <w:pPr>
              <w:jc w:val="center"/>
              <w:rPr>
                <w:szCs w:val="22"/>
                <w:lang w:val="es-AR"/>
              </w:rPr>
            </w:pPr>
            <w:r w:rsidRPr="00256992">
              <w:rPr>
                <w:szCs w:val="22"/>
                <w:lang w:val="es-AR"/>
              </w:rPr>
              <w:t>0</w:t>
            </w:r>
          </w:p>
        </w:tc>
        <w:tc>
          <w:tcPr>
            <w:tcW w:w="1007" w:type="dxa"/>
            <w:tcBorders>
              <w:top w:val="nil"/>
              <w:left w:val="nil"/>
              <w:bottom w:val="single" w:sz="4" w:space="0" w:color="auto"/>
              <w:right w:val="single" w:sz="4" w:space="0" w:color="auto"/>
            </w:tcBorders>
            <w:noWrap/>
            <w:vAlign w:val="center"/>
            <w:hideMark/>
          </w:tcPr>
          <w:p w14:paraId="3BFFA7D1" w14:textId="77777777" w:rsidR="00137E0A" w:rsidRPr="00256992" w:rsidRDefault="00137E0A" w:rsidP="00642C60">
            <w:pPr>
              <w:jc w:val="center"/>
              <w:rPr>
                <w:szCs w:val="22"/>
                <w:lang w:val="es-AR"/>
              </w:rPr>
            </w:pPr>
            <w:r w:rsidRPr="00256992">
              <w:rPr>
                <w:szCs w:val="22"/>
                <w:lang w:val="es-AR"/>
              </w:rPr>
              <w:t>17</w:t>
            </w:r>
          </w:p>
        </w:tc>
        <w:tc>
          <w:tcPr>
            <w:tcW w:w="1007" w:type="dxa"/>
            <w:tcBorders>
              <w:top w:val="nil"/>
              <w:left w:val="nil"/>
              <w:bottom w:val="single" w:sz="4" w:space="0" w:color="auto"/>
              <w:right w:val="single" w:sz="4" w:space="0" w:color="auto"/>
            </w:tcBorders>
            <w:shd w:val="clear" w:color="auto" w:fill="BFBFBF"/>
            <w:noWrap/>
            <w:vAlign w:val="center"/>
            <w:hideMark/>
          </w:tcPr>
          <w:p w14:paraId="59D5D005" w14:textId="77777777" w:rsidR="00137E0A" w:rsidRPr="00256992" w:rsidRDefault="00137E0A" w:rsidP="00642C60">
            <w:pPr>
              <w:jc w:val="center"/>
              <w:rPr>
                <w:szCs w:val="22"/>
                <w:lang w:val="es-AR"/>
              </w:rPr>
            </w:pPr>
            <w:r w:rsidRPr="00256992">
              <w:rPr>
                <w:szCs w:val="22"/>
                <w:lang w:val="es-AR"/>
              </w:rPr>
              <w:t>0</w:t>
            </w:r>
          </w:p>
        </w:tc>
        <w:tc>
          <w:tcPr>
            <w:tcW w:w="1007" w:type="dxa"/>
            <w:tcBorders>
              <w:top w:val="nil"/>
              <w:left w:val="nil"/>
              <w:bottom w:val="single" w:sz="4" w:space="0" w:color="auto"/>
              <w:right w:val="single" w:sz="4" w:space="0" w:color="auto"/>
            </w:tcBorders>
            <w:noWrap/>
            <w:vAlign w:val="center"/>
            <w:hideMark/>
          </w:tcPr>
          <w:p w14:paraId="7A9A3A83" w14:textId="77777777" w:rsidR="00137E0A" w:rsidRPr="00256992" w:rsidRDefault="00137E0A" w:rsidP="00642C60">
            <w:pPr>
              <w:jc w:val="center"/>
              <w:rPr>
                <w:szCs w:val="22"/>
                <w:lang w:val="es-AR"/>
              </w:rPr>
            </w:pPr>
            <w:r w:rsidRPr="00256992">
              <w:rPr>
                <w:szCs w:val="22"/>
                <w:lang w:val="es-AR"/>
              </w:rPr>
              <w:t>0</w:t>
            </w:r>
          </w:p>
        </w:tc>
        <w:tc>
          <w:tcPr>
            <w:tcW w:w="1153" w:type="dxa"/>
            <w:tcBorders>
              <w:top w:val="nil"/>
              <w:left w:val="nil"/>
              <w:bottom w:val="single" w:sz="4" w:space="0" w:color="auto"/>
              <w:right w:val="single" w:sz="4" w:space="0" w:color="auto"/>
            </w:tcBorders>
            <w:shd w:val="clear" w:color="auto" w:fill="BFBFBF"/>
            <w:noWrap/>
            <w:vAlign w:val="center"/>
            <w:hideMark/>
          </w:tcPr>
          <w:p w14:paraId="09C3A69C" w14:textId="77777777" w:rsidR="00137E0A" w:rsidRPr="00256992" w:rsidRDefault="00137E0A" w:rsidP="00642C60">
            <w:pPr>
              <w:jc w:val="center"/>
              <w:rPr>
                <w:szCs w:val="22"/>
                <w:lang w:val="es-AR"/>
              </w:rPr>
            </w:pPr>
            <w:r w:rsidRPr="00256992">
              <w:rPr>
                <w:szCs w:val="22"/>
                <w:lang w:val="es-AR"/>
              </w:rPr>
              <w:t>2</w:t>
            </w:r>
          </w:p>
        </w:tc>
      </w:tr>
      <w:tr w:rsidR="00137E0A" w:rsidRPr="00256992" w14:paraId="5396CFAC" w14:textId="77777777" w:rsidTr="00642C60">
        <w:trPr>
          <w:trHeight w:val="793"/>
        </w:trPr>
        <w:tc>
          <w:tcPr>
            <w:tcW w:w="3209" w:type="dxa"/>
            <w:tcBorders>
              <w:top w:val="nil"/>
              <w:left w:val="single" w:sz="4" w:space="0" w:color="auto"/>
              <w:bottom w:val="single" w:sz="4" w:space="0" w:color="auto"/>
              <w:right w:val="single" w:sz="4" w:space="0" w:color="auto"/>
            </w:tcBorders>
            <w:vAlign w:val="center"/>
            <w:hideMark/>
          </w:tcPr>
          <w:p w14:paraId="4748A960" w14:textId="77777777" w:rsidR="00137E0A" w:rsidRPr="00256992" w:rsidRDefault="00137E0A" w:rsidP="00642C60">
            <w:pPr>
              <w:rPr>
                <w:color w:val="000000"/>
                <w:szCs w:val="22"/>
                <w:lang w:val="en-US"/>
              </w:rPr>
            </w:pPr>
            <w:r w:rsidRPr="00256992">
              <w:rPr>
                <w:color w:val="000000"/>
                <w:szCs w:val="22"/>
                <w:lang w:val="en-US"/>
              </w:rPr>
              <w:t>South Pole Fly-in</w:t>
            </w:r>
          </w:p>
        </w:tc>
        <w:tc>
          <w:tcPr>
            <w:tcW w:w="1007" w:type="dxa"/>
            <w:tcBorders>
              <w:top w:val="nil"/>
              <w:left w:val="nil"/>
              <w:bottom w:val="single" w:sz="4" w:space="0" w:color="auto"/>
              <w:right w:val="single" w:sz="4" w:space="0" w:color="auto"/>
            </w:tcBorders>
            <w:shd w:val="clear" w:color="auto" w:fill="BFBFBF"/>
            <w:noWrap/>
            <w:vAlign w:val="center"/>
            <w:hideMark/>
          </w:tcPr>
          <w:p w14:paraId="49969CC5" w14:textId="77777777" w:rsidR="00137E0A" w:rsidRPr="00256992" w:rsidRDefault="00137E0A" w:rsidP="00642C60">
            <w:pPr>
              <w:jc w:val="center"/>
              <w:rPr>
                <w:szCs w:val="22"/>
                <w:lang w:val="es-AR"/>
              </w:rPr>
            </w:pPr>
            <w:r w:rsidRPr="00256992">
              <w:rPr>
                <w:szCs w:val="22"/>
                <w:lang w:val="es-AR"/>
              </w:rPr>
              <w:t>100</w:t>
            </w:r>
          </w:p>
        </w:tc>
        <w:tc>
          <w:tcPr>
            <w:tcW w:w="1007" w:type="dxa"/>
            <w:tcBorders>
              <w:top w:val="nil"/>
              <w:left w:val="nil"/>
              <w:bottom w:val="single" w:sz="4" w:space="0" w:color="auto"/>
              <w:right w:val="single" w:sz="4" w:space="0" w:color="auto"/>
            </w:tcBorders>
            <w:noWrap/>
            <w:vAlign w:val="center"/>
            <w:hideMark/>
          </w:tcPr>
          <w:p w14:paraId="320903B0" w14:textId="77777777" w:rsidR="00137E0A" w:rsidRPr="00256992" w:rsidRDefault="00137E0A" w:rsidP="00642C60">
            <w:pPr>
              <w:jc w:val="center"/>
              <w:rPr>
                <w:szCs w:val="22"/>
                <w:lang w:val="es-AR"/>
              </w:rPr>
            </w:pPr>
            <w:r w:rsidRPr="00256992">
              <w:rPr>
                <w:szCs w:val="22"/>
                <w:lang w:val="es-AR"/>
              </w:rPr>
              <w:t>172</w:t>
            </w:r>
          </w:p>
        </w:tc>
        <w:tc>
          <w:tcPr>
            <w:tcW w:w="1007" w:type="dxa"/>
            <w:tcBorders>
              <w:top w:val="nil"/>
              <w:left w:val="nil"/>
              <w:bottom w:val="single" w:sz="4" w:space="0" w:color="auto"/>
              <w:right w:val="single" w:sz="4" w:space="0" w:color="auto"/>
            </w:tcBorders>
            <w:shd w:val="clear" w:color="auto" w:fill="BFBFBF"/>
            <w:noWrap/>
            <w:vAlign w:val="center"/>
            <w:hideMark/>
          </w:tcPr>
          <w:p w14:paraId="1EDF53C7" w14:textId="77777777" w:rsidR="00137E0A" w:rsidRPr="00256992" w:rsidRDefault="00137E0A" w:rsidP="00642C60">
            <w:pPr>
              <w:jc w:val="center"/>
              <w:rPr>
                <w:szCs w:val="22"/>
                <w:lang w:val="es-AR"/>
              </w:rPr>
            </w:pPr>
            <w:r w:rsidRPr="00256992">
              <w:rPr>
                <w:szCs w:val="22"/>
                <w:lang w:val="es-AR"/>
              </w:rPr>
              <w:t>217</w:t>
            </w:r>
          </w:p>
        </w:tc>
        <w:tc>
          <w:tcPr>
            <w:tcW w:w="1007" w:type="dxa"/>
            <w:tcBorders>
              <w:top w:val="nil"/>
              <w:left w:val="nil"/>
              <w:bottom w:val="single" w:sz="4" w:space="0" w:color="auto"/>
              <w:right w:val="single" w:sz="4" w:space="0" w:color="auto"/>
            </w:tcBorders>
            <w:noWrap/>
            <w:vAlign w:val="center"/>
            <w:hideMark/>
          </w:tcPr>
          <w:p w14:paraId="789DAECA" w14:textId="77777777" w:rsidR="00137E0A" w:rsidRPr="00256992" w:rsidRDefault="00137E0A" w:rsidP="00642C60">
            <w:pPr>
              <w:jc w:val="center"/>
              <w:rPr>
                <w:szCs w:val="22"/>
                <w:lang w:val="es-AR"/>
              </w:rPr>
            </w:pPr>
            <w:r w:rsidRPr="00256992">
              <w:rPr>
                <w:szCs w:val="22"/>
                <w:lang w:val="es-AR"/>
              </w:rPr>
              <w:t>116</w:t>
            </w:r>
          </w:p>
        </w:tc>
        <w:tc>
          <w:tcPr>
            <w:tcW w:w="1153" w:type="dxa"/>
            <w:tcBorders>
              <w:top w:val="nil"/>
              <w:left w:val="nil"/>
              <w:bottom w:val="single" w:sz="4" w:space="0" w:color="auto"/>
              <w:right w:val="single" w:sz="4" w:space="0" w:color="auto"/>
            </w:tcBorders>
            <w:shd w:val="clear" w:color="auto" w:fill="BFBFBF"/>
            <w:noWrap/>
            <w:vAlign w:val="center"/>
            <w:hideMark/>
          </w:tcPr>
          <w:p w14:paraId="54476FBF" w14:textId="77777777" w:rsidR="00137E0A" w:rsidRPr="00256992" w:rsidRDefault="00137E0A" w:rsidP="00642C60">
            <w:pPr>
              <w:jc w:val="center"/>
              <w:rPr>
                <w:szCs w:val="22"/>
                <w:lang w:val="es-AR"/>
              </w:rPr>
            </w:pPr>
            <w:r w:rsidRPr="00256992">
              <w:rPr>
                <w:szCs w:val="22"/>
                <w:lang w:val="es-AR"/>
              </w:rPr>
              <w:t>173</w:t>
            </w:r>
          </w:p>
        </w:tc>
      </w:tr>
      <w:tr w:rsidR="00137E0A" w:rsidRPr="00256992" w14:paraId="106C5085" w14:textId="77777777" w:rsidTr="00642C60">
        <w:trPr>
          <w:trHeight w:val="793"/>
        </w:trPr>
        <w:tc>
          <w:tcPr>
            <w:tcW w:w="3209" w:type="dxa"/>
            <w:tcBorders>
              <w:top w:val="nil"/>
              <w:left w:val="single" w:sz="4" w:space="0" w:color="auto"/>
              <w:bottom w:val="single" w:sz="4" w:space="0" w:color="auto"/>
              <w:right w:val="single" w:sz="4" w:space="0" w:color="auto"/>
            </w:tcBorders>
            <w:vAlign w:val="center"/>
            <w:hideMark/>
          </w:tcPr>
          <w:p w14:paraId="5BA9D8CB" w14:textId="77777777" w:rsidR="00137E0A" w:rsidRPr="00256992" w:rsidRDefault="00137E0A" w:rsidP="00642C60">
            <w:pPr>
              <w:rPr>
                <w:color w:val="000000"/>
                <w:szCs w:val="22"/>
                <w:lang w:val="en-US"/>
              </w:rPr>
            </w:pPr>
            <w:r w:rsidRPr="00256992">
              <w:rPr>
                <w:color w:val="000000"/>
                <w:szCs w:val="22"/>
                <w:lang w:val="en-US"/>
              </w:rPr>
              <w:t>South Pole Ski Expedition</w:t>
            </w:r>
          </w:p>
        </w:tc>
        <w:tc>
          <w:tcPr>
            <w:tcW w:w="1007" w:type="dxa"/>
            <w:tcBorders>
              <w:top w:val="nil"/>
              <w:left w:val="nil"/>
              <w:bottom w:val="single" w:sz="4" w:space="0" w:color="auto"/>
              <w:right w:val="single" w:sz="4" w:space="0" w:color="auto"/>
            </w:tcBorders>
            <w:shd w:val="clear" w:color="auto" w:fill="BFBFBF"/>
            <w:noWrap/>
            <w:vAlign w:val="center"/>
            <w:hideMark/>
          </w:tcPr>
          <w:p w14:paraId="1DEEBF63" w14:textId="77777777" w:rsidR="00137E0A" w:rsidRPr="00256992" w:rsidRDefault="00137E0A" w:rsidP="00642C60">
            <w:pPr>
              <w:jc w:val="center"/>
              <w:rPr>
                <w:szCs w:val="22"/>
                <w:lang w:val="es-AR"/>
              </w:rPr>
            </w:pPr>
            <w:r w:rsidRPr="00256992">
              <w:rPr>
                <w:szCs w:val="22"/>
                <w:lang w:val="es-AR"/>
              </w:rPr>
              <w:t>18</w:t>
            </w:r>
          </w:p>
        </w:tc>
        <w:tc>
          <w:tcPr>
            <w:tcW w:w="1007" w:type="dxa"/>
            <w:tcBorders>
              <w:top w:val="nil"/>
              <w:left w:val="nil"/>
              <w:bottom w:val="single" w:sz="4" w:space="0" w:color="auto"/>
              <w:right w:val="single" w:sz="4" w:space="0" w:color="auto"/>
            </w:tcBorders>
            <w:noWrap/>
            <w:vAlign w:val="center"/>
            <w:hideMark/>
          </w:tcPr>
          <w:p w14:paraId="6B30F20F" w14:textId="77777777" w:rsidR="00137E0A" w:rsidRPr="00256992" w:rsidRDefault="00137E0A" w:rsidP="00642C60">
            <w:pPr>
              <w:jc w:val="center"/>
              <w:rPr>
                <w:szCs w:val="22"/>
                <w:lang w:val="es-AR"/>
              </w:rPr>
            </w:pPr>
            <w:r w:rsidRPr="00256992">
              <w:rPr>
                <w:szCs w:val="22"/>
                <w:lang w:val="es-AR"/>
              </w:rPr>
              <w:t>18</w:t>
            </w:r>
          </w:p>
        </w:tc>
        <w:tc>
          <w:tcPr>
            <w:tcW w:w="1007" w:type="dxa"/>
            <w:tcBorders>
              <w:top w:val="nil"/>
              <w:left w:val="nil"/>
              <w:bottom w:val="single" w:sz="4" w:space="0" w:color="auto"/>
              <w:right w:val="single" w:sz="4" w:space="0" w:color="auto"/>
            </w:tcBorders>
            <w:shd w:val="clear" w:color="auto" w:fill="BFBFBF"/>
            <w:noWrap/>
            <w:vAlign w:val="center"/>
            <w:hideMark/>
          </w:tcPr>
          <w:p w14:paraId="4FC31306" w14:textId="77777777" w:rsidR="00137E0A" w:rsidRPr="00256992" w:rsidRDefault="00137E0A" w:rsidP="00642C60">
            <w:pPr>
              <w:jc w:val="center"/>
              <w:rPr>
                <w:szCs w:val="22"/>
                <w:lang w:val="es-AR"/>
              </w:rPr>
            </w:pPr>
            <w:r w:rsidRPr="00256992">
              <w:rPr>
                <w:szCs w:val="22"/>
                <w:lang w:val="es-AR"/>
              </w:rPr>
              <w:t>21</w:t>
            </w:r>
          </w:p>
        </w:tc>
        <w:tc>
          <w:tcPr>
            <w:tcW w:w="1007" w:type="dxa"/>
            <w:tcBorders>
              <w:top w:val="nil"/>
              <w:left w:val="nil"/>
              <w:bottom w:val="single" w:sz="4" w:space="0" w:color="auto"/>
              <w:right w:val="single" w:sz="4" w:space="0" w:color="auto"/>
            </w:tcBorders>
            <w:noWrap/>
            <w:vAlign w:val="center"/>
            <w:hideMark/>
          </w:tcPr>
          <w:p w14:paraId="09BDA47A" w14:textId="77777777" w:rsidR="00137E0A" w:rsidRPr="00256992" w:rsidRDefault="00137E0A" w:rsidP="00642C60">
            <w:pPr>
              <w:jc w:val="center"/>
              <w:rPr>
                <w:szCs w:val="22"/>
                <w:lang w:val="es-AR"/>
              </w:rPr>
            </w:pPr>
            <w:r w:rsidRPr="00256992">
              <w:rPr>
                <w:szCs w:val="22"/>
                <w:lang w:val="es-AR"/>
              </w:rPr>
              <w:t>6</w:t>
            </w:r>
          </w:p>
        </w:tc>
        <w:tc>
          <w:tcPr>
            <w:tcW w:w="1153" w:type="dxa"/>
            <w:tcBorders>
              <w:top w:val="nil"/>
              <w:left w:val="nil"/>
              <w:bottom w:val="single" w:sz="4" w:space="0" w:color="auto"/>
              <w:right w:val="single" w:sz="4" w:space="0" w:color="auto"/>
            </w:tcBorders>
            <w:shd w:val="clear" w:color="auto" w:fill="BFBFBF"/>
            <w:noWrap/>
            <w:vAlign w:val="center"/>
            <w:hideMark/>
          </w:tcPr>
          <w:p w14:paraId="4B5B80E3" w14:textId="77777777" w:rsidR="00137E0A" w:rsidRPr="00256992" w:rsidRDefault="00137E0A" w:rsidP="00642C60">
            <w:pPr>
              <w:jc w:val="center"/>
              <w:rPr>
                <w:szCs w:val="22"/>
                <w:lang w:val="es-AR"/>
              </w:rPr>
            </w:pPr>
            <w:r w:rsidRPr="00256992">
              <w:rPr>
                <w:szCs w:val="22"/>
                <w:lang w:val="es-AR"/>
              </w:rPr>
              <w:t>23</w:t>
            </w:r>
          </w:p>
        </w:tc>
      </w:tr>
      <w:tr w:rsidR="00137E0A" w:rsidRPr="00256992" w14:paraId="55A9B1F4" w14:textId="77777777" w:rsidTr="00642C60">
        <w:trPr>
          <w:trHeight w:val="793"/>
        </w:trPr>
        <w:tc>
          <w:tcPr>
            <w:tcW w:w="3209" w:type="dxa"/>
            <w:tcBorders>
              <w:top w:val="nil"/>
              <w:left w:val="single" w:sz="4" w:space="0" w:color="auto"/>
              <w:bottom w:val="single" w:sz="4" w:space="0" w:color="auto"/>
              <w:right w:val="single" w:sz="4" w:space="0" w:color="auto"/>
            </w:tcBorders>
            <w:vAlign w:val="center"/>
            <w:hideMark/>
          </w:tcPr>
          <w:p w14:paraId="2659BFCE" w14:textId="77777777" w:rsidR="00137E0A" w:rsidRPr="00256992" w:rsidRDefault="00137E0A" w:rsidP="00642C60">
            <w:pPr>
              <w:rPr>
                <w:color w:val="000000"/>
                <w:szCs w:val="22"/>
                <w:lang w:val="en-US"/>
              </w:rPr>
            </w:pPr>
            <w:r w:rsidRPr="00256992">
              <w:rPr>
                <w:color w:val="000000"/>
                <w:szCs w:val="22"/>
                <w:lang w:val="en-US"/>
              </w:rPr>
              <w:t>South Pole Motorised Expedition</w:t>
            </w:r>
          </w:p>
        </w:tc>
        <w:tc>
          <w:tcPr>
            <w:tcW w:w="1007" w:type="dxa"/>
            <w:tcBorders>
              <w:top w:val="nil"/>
              <w:left w:val="nil"/>
              <w:bottom w:val="single" w:sz="4" w:space="0" w:color="auto"/>
              <w:right w:val="single" w:sz="4" w:space="0" w:color="auto"/>
            </w:tcBorders>
            <w:shd w:val="clear" w:color="auto" w:fill="BFBFBF"/>
            <w:noWrap/>
            <w:vAlign w:val="center"/>
            <w:hideMark/>
          </w:tcPr>
          <w:p w14:paraId="5C20123C" w14:textId="77777777" w:rsidR="00137E0A" w:rsidRPr="00256992" w:rsidRDefault="00137E0A" w:rsidP="00642C60">
            <w:pPr>
              <w:jc w:val="center"/>
              <w:rPr>
                <w:szCs w:val="22"/>
                <w:lang w:val="es-AR"/>
              </w:rPr>
            </w:pPr>
            <w:r w:rsidRPr="00256992">
              <w:rPr>
                <w:szCs w:val="22"/>
                <w:lang w:val="es-AR"/>
              </w:rPr>
              <w:t>3</w:t>
            </w:r>
          </w:p>
        </w:tc>
        <w:tc>
          <w:tcPr>
            <w:tcW w:w="1007" w:type="dxa"/>
            <w:tcBorders>
              <w:top w:val="nil"/>
              <w:left w:val="nil"/>
              <w:bottom w:val="single" w:sz="4" w:space="0" w:color="auto"/>
              <w:right w:val="single" w:sz="4" w:space="0" w:color="auto"/>
            </w:tcBorders>
            <w:noWrap/>
            <w:vAlign w:val="center"/>
            <w:hideMark/>
          </w:tcPr>
          <w:p w14:paraId="55685DD0" w14:textId="77777777" w:rsidR="00137E0A" w:rsidRPr="00256992" w:rsidRDefault="00137E0A" w:rsidP="00642C60">
            <w:pPr>
              <w:jc w:val="center"/>
              <w:rPr>
                <w:szCs w:val="22"/>
                <w:lang w:val="es-AR"/>
              </w:rPr>
            </w:pPr>
            <w:r w:rsidRPr="00256992">
              <w:rPr>
                <w:szCs w:val="22"/>
                <w:lang w:val="es-AR"/>
              </w:rPr>
              <w:t>22</w:t>
            </w:r>
          </w:p>
        </w:tc>
        <w:tc>
          <w:tcPr>
            <w:tcW w:w="1007" w:type="dxa"/>
            <w:tcBorders>
              <w:top w:val="nil"/>
              <w:left w:val="nil"/>
              <w:bottom w:val="single" w:sz="4" w:space="0" w:color="auto"/>
              <w:right w:val="single" w:sz="4" w:space="0" w:color="auto"/>
            </w:tcBorders>
            <w:shd w:val="clear" w:color="auto" w:fill="BFBFBF"/>
            <w:noWrap/>
            <w:vAlign w:val="center"/>
            <w:hideMark/>
          </w:tcPr>
          <w:p w14:paraId="1FE3E27C" w14:textId="77777777" w:rsidR="00137E0A" w:rsidRPr="00256992" w:rsidRDefault="00137E0A" w:rsidP="00642C60">
            <w:pPr>
              <w:jc w:val="center"/>
              <w:rPr>
                <w:szCs w:val="22"/>
                <w:lang w:val="es-AR"/>
              </w:rPr>
            </w:pPr>
            <w:r w:rsidRPr="00256992">
              <w:rPr>
                <w:szCs w:val="22"/>
                <w:lang w:val="es-AR"/>
              </w:rPr>
              <w:t>18</w:t>
            </w:r>
          </w:p>
        </w:tc>
        <w:tc>
          <w:tcPr>
            <w:tcW w:w="1007" w:type="dxa"/>
            <w:tcBorders>
              <w:top w:val="nil"/>
              <w:left w:val="nil"/>
              <w:bottom w:val="single" w:sz="4" w:space="0" w:color="auto"/>
              <w:right w:val="single" w:sz="4" w:space="0" w:color="auto"/>
            </w:tcBorders>
            <w:noWrap/>
            <w:vAlign w:val="center"/>
            <w:hideMark/>
          </w:tcPr>
          <w:p w14:paraId="0474746F" w14:textId="77777777" w:rsidR="00137E0A" w:rsidRPr="00256992" w:rsidRDefault="00137E0A" w:rsidP="00642C60">
            <w:pPr>
              <w:jc w:val="center"/>
              <w:rPr>
                <w:szCs w:val="22"/>
                <w:lang w:val="es-AR"/>
              </w:rPr>
            </w:pPr>
            <w:r w:rsidRPr="00256992">
              <w:rPr>
                <w:szCs w:val="22"/>
                <w:lang w:val="es-AR"/>
              </w:rPr>
              <w:t>13</w:t>
            </w:r>
          </w:p>
        </w:tc>
        <w:tc>
          <w:tcPr>
            <w:tcW w:w="1153" w:type="dxa"/>
            <w:tcBorders>
              <w:top w:val="nil"/>
              <w:left w:val="nil"/>
              <w:bottom w:val="single" w:sz="4" w:space="0" w:color="auto"/>
              <w:right w:val="single" w:sz="4" w:space="0" w:color="auto"/>
            </w:tcBorders>
            <w:shd w:val="clear" w:color="auto" w:fill="BFBFBF"/>
            <w:noWrap/>
            <w:vAlign w:val="center"/>
            <w:hideMark/>
          </w:tcPr>
          <w:p w14:paraId="02A38172" w14:textId="77777777" w:rsidR="00137E0A" w:rsidRPr="00256992" w:rsidRDefault="00137E0A" w:rsidP="00642C60">
            <w:pPr>
              <w:jc w:val="center"/>
              <w:rPr>
                <w:szCs w:val="22"/>
                <w:lang w:val="es-AR"/>
              </w:rPr>
            </w:pPr>
            <w:r w:rsidRPr="00256992">
              <w:rPr>
                <w:szCs w:val="22"/>
                <w:lang w:val="es-AR"/>
              </w:rPr>
              <w:t>3</w:t>
            </w:r>
          </w:p>
        </w:tc>
      </w:tr>
      <w:tr w:rsidR="00137E0A" w:rsidRPr="00256992" w14:paraId="388A2202" w14:textId="77777777" w:rsidTr="00642C60">
        <w:trPr>
          <w:trHeight w:val="793"/>
        </w:trPr>
        <w:tc>
          <w:tcPr>
            <w:tcW w:w="3209" w:type="dxa"/>
            <w:tcBorders>
              <w:top w:val="nil"/>
              <w:left w:val="single" w:sz="4" w:space="0" w:color="auto"/>
              <w:bottom w:val="single" w:sz="4" w:space="0" w:color="auto"/>
              <w:right w:val="single" w:sz="4" w:space="0" w:color="auto"/>
            </w:tcBorders>
            <w:vAlign w:val="center"/>
            <w:hideMark/>
          </w:tcPr>
          <w:p w14:paraId="6A1CB8AE" w14:textId="77777777" w:rsidR="00137E0A" w:rsidRPr="00256992" w:rsidRDefault="00137E0A" w:rsidP="00642C60">
            <w:pPr>
              <w:rPr>
                <w:color w:val="000000"/>
                <w:szCs w:val="22"/>
                <w:lang w:val="en-US"/>
              </w:rPr>
            </w:pPr>
            <w:r w:rsidRPr="00256992">
              <w:rPr>
                <w:color w:val="000000"/>
                <w:szCs w:val="22"/>
                <w:lang w:val="en-US"/>
              </w:rPr>
              <w:t>Last Degree Expedition</w:t>
            </w:r>
          </w:p>
        </w:tc>
        <w:tc>
          <w:tcPr>
            <w:tcW w:w="1007" w:type="dxa"/>
            <w:tcBorders>
              <w:top w:val="nil"/>
              <w:left w:val="nil"/>
              <w:bottom w:val="single" w:sz="4" w:space="0" w:color="auto"/>
              <w:right w:val="single" w:sz="4" w:space="0" w:color="auto"/>
            </w:tcBorders>
            <w:shd w:val="clear" w:color="auto" w:fill="BFBFBF"/>
            <w:noWrap/>
            <w:vAlign w:val="center"/>
            <w:hideMark/>
          </w:tcPr>
          <w:p w14:paraId="6AE5D049" w14:textId="77777777" w:rsidR="00137E0A" w:rsidRPr="00256992" w:rsidRDefault="00137E0A" w:rsidP="00642C60">
            <w:pPr>
              <w:jc w:val="center"/>
              <w:rPr>
                <w:szCs w:val="22"/>
                <w:lang w:val="es-AR"/>
              </w:rPr>
            </w:pPr>
            <w:r w:rsidRPr="00256992">
              <w:rPr>
                <w:szCs w:val="22"/>
                <w:lang w:val="es-AR"/>
              </w:rPr>
              <w:t>44</w:t>
            </w:r>
          </w:p>
        </w:tc>
        <w:tc>
          <w:tcPr>
            <w:tcW w:w="1007" w:type="dxa"/>
            <w:tcBorders>
              <w:top w:val="nil"/>
              <w:left w:val="nil"/>
              <w:bottom w:val="single" w:sz="4" w:space="0" w:color="auto"/>
              <w:right w:val="single" w:sz="4" w:space="0" w:color="auto"/>
            </w:tcBorders>
            <w:noWrap/>
            <w:vAlign w:val="center"/>
            <w:hideMark/>
          </w:tcPr>
          <w:p w14:paraId="0D748200" w14:textId="77777777" w:rsidR="00137E0A" w:rsidRPr="00256992" w:rsidRDefault="00137E0A" w:rsidP="00642C60">
            <w:pPr>
              <w:jc w:val="center"/>
              <w:rPr>
                <w:szCs w:val="22"/>
                <w:lang w:val="es-AR"/>
              </w:rPr>
            </w:pPr>
            <w:r w:rsidRPr="00256992">
              <w:rPr>
                <w:szCs w:val="22"/>
                <w:lang w:val="es-AR"/>
              </w:rPr>
              <w:t>43</w:t>
            </w:r>
          </w:p>
        </w:tc>
        <w:tc>
          <w:tcPr>
            <w:tcW w:w="1007" w:type="dxa"/>
            <w:tcBorders>
              <w:top w:val="nil"/>
              <w:left w:val="nil"/>
              <w:bottom w:val="single" w:sz="4" w:space="0" w:color="auto"/>
              <w:right w:val="single" w:sz="4" w:space="0" w:color="auto"/>
            </w:tcBorders>
            <w:shd w:val="clear" w:color="auto" w:fill="BFBFBF"/>
            <w:noWrap/>
            <w:vAlign w:val="center"/>
            <w:hideMark/>
          </w:tcPr>
          <w:p w14:paraId="49ABE8AE" w14:textId="77777777" w:rsidR="00137E0A" w:rsidRPr="00256992" w:rsidRDefault="00137E0A" w:rsidP="00642C60">
            <w:pPr>
              <w:jc w:val="center"/>
              <w:rPr>
                <w:szCs w:val="22"/>
                <w:lang w:val="es-AR"/>
              </w:rPr>
            </w:pPr>
            <w:r w:rsidRPr="00256992">
              <w:rPr>
                <w:szCs w:val="22"/>
                <w:lang w:val="es-AR"/>
              </w:rPr>
              <w:t>59</w:t>
            </w:r>
          </w:p>
        </w:tc>
        <w:tc>
          <w:tcPr>
            <w:tcW w:w="1007" w:type="dxa"/>
            <w:tcBorders>
              <w:top w:val="nil"/>
              <w:left w:val="nil"/>
              <w:bottom w:val="single" w:sz="4" w:space="0" w:color="auto"/>
              <w:right w:val="single" w:sz="4" w:space="0" w:color="auto"/>
            </w:tcBorders>
            <w:noWrap/>
            <w:vAlign w:val="center"/>
            <w:hideMark/>
          </w:tcPr>
          <w:p w14:paraId="630A3B44" w14:textId="77777777" w:rsidR="00137E0A" w:rsidRPr="00256992" w:rsidRDefault="00137E0A" w:rsidP="00642C60">
            <w:pPr>
              <w:jc w:val="center"/>
              <w:rPr>
                <w:szCs w:val="22"/>
                <w:lang w:val="es-AR"/>
              </w:rPr>
            </w:pPr>
            <w:r w:rsidRPr="00256992">
              <w:rPr>
                <w:szCs w:val="22"/>
                <w:lang w:val="es-AR"/>
              </w:rPr>
              <w:t>33</w:t>
            </w:r>
          </w:p>
        </w:tc>
        <w:tc>
          <w:tcPr>
            <w:tcW w:w="1153" w:type="dxa"/>
            <w:tcBorders>
              <w:top w:val="nil"/>
              <w:left w:val="nil"/>
              <w:bottom w:val="single" w:sz="4" w:space="0" w:color="auto"/>
              <w:right w:val="single" w:sz="4" w:space="0" w:color="auto"/>
            </w:tcBorders>
            <w:shd w:val="clear" w:color="auto" w:fill="BFBFBF"/>
            <w:noWrap/>
            <w:vAlign w:val="center"/>
            <w:hideMark/>
          </w:tcPr>
          <w:p w14:paraId="1A909AAA" w14:textId="77777777" w:rsidR="00137E0A" w:rsidRPr="00256992" w:rsidRDefault="00137E0A" w:rsidP="00642C60">
            <w:pPr>
              <w:jc w:val="center"/>
              <w:rPr>
                <w:szCs w:val="22"/>
                <w:lang w:val="es-AR"/>
              </w:rPr>
            </w:pPr>
            <w:r w:rsidRPr="00256992">
              <w:rPr>
                <w:szCs w:val="22"/>
                <w:lang w:val="es-AR"/>
              </w:rPr>
              <w:t>60</w:t>
            </w:r>
          </w:p>
        </w:tc>
      </w:tr>
      <w:tr w:rsidR="00137E0A" w:rsidRPr="00256992" w14:paraId="302F1F5B" w14:textId="77777777" w:rsidTr="00642C60">
        <w:trPr>
          <w:trHeight w:val="793"/>
        </w:trPr>
        <w:tc>
          <w:tcPr>
            <w:tcW w:w="3209" w:type="dxa"/>
            <w:tcBorders>
              <w:top w:val="nil"/>
              <w:left w:val="single" w:sz="4" w:space="0" w:color="auto"/>
              <w:bottom w:val="single" w:sz="4" w:space="0" w:color="auto"/>
              <w:right w:val="single" w:sz="4" w:space="0" w:color="auto"/>
            </w:tcBorders>
            <w:vAlign w:val="center"/>
            <w:hideMark/>
          </w:tcPr>
          <w:p w14:paraId="26476DB0" w14:textId="77777777" w:rsidR="00137E0A" w:rsidRPr="00256992" w:rsidRDefault="00137E0A" w:rsidP="00642C60">
            <w:pPr>
              <w:rPr>
                <w:color w:val="000000"/>
                <w:szCs w:val="22"/>
                <w:lang w:val="en-US"/>
              </w:rPr>
            </w:pPr>
            <w:r w:rsidRPr="00256992">
              <w:rPr>
                <w:color w:val="000000"/>
                <w:szCs w:val="22"/>
                <w:lang w:val="en-US"/>
              </w:rPr>
              <w:t>Antarctic Crossing (ski, kite-ski &amp; motorised)</w:t>
            </w:r>
          </w:p>
        </w:tc>
        <w:tc>
          <w:tcPr>
            <w:tcW w:w="1007" w:type="dxa"/>
            <w:tcBorders>
              <w:top w:val="nil"/>
              <w:left w:val="nil"/>
              <w:bottom w:val="single" w:sz="4" w:space="0" w:color="auto"/>
              <w:right w:val="single" w:sz="4" w:space="0" w:color="auto"/>
            </w:tcBorders>
            <w:shd w:val="clear" w:color="auto" w:fill="BFBFBF"/>
            <w:noWrap/>
            <w:vAlign w:val="center"/>
            <w:hideMark/>
          </w:tcPr>
          <w:p w14:paraId="1D47ACF1" w14:textId="77777777" w:rsidR="00137E0A" w:rsidRPr="00256992" w:rsidRDefault="00137E0A" w:rsidP="00642C60">
            <w:pPr>
              <w:jc w:val="center"/>
              <w:rPr>
                <w:szCs w:val="22"/>
                <w:lang w:val="es-AR"/>
              </w:rPr>
            </w:pPr>
            <w:r w:rsidRPr="00256992">
              <w:rPr>
                <w:szCs w:val="22"/>
                <w:lang w:val="es-AR"/>
              </w:rPr>
              <w:t>7</w:t>
            </w:r>
          </w:p>
        </w:tc>
        <w:tc>
          <w:tcPr>
            <w:tcW w:w="1007" w:type="dxa"/>
            <w:tcBorders>
              <w:top w:val="nil"/>
              <w:left w:val="nil"/>
              <w:bottom w:val="single" w:sz="4" w:space="0" w:color="auto"/>
              <w:right w:val="single" w:sz="4" w:space="0" w:color="auto"/>
            </w:tcBorders>
            <w:noWrap/>
            <w:vAlign w:val="center"/>
            <w:hideMark/>
          </w:tcPr>
          <w:p w14:paraId="61C24F46" w14:textId="77777777" w:rsidR="00137E0A" w:rsidRPr="00256992" w:rsidRDefault="00137E0A" w:rsidP="00642C60">
            <w:pPr>
              <w:jc w:val="center"/>
              <w:rPr>
                <w:szCs w:val="22"/>
                <w:lang w:val="es-AR"/>
              </w:rPr>
            </w:pPr>
            <w:r w:rsidRPr="00256992">
              <w:rPr>
                <w:szCs w:val="22"/>
                <w:lang w:val="es-AR"/>
              </w:rPr>
              <w:t>0</w:t>
            </w:r>
          </w:p>
        </w:tc>
        <w:tc>
          <w:tcPr>
            <w:tcW w:w="1007" w:type="dxa"/>
            <w:tcBorders>
              <w:top w:val="nil"/>
              <w:left w:val="nil"/>
              <w:bottom w:val="single" w:sz="4" w:space="0" w:color="auto"/>
              <w:right w:val="single" w:sz="4" w:space="0" w:color="auto"/>
            </w:tcBorders>
            <w:shd w:val="clear" w:color="auto" w:fill="BFBFBF"/>
            <w:noWrap/>
            <w:vAlign w:val="center"/>
            <w:hideMark/>
          </w:tcPr>
          <w:p w14:paraId="76681355" w14:textId="77777777" w:rsidR="00137E0A" w:rsidRPr="00256992" w:rsidRDefault="00137E0A" w:rsidP="00642C60">
            <w:pPr>
              <w:jc w:val="center"/>
              <w:rPr>
                <w:szCs w:val="22"/>
                <w:lang w:val="es-AR"/>
              </w:rPr>
            </w:pPr>
            <w:r w:rsidRPr="00256992">
              <w:rPr>
                <w:szCs w:val="22"/>
                <w:lang w:val="es-AR"/>
              </w:rPr>
              <w:t>27</w:t>
            </w:r>
          </w:p>
        </w:tc>
        <w:tc>
          <w:tcPr>
            <w:tcW w:w="1007" w:type="dxa"/>
            <w:tcBorders>
              <w:top w:val="nil"/>
              <w:left w:val="nil"/>
              <w:bottom w:val="single" w:sz="4" w:space="0" w:color="auto"/>
              <w:right w:val="single" w:sz="4" w:space="0" w:color="auto"/>
            </w:tcBorders>
            <w:noWrap/>
            <w:vAlign w:val="center"/>
            <w:hideMark/>
          </w:tcPr>
          <w:p w14:paraId="11BA9B18" w14:textId="77777777" w:rsidR="00137E0A" w:rsidRPr="00256992" w:rsidRDefault="00137E0A" w:rsidP="00642C60">
            <w:pPr>
              <w:jc w:val="center"/>
              <w:rPr>
                <w:szCs w:val="22"/>
                <w:lang w:val="es-AR"/>
              </w:rPr>
            </w:pPr>
            <w:r w:rsidRPr="00256992">
              <w:rPr>
                <w:szCs w:val="22"/>
                <w:lang w:val="es-AR"/>
              </w:rPr>
              <w:t>13</w:t>
            </w:r>
          </w:p>
        </w:tc>
        <w:tc>
          <w:tcPr>
            <w:tcW w:w="1153" w:type="dxa"/>
            <w:tcBorders>
              <w:top w:val="nil"/>
              <w:left w:val="nil"/>
              <w:bottom w:val="single" w:sz="4" w:space="0" w:color="auto"/>
              <w:right w:val="single" w:sz="4" w:space="0" w:color="auto"/>
            </w:tcBorders>
            <w:shd w:val="clear" w:color="auto" w:fill="BFBFBF"/>
            <w:noWrap/>
            <w:vAlign w:val="center"/>
            <w:hideMark/>
          </w:tcPr>
          <w:p w14:paraId="3EDC9AE5" w14:textId="77777777" w:rsidR="00137E0A" w:rsidRPr="00256992" w:rsidRDefault="00137E0A" w:rsidP="00642C60">
            <w:pPr>
              <w:jc w:val="center"/>
              <w:rPr>
                <w:szCs w:val="22"/>
                <w:lang w:val="es-AR"/>
              </w:rPr>
            </w:pPr>
            <w:r w:rsidRPr="00256992">
              <w:rPr>
                <w:szCs w:val="22"/>
                <w:lang w:val="es-AR"/>
              </w:rPr>
              <w:t>18</w:t>
            </w:r>
          </w:p>
        </w:tc>
      </w:tr>
      <w:tr w:rsidR="00137E0A" w:rsidRPr="00256992" w14:paraId="3AA8F7AE" w14:textId="77777777" w:rsidTr="00642C60">
        <w:trPr>
          <w:trHeight w:val="793"/>
        </w:trPr>
        <w:tc>
          <w:tcPr>
            <w:tcW w:w="3209" w:type="dxa"/>
            <w:tcBorders>
              <w:top w:val="nil"/>
              <w:left w:val="single" w:sz="4" w:space="0" w:color="auto"/>
              <w:bottom w:val="single" w:sz="4" w:space="0" w:color="auto"/>
              <w:right w:val="single" w:sz="4" w:space="0" w:color="auto"/>
            </w:tcBorders>
            <w:vAlign w:val="center"/>
            <w:hideMark/>
          </w:tcPr>
          <w:p w14:paraId="1AD2A992" w14:textId="77777777" w:rsidR="00137E0A" w:rsidRPr="00256992" w:rsidRDefault="00137E0A" w:rsidP="00642C60">
            <w:pPr>
              <w:rPr>
                <w:color w:val="000000"/>
                <w:szCs w:val="22"/>
                <w:lang w:val="en-US"/>
              </w:rPr>
            </w:pPr>
            <w:r w:rsidRPr="00256992">
              <w:rPr>
                <w:color w:val="000000"/>
                <w:szCs w:val="22"/>
                <w:lang w:val="en-US"/>
              </w:rPr>
              <w:t>Vinson Massif</w:t>
            </w:r>
          </w:p>
        </w:tc>
        <w:tc>
          <w:tcPr>
            <w:tcW w:w="1007" w:type="dxa"/>
            <w:tcBorders>
              <w:top w:val="nil"/>
              <w:left w:val="nil"/>
              <w:bottom w:val="single" w:sz="4" w:space="0" w:color="auto"/>
              <w:right w:val="single" w:sz="4" w:space="0" w:color="auto"/>
            </w:tcBorders>
            <w:shd w:val="clear" w:color="auto" w:fill="BFBFBF"/>
            <w:noWrap/>
            <w:vAlign w:val="center"/>
            <w:hideMark/>
          </w:tcPr>
          <w:p w14:paraId="1EC012C5" w14:textId="77777777" w:rsidR="00137E0A" w:rsidRPr="00256992" w:rsidRDefault="00137E0A" w:rsidP="00642C60">
            <w:pPr>
              <w:jc w:val="center"/>
              <w:rPr>
                <w:szCs w:val="22"/>
                <w:lang w:val="es-AR"/>
              </w:rPr>
            </w:pPr>
            <w:r w:rsidRPr="00256992">
              <w:rPr>
                <w:szCs w:val="22"/>
                <w:lang w:val="es-AR"/>
              </w:rPr>
              <w:t>145</w:t>
            </w:r>
          </w:p>
        </w:tc>
        <w:tc>
          <w:tcPr>
            <w:tcW w:w="1007" w:type="dxa"/>
            <w:tcBorders>
              <w:top w:val="nil"/>
              <w:left w:val="nil"/>
              <w:bottom w:val="single" w:sz="4" w:space="0" w:color="auto"/>
              <w:right w:val="single" w:sz="4" w:space="0" w:color="auto"/>
            </w:tcBorders>
            <w:noWrap/>
            <w:vAlign w:val="center"/>
            <w:hideMark/>
          </w:tcPr>
          <w:p w14:paraId="499CC30B" w14:textId="77777777" w:rsidR="00137E0A" w:rsidRPr="00256992" w:rsidRDefault="00137E0A" w:rsidP="00642C60">
            <w:pPr>
              <w:jc w:val="center"/>
              <w:rPr>
                <w:szCs w:val="22"/>
                <w:lang w:val="es-AR"/>
              </w:rPr>
            </w:pPr>
            <w:r w:rsidRPr="00256992">
              <w:rPr>
                <w:szCs w:val="22"/>
                <w:lang w:val="es-AR"/>
              </w:rPr>
              <w:t>152</w:t>
            </w:r>
          </w:p>
        </w:tc>
        <w:tc>
          <w:tcPr>
            <w:tcW w:w="1007" w:type="dxa"/>
            <w:tcBorders>
              <w:top w:val="nil"/>
              <w:left w:val="nil"/>
              <w:bottom w:val="single" w:sz="4" w:space="0" w:color="auto"/>
              <w:right w:val="single" w:sz="4" w:space="0" w:color="auto"/>
            </w:tcBorders>
            <w:shd w:val="clear" w:color="auto" w:fill="BFBFBF"/>
            <w:noWrap/>
            <w:vAlign w:val="center"/>
            <w:hideMark/>
          </w:tcPr>
          <w:p w14:paraId="1DF34EAC" w14:textId="77777777" w:rsidR="00137E0A" w:rsidRPr="00256992" w:rsidRDefault="00137E0A" w:rsidP="00642C60">
            <w:pPr>
              <w:jc w:val="center"/>
              <w:rPr>
                <w:szCs w:val="22"/>
                <w:lang w:val="es-AR"/>
              </w:rPr>
            </w:pPr>
            <w:r w:rsidRPr="00256992">
              <w:rPr>
                <w:szCs w:val="22"/>
                <w:lang w:val="es-AR"/>
              </w:rPr>
              <w:t>153</w:t>
            </w:r>
          </w:p>
        </w:tc>
        <w:tc>
          <w:tcPr>
            <w:tcW w:w="1007" w:type="dxa"/>
            <w:tcBorders>
              <w:top w:val="nil"/>
              <w:left w:val="nil"/>
              <w:bottom w:val="single" w:sz="4" w:space="0" w:color="auto"/>
              <w:right w:val="single" w:sz="4" w:space="0" w:color="auto"/>
            </w:tcBorders>
            <w:noWrap/>
            <w:vAlign w:val="center"/>
            <w:hideMark/>
          </w:tcPr>
          <w:p w14:paraId="1A1DCF83" w14:textId="77777777" w:rsidR="00137E0A" w:rsidRPr="00256992" w:rsidRDefault="00137E0A" w:rsidP="00642C60">
            <w:pPr>
              <w:jc w:val="center"/>
              <w:rPr>
                <w:szCs w:val="22"/>
                <w:lang w:val="es-AR"/>
              </w:rPr>
            </w:pPr>
            <w:r w:rsidRPr="00256992">
              <w:rPr>
                <w:szCs w:val="22"/>
                <w:lang w:val="es-AR"/>
              </w:rPr>
              <w:t>175</w:t>
            </w:r>
          </w:p>
        </w:tc>
        <w:tc>
          <w:tcPr>
            <w:tcW w:w="1153" w:type="dxa"/>
            <w:tcBorders>
              <w:top w:val="nil"/>
              <w:left w:val="nil"/>
              <w:bottom w:val="single" w:sz="4" w:space="0" w:color="auto"/>
              <w:right w:val="single" w:sz="4" w:space="0" w:color="auto"/>
            </w:tcBorders>
            <w:shd w:val="clear" w:color="auto" w:fill="BFBFBF"/>
            <w:noWrap/>
            <w:vAlign w:val="center"/>
            <w:hideMark/>
          </w:tcPr>
          <w:p w14:paraId="04AEA2D2" w14:textId="77777777" w:rsidR="00137E0A" w:rsidRPr="00256992" w:rsidRDefault="00137E0A" w:rsidP="00642C60">
            <w:pPr>
              <w:jc w:val="center"/>
              <w:rPr>
                <w:szCs w:val="22"/>
                <w:lang w:val="es-AR"/>
              </w:rPr>
            </w:pPr>
            <w:r w:rsidRPr="00256992">
              <w:rPr>
                <w:szCs w:val="22"/>
                <w:lang w:val="es-AR"/>
              </w:rPr>
              <w:t>143</w:t>
            </w:r>
          </w:p>
        </w:tc>
      </w:tr>
      <w:tr w:rsidR="00137E0A" w:rsidRPr="00256992" w14:paraId="7FB2FC4E" w14:textId="77777777" w:rsidTr="00642C60">
        <w:trPr>
          <w:trHeight w:val="793"/>
        </w:trPr>
        <w:tc>
          <w:tcPr>
            <w:tcW w:w="3209" w:type="dxa"/>
            <w:tcBorders>
              <w:top w:val="nil"/>
              <w:left w:val="single" w:sz="4" w:space="0" w:color="auto"/>
              <w:bottom w:val="single" w:sz="4" w:space="0" w:color="auto"/>
              <w:right w:val="single" w:sz="4" w:space="0" w:color="auto"/>
            </w:tcBorders>
            <w:vAlign w:val="center"/>
            <w:hideMark/>
          </w:tcPr>
          <w:p w14:paraId="7F329A2F" w14:textId="77777777" w:rsidR="00137E0A" w:rsidRPr="00256992" w:rsidRDefault="00137E0A" w:rsidP="00642C60">
            <w:pPr>
              <w:rPr>
                <w:color w:val="000000"/>
                <w:szCs w:val="22"/>
                <w:lang w:val="en-US"/>
              </w:rPr>
            </w:pPr>
            <w:r w:rsidRPr="00256992">
              <w:rPr>
                <w:color w:val="000000"/>
                <w:szCs w:val="22"/>
                <w:lang w:val="en-US"/>
              </w:rPr>
              <w:t>Marathon</w:t>
            </w:r>
          </w:p>
        </w:tc>
        <w:tc>
          <w:tcPr>
            <w:tcW w:w="1007" w:type="dxa"/>
            <w:tcBorders>
              <w:top w:val="nil"/>
              <w:left w:val="nil"/>
              <w:bottom w:val="single" w:sz="4" w:space="0" w:color="auto"/>
              <w:right w:val="single" w:sz="4" w:space="0" w:color="auto"/>
            </w:tcBorders>
            <w:shd w:val="clear" w:color="auto" w:fill="BFBFBF"/>
            <w:noWrap/>
            <w:vAlign w:val="center"/>
            <w:hideMark/>
          </w:tcPr>
          <w:p w14:paraId="53520452" w14:textId="77777777" w:rsidR="00137E0A" w:rsidRPr="00256992" w:rsidRDefault="00137E0A" w:rsidP="00642C60">
            <w:pPr>
              <w:jc w:val="center"/>
              <w:rPr>
                <w:szCs w:val="22"/>
                <w:lang w:val="es-AR"/>
              </w:rPr>
            </w:pPr>
            <w:r w:rsidRPr="00256992">
              <w:rPr>
                <w:szCs w:val="22"/>
                <w:lang w:val="es-AR"/>
              </w:rPr>
              <w:t>124</w:t>
            </w:r>
          </w:p>
        </w:tc>
        <w:tc>
          <w:tcPr>
            <w:tcW w:w="1007" w:type="dxa"/>
            <w:tcBorders>
              <w:top w:val="nil"/>
              <w:left w:val="nil"/>
              <w:bottom w:val="single" w:sz="4" w:space="0" w:color="auto"/>
              <w:right w:val="single" w:sz="4" w:space="0" w:color="auto"/>
            </w:tcBorders>
            <w:noWrap/>
            <w:vAlign w:val="center"/>
            <w:hideMark/>
          </w:tcPr>
          <w:p w14:paraId="0C7C9263" w14:textId="77777777" w:rsidR="00137E0A" w:rsidRPr="00256992" w:rsidRDefault="00137E0A" w:rsidP="00642C60">
            <w:pPr>
              <w:jc w:val="center"/>
              <w:rPr>
                <w:szCs w:val="22"/>
                <w:lang w:val="es-AR"/>
              </w:rPr>
            </w:pPr>
            <w:r w:rsidRPr="00256992">
              <w:rPr>
                <w:szCs w:val="22"/>
                <w:lang w:val="es-AR"/>
              </w:rPr>
              <w:t>120</w:t>
            </w:r>
          </w:p>
        </w:tc>
        <w:tc>
          <w:tcPr>
            <w:tcW w:w="1007" w:type="dxa"/>
            <w:tcBorders>
              <w:top w:val="nil"/>
              <w:left w:val="nil"/>
              <w:bottom w:val="single" w:sz="4" w:space="0" w:color="auto"/>
              <w:right w:val="single" w:sz="4" w:space="0" w:color="auto"/>
            </w:tcBorders>
            <w:shd w:val="clear" w:color="auto" w:fill="BFBFBF"/>
            <w:noWrap/>
            <w:vAlign w:val="center"/>
            <w:hideMark/>
          </w:tcPr>
          <w:p w14:paraId="22089637" w14:textId="77777777" w:rsidR="00137E0A" w:rsidRPr="00256992" w:rsidRDefault="00137E0A" w:rsidP="00642C60">
            <w:pPr>
              <w:jc w:val="center"/>
              <w:rPr>
                <w:szCs w:val="22"/>
                <w:lang w:val="es-AR"/>
              </w:rPr>
            </w:pPr>
            <w:r w:rsidRPr="00256992">
              <w:rPr>
                <w:szCs w:val="22"/>
                <w:lang w:val="es-AR"/>
              </w:rPr>
              <w:t>108</w:t>
            </w:r>
          </w:p>
        </w:tc>
        <w:tc>
          <w:tcPr>
            <w:tcW w:w="1007" w:type="dxa"/>
            <w:tcBorders>
              <w:top w:val="nil"/>
              <w:left w:val="nil"/>
              <w:bottom w:val="single" w:sz="4" w:space="0" w:color="auto"/>
              <w:right w:val="single" w:sz="4" w:space="0" w:color="auto"/>
            </w:tcBorders>
            <w:noWrap/>
            <w:vAlign w:val="center"/>
            <w:hideMark/>
          </w:tcPr>
          <w:p w14:paraId="3E7782F0" w14:textId="77777777" w:rsidR="00137E0A" w:rsidRPr="00256992" w:rsidRDefault="00137E0A" w:rsidP="00642C60">
            <w:pPr>
              <w:jc w:val="center"/>
              <w:rPr>
                <w:szCs w:val="22"/>
                <w:lang w:val="es-AR"/>
              </w:rPr>
            </w:pPr>
            <w:r w:rsidRPr="00256992">
              <w:rPr>
                <w:szCs w:val="22"/>
                <w:lang w:val="es-AR"/>
              </w:rPr>
              <w:t>57</w:t>
            </w:r>
          </w:p>
        </w:tc>
        <w:tc>
          <w:tcPr>
            <w:tcW w:w="1153" w:type="dxa"/>
            <w:tcBorders>
              <w:top w:val="nil"/>
              <w:left w:val="nil"/>
              <w:bottom w:val="single" w:sz="4" w:space="0" w:color="auto"/>
              <w:right w:val="single" w:sz="4" w:space="0" w:color="auto"/>
            </w:tcBorders>
            <w:shd w:val="clear" w:color="auto" w:fill="BFBFBF"/>
            <w:noWrap/>
            <w:vAlign w:val="center"/>
            <w:hideMark/>
          </w:tcPr>
          <w:p w14:paraId="09E70B8E" w14:textId="77777777" w:rsidR="00137E0A" w:rsidRPr="00256992" w:rsidRDefault="00137E0A" w:rsidP="00642C60">
            <w:pPr>
              <w:jc w:val="center"/>
              <w:rPr>
                <w:szCs w:val="22"/>
                <w:lang w:val="es-AR"/>
              </w:rPr>
            </w:pPr>
            <w:r w:rsidRPr="00256992">
              <w:rPr>
                <w:szCs w:val="22"/>
                <w:lang w:val="es-AR"/>
              </w:rPr>
              <w:t>124</w:t>
            </w:r>
          </w:p>
        </w:tc>
      </w:tr>
      <w:tr w:rsidR="00137E0A" w:rsidRPr="00256992" w14:paraId="729FE469" w14:textId="77777777" w:rsidTr="00642C60">
        <w:trPr>
          <w:trHeight w:val="793"/>
        </w:trPr>
        <w:tc>
          <w:tcPr>
            <w:tcW w:w="3209" w:type="dxa"/>
            <w:tcBorders>
              <w:top w:val="single" w:sz="4" w:space="0" w:color="auto"/>
              <w:left w:val="single" w:sz="4" w:space="0" w:color="auto"/>
              <w:bottom w:val="single" w:sz="4" w:space="0" w:color="auto"/>
              <w:right w:val="single" w:sz="4" w:space="0" w:color="auto"/>
            </w:tcBorders>
            <w:vAlign w:val="center"/>
          </w:tcPr>
          <w:p w14:paraId="1086459C" w14:textId="77777777" w:rsidR="00137E0A" w:rsidRPr="00256992" w:rsidRDefault="00137E0A" w:rsidP="00642C60">
            <w:pPr>
              <w:rPr>
                <w:color w:val="000000"/>
                <w:szCs w:val="22"/>
                <w:lang w:val="en-US"/>
              </w:rPr>
            </w:pPr>
            <w:r w:rsidRPr="00256992">
              <w:rPr>
                <w:color w:val="000000"/>
                <w:szCs w:val="22"/>
                <w:lang w:val="en-US"/>
              </w:rPr>
              <w:t>Day Trips King George Island</w:t>
            </w:r>
          </w:p>
        </w:tc>
        <w:tc>
          <w:tcPr>
            <w:tcW w:w="1007" w:type="dxa"/>
            <w:tcBorders>
              <w:top w:val="single" w:sz="4" w:space="0" w:color="auto"/>
              <w:left w:val="nil"/>
              <w:bottom w:val="single" w:sz="4" w:space="0" w:color="auto"/>
              <w:right w:val="single" w:sz="4" w:space="0" w:color="auto"/>
            </w:tcBorders>
            <w:shd w:val="clear" w:color="auto" w:fill="BFBFBF"/>
            <w:noWrap/>
            <w:vAlign w:val="center"/>
          </w:tcPr>
          <w:p w14:paraId="0A291C29" w14:textId="77777777" w:rsidR="00137E0A" w:rsidRPr="00256992" w:rsidRDefault="00137E0A" w:rsidP="00642C60">
            <w:pPr>
              <w:jc w:val="center"/>
              <w:rPr>
                <w:szCs w:val="22"/>
              </w:rPr>
            </w:pPr>
            <w:r w:rsidRPr="00256992">
              <w:rPr>
                <w:szCs w:val="22"/>
              </w:rPr>
              <w:t>-</w:t>
            </w:r>
          </w:p>
        </w:tc>
        <w:tc>
          <w:tcPr>
            <w:tcW w:w="1007" w:type="dxa"/>
            <w:tcBorders>
              <w:top w:val="single" w:sz="4" w:space="0" w:color="auto"/>
              <w:left w:val="nil"/>
              <w:bottom w:val="single" w:sz="4" w:space="0" w:color="auto"/>
              <w:right w:val="single" w:sz="4" w:space="0" w:color="auto"/>
            </w:tcBorders>
            <w:noWrap/>
            <w:vAlign w:val="center"/>
          </w:tcPr>
          <w:p w14:paraId="662A03FE" w14:textId="77777777" w:rsidR="00137E0A" w:rsidRPr="00256992" w:rsidRDefault="00137E0A" w:rsidP="00642C60">
            <w:pPr>
              <w:jc w:val="center"/>
              <w:rPr>
                <w:szCs w:val="22"/>
              </w:rPr>
            </w:pPr>
            <w:r w:rsidRPr="00256992">
              <w:rPr>
                <w:szCs w:val="22"/>
                <w:lang w:val="es-AR"/>
              </w:rPr>
              <w:t>112</w:t>
            </w:r>
          </w:p>
        </w:tc>
        <w:tc>
          <w:tcPr>
            <w:tcW w:w="1007" w:type="dxa"/>
            <w:tcBorders>
              <w:top w:val="single" w:sz="4" w:space="0" w:color="auto"/>
              <w:left w:val="nil"/>
              <w:bottom w:val="single" w:sz="4" w:space="0" w:color="auto"/>
              <w:right w:val="single" w:sz="4" w:space="0" w:color="auto"/>
            </w:tcBorders>
            <w:shd w:val="clear" w:color="auto" w:fill="BFBFBF"/>
            <w:noWrap/>
            <w:vAlign w:val="center"/>
          </w:tcPr>
          <w:p w14:paraId="74E822D4" w14:textId="77777777" w:rsidR="00137E0A" w:rsidRPr="00256992" w:rsidRDefault="00137E0A" w:rsidP="00642C60">
            <w:pPr>
              <w:jc w:val="center"/>
              <w:rPr>
                <w:szCs w:val="22"/>
              </w:rPr>
            </w:pPr>
            <w:r w:rsidRPr="00256992">
              <w:rPr>
                <w:szCs w:val="22"/>
                <w:lang w:val="es-AR"/>
              </w:rPr>
              <w:t>123</w:t>
            </w:r>
          </w:p>
        </w:tc>
        <w:tc>
          <w:tcPr>
            <w:tcW w:w="1007" w:type="dxa"/>
            <w:tcBorders>
              <w:top w:val="single" w:sz="4" w:space="0" w:color="auto"/>
              <w:left w:val="nil"/>
              <w:bottom w:val="single" w:sz="4" w:space="0" w:color="auto"/>
              <w:right w:val="single" w:sz="4" w:space="0" w:color="auto"/>
            </w:tcBorders>
            <w:noWrap/>
            <w:vAlign w:val="center"/>
          </w:tcPr>
          <w:p w14:paraId="088D0D04" w14:textId="77777777" w:rsidR="00137E0A" w:rsidRPr="00256992" w:rsidRDefault="00137E0A" w:rsidP="00642C60">
            <w:pPr>
              <w:jc w:val="center"/>
              <w:rPr>
                <w:szCs w:val="22"/>
                <w:lang w:val="es-AR"/>
              </w:rPr>
            </w:pPr>
            <w:r w:rsidRPr="00256992">
              <w:rPr>
                <w:szCs w:val="22"/>
                <w:lang w:val="es-AR"/>
              </w:rPr>
              <w:t>6</w:t>
            </w:r>
          </w:p>
        </w:tc>
        <w:tc>
          <w:tcPr>
            <w:tcW w:w="1153" w:type="dxa"/>
            <w:tcBorders>
              <w:top w:val="single" w:sz="4" w:space="0" w:color="auto"/>
              <w:left w:val="nil"/>
              <w:bottom w:val="single" w:sz="4" w:space="0" w:color="auto"/>
              <w:right w:val="single" w:sz="4" w:space="0" w:color="auto"/>
            </w:tcBorders>
            <w:shd w:val="clear" w:color="auto" w:fill="BFBFBF"/>
            <w:noWrap/>
            <w:vAlign w:val="center"/>
          </w:tcPr>
          <w:p w14:paraId="2638F872" w14:textId="77777777" w:rsidR="00137E0A" w:rsidRPr="00256992" w:rsidRDefault="00137E0A" w:rsidP="00642C60">
            <w:pPr>
              <w:jc w:val="center"/>
              <w:rPr>
                <w:szCs w:val="22"/>
                <w:lang w:val="es-AR"/>
              </w:rPr>
            </w:pPr>
            <w:r w:rsidRPr="00256992">
              <w:rPr>
                <w:szCs w:val="22"/>
                <w:lang w:val="es-AR"/>
              </w:rPr>
              <w:t>68</w:t>
            </w:r>
          </w:p>
        </w:tc>
      </w:tr>
    </w:tbl>
    <w:p w14:paraId="7B0A766B" w14:textId="77777777" w:rsidR="00137E0A" w:rsidRPr="00256992" w:rsidRDefault="00137E0A" w:rsidP="00137E0A">
      <w:pPr>
        <w:pStyle w:val="ATSNormal"/>
        <w:rPr>
          <w:lang w:val="en-US"/>
        </w:rPr>
      </w:pPr>
    </w:p>
    <w:p w14:paraId="5B6DE4D3" w14:textId="77777777" w:rsidR="00137E0A" w:rsidRPr="00256992" w:rsidRDefault="00137E0A" w:rsidP="00137E0A">
      <w:pPr>
        <w:pStyle w:val="ATSHeading2"/>
        <w:spacing w:before="240"/>
        <w:ind w:right="232"/>
        <w:outlineLvl w:val="0"/>
        <w:rPr>
          <w:rFonts w:ascii="Times New Roman" w:hAnsi="Times New Roman"/>
          <w:lang w:val="en-US"/>
        </w:rPr>
      </w:pPr>
      <w:r w:rsidRPr="00256992">
        <w:rPr>
          <w:rFonts w:ascii="Times New Roman" w:hAnsi="Times New Roman"/>
          <w:lang w:val="en-US"/>
        </w:rPr>
        <w:t>3.0 Preliminary Estimate of Planned Activities for the 2023-24 Season</w:t>
      </w:r>
    </w:p>
    <w:p w14:paraId="21F05988" w14:textId="77777777" w:rsidR="00137E0A" w:rsidRPr="00256992" w:rsidRDefault="00137E0A" w:rsidP="00137E0A">
      <w:pPr>
        <w:pStyle w:val="ATSNormal"/>
        <w:ind w:right="234"/>
        <w:rPr>
          <w:lang w:val="en-US"/>
        </w:rPr>
      </w:pPr>
      <w:r w:rsidRPr="00256992">
        <w:rPr>
          <w:lang w:val="en-US"/>
        </w:rPr>
        <w:t xml:space="preserve">Preliminary estimates, found in Appendix 2, for the 2023-24 season are as of 01 May, 2023. These estimates represent the anticipated operating scenario for the 2023-24 season. </w:t>
      </w:r>
    </w:p>
    <w:p w14:paraId="1CA778F2" w14:textId="77777777" w:rsidR="00137E0A" w:rsidRPr="00256992" w:rsidRDefault="00137E0A" w:rsidP="00137E0A">
      <w:pPr>
        <w:rPr>
          <w:b/>
          <w:bCs/>
          <w:i/>
          <w:iCs/>
          <w:lang w:val="en-US"/>
        </w:rPr>
      </w:pPr>
      <w:r w:rsidRPr="00256992">
        <w:rPr>
          <w:lang w:val="en-US"/>
        </w:rPr>
        <w:br w:type="page"/>
      </w:r>
      <w:r w:rsidRPr="00256992">
        <w:rPr>
          <w:b/>
          <w:bCs/>
          <w:i/>
          <w:iCs/>
          <w:lang w:val="en-US"/>
        </w:rPr>
        <w:lastRenderedPageBreak/>
        <w:t>4.0 Tourism Statistics</w:t>
      </w:r>
    </w:p>
    <w:p w14:paraId="5FD79AC7" w14:textId="77777777" w:rsidR="00137E0A" w:rsidRPr="00256992" w:rsidRDefault="00137E0A" w:rsidP="00137E0A">
      <w:pPr>
        <w:pStyle w:val="ATSBullet1"/>
        <w:numPr>
          <w:ilvl w:val="0"/>
          <w:numId w:val="0"/>
        </w:numPr>
        <w:tabs>
          <w:tab w:val="left" w:pos="720"/>
        </w:tabs>
      </w:pPr>
      <w:r w:rsidRPr="00256992">
        <w:t>In order to assist further with providing data on IAATO activities, the following data are publicly available through an access portal on the IAATO website (</w:t>
      </w:r>
      <w:hyperlink r:id="rId14" w:history="1">
        <w:r w:rsidRPr="00256992">
          <w:rPr>
            <w:rStyle w:val="Hipervnculo"/>
          </w:rPr>
          <w:t>https://iaato.org/information-resources/data-statistics/visitor-statistics/</w:t>
        </w:r>
      </w:hyperlink>
      <w:r w:rsidRPr="00256992">
        <w:t xml:space="preserve">):  </w:t>
      </w:r>
    </w:p>
    <w:p w14:paraId="6D59AD57" w14:textId="77777777" w:rsidR="00137E0A" w:rsidRPr="00256992" w:rsidRDefault="00137E0A" w:rsidP="00137E0A">
      <w:pPr>
        <w:pStyle w:val="ATSBullet1"/>
        <w:numPr>
          <w:ilvl w:val="0"/>
          <w:numId w:val="11"/>
        </w:numPr>
      </w:pPr>
      <w:r w:rsidRPr="00256992">
        <w:t>Tourists by Nationality (Landed)</w:t>
      </w:r>
    </w:p>
    <w:p w14:paraId="245BD5C6" w14:textId="77777777" w:rsidR="00137E0A" w:rsidRPr="00256992" w:rsidRDefault="00137E0A" w:rsidP="00137E0A">
      <w:pPr>
        <w:pStyle w:val="ATSBullet1"/>
        <w:numPr>
          <w:ilvl w:val="0"/>
          <w:numId w:val="11"/>
        </w:numPr>
      </w:pPr>
      <w:r w:rsidRPr="00256992">
        <w:t>Tourists by Nationality (Air and Cruise)</w:t>
      </w:r>
    </w:p>
    <w:p w14:paraId="7224C772" w14:textId="77777777" w:rsidR="00137E0A" w:rsidRPr="00256992" w:rsidRDefault="00137E0A" w:rsidP="00137E0A">
      <w:pPr>
        <w:pStyle w:val="ATSBullet1"/>
        <w:numPr>
          <w:ilvl w:val="0"/>
          <w:numId w:val="11"/>
        </w:numPr>
      </w:pPr>
      <w:r w:rsidRPr="00256992">
        <w:t>Tourists by Nationality (All)</w:t>
      </w:r>
    </w:p>
    <w:p w14:paraId="08045B4D" w14:textId="77777777" w:rsidR="00137E0A" w:rsidRPr="00256992" w:rsidRDefault="00137E0A" w:rsidP="00137E0A">
      <w:pPr>
        <w:pStyle w:val="ATSBullet1"/>
        <w:numPr>
          <w:ilvl w:val="0"/>
          <w:numId w:val="11"/>
        </w:numPr>
      </w:pPr>
      <w:r w:rsidRPr="00256992">
        <w:t>Number of Vessel based Tourists per Site per Activity – Ross Sea Region</w:t>
      </w:r>
    </w:p>
    <w:p w14:paraId="2A2F4841" w14:textId="77777777" w:rsidR="00137E0A" w:rsidRPr="00256992" w:rsidRDefault="00137E0A" w:rsidP="00137E0A">
      <w:pPr>
        <w:pStyle w:val="ATSBullet1"/>
        <w:numPr>
          <w:ilvl w:val="0"/>
          <w:numId w:val="11"/>
        </w:numPr>
      </w:pPr>
      <w:r w:rsidRPr="00256992">
        <w:t>Number of Vessel based Tourists per Site per Activity – Peninsula</w:t>
      </w:r>
    </w:p>
    <w:p w14:paraId="72F3B0B0" w14:textId="77777777" w:rsidR="00137E0A" w:rsidRPr="00256992" w:rsidRDefault="00137E0A" w:rsidP="00137E0A">
      <w:pPr>
        <w:pStyle w:val="ATSBullet1"/>
        <w:numPr>
          <w:ilvl w:val="0"/>
          <w:numId w:val="11"/>
        </w:numPr>
      </w:pPr>
      <w:r w:rsidRPr="00256992">
        <w:t>Number of Vessel based Tourists per Site per Activity – All Regions</w:t>
      </w:r>
    </w:p>
    <w:p w14:paraId="09CE504B" w14:textId="77777777" w:rsidR="00137E0A" w:rsidRPr="00256992" w:rsidRDefault="00137E0A" w:rsidP="00137E0A">
      <w:pPr>
        <w:pStyle w:val="ATSBullet1"/>
        <w:numPr>
          <w:ilvl w:val="0"/>
          <w:numId w:val="0"/>
        </w:numPr>
        <w:tabs>
          <w:tab w:val="left" w:pos="720"/>
        </w:tabs>
        <w:rPr>
          <w:b/>
          <w:lang w:val="en-US"/>
        </w:rPr>
      </w:pPr>
    </w:p>
    <w:p w14:paraId="4AEB0691" w14:textId="77777777" w:rsidR="00137E0A" w:rsidRPr="00256992" w:rsidRDefault="00137E0A" w:rsidP="00137E0A">
      <w:pPr>
        <w:pStyle w:val="ATSHeading2"/>
        <w:spacing w:before="240"/>
        <w:ind w:right="232"/>
        <w:outlineLvl w:val="0"/>
        <w:rPr>
          <w:rFonts w:ascii="Times New Roman" w:hAnsi="Times New Roman"/>
          <w:lang w:val="en-US"/>
        </w:rPr>
      </w:pPr>
      <w:r w:rsidRPr="00256992">
        <w:rPr>
          <w:rFonts w:ascii="Times New Roman" w:hAnsi="Times New Roman"/>
          <w:lang w:val="en-US"/>
        </w:rPr>
        <w:t>Appendices:</w:t>
      </w:r>
    </w:p>
    <w:p w14:paraId="3567C0CB" w14:textId="77777777" w:rsidR="00137E0A" w:rsidRPr="00256992" w:rsidRDefault="00137E0A" w:rsidP="00137E0A">
      <w:pPr>
        <w:pStyle w:val="ATSBullet1"/>
        <w:numPr>
          <w:ilvl w:val="0"/>
          <w:numId w:val="11"/>
        </w:numPr>
      </w:pPr>
      <w:r w:rsidRPr="00256992">
        <w:t>Appendix 1: Overview of Deep Field and Air Antarctic Tourism 2022-23 (As of May 01, 2023)</w:t>
      </w:r>
    </w:p>
    <w:p w14:paraId="685BF699" w14:textId="77777777" w:rsidR="00137E0A" w:rsidRPr="00256992" w:rsidRDefault="00137E0A" w:rsidP="00137E0A">
      <w:pPr>
        <w:pStyle w:val="ATSBullet1"/>
        <w:numPr>
          <w:ilvl w:val="0"/>
          <w:numId w:val="11"/>
        </w:numPr>
        <w:outlineLvl w:val="0"/>
      </w:pPr>
      <w:r w:rsidRPr="00256992">
        <w:t>Appendix 2: Preliminary Estimate of Deep Field and Air Antarctic Tourism 2023-24 (As of May 01, 2023)</w:t>
      </w:r>
    </w:p>
    <w:p w14:paraId="2B103708" w14:textId="77777777" w:rsidR="00137E0A" w:rsidRPr="00256992" w:rsidRDefault="00137E0A" w:rsidP="00137E0A">
      <w:pPr>
        <w:pStyle w:val="ATSBullet1"/>
        <w:numPr>
          <w:ilvl w:val="0"/>
          <w:numId w:val="0"/>
        </w:numPr>
        <w:ind w:left="360"/>
        <w:outlineLvl w:val="0"/>
        <w:rPr>
          <w:b/>
          <w:sz w:val="26"/>
          <w:szCs w:val="26"/>
        </w:rPr>
      </w:pPr>
    </w:p>
    <w:p w14:paraId="281BF384" w14:textId="77777777" w:rsidR="00137E0A" w:rsidRPr="00256992" w:rsidRDefault="00137E0A" w:rsidP="00137E0A">
      <w:pPr>
        <w:outlineLvl w:val="0"/>
        <w:rPr>
          <w:b/>
          <w:sz w:val="26"/>
          <w:szCs w:val="26"/>
        </w:rPr>
      </w:pPr>
    </w:p>
    <w:p w14:paraId="5359DEFA" w14:textId="77777777" w:rsidR="00137E0A" w:rsidRPr="00256992" w:rsidRDefault="00137E0A" w:rsidP="00137E0A">
      <w:pPr>
        <w:outlineLvl w:val="0"/>
        <w:rPr>
          <w:b/>
          <w:sz w:val="26"/>
          <w:szCs w:val="26"/>
        </w:rPr>
      </w:pPr>
    </w:p>
    <w:p w14:paraId="39CBF65C" w14:textId="77777777" w:rsidR="00137E0A" w:rsidRPr="00256992" w:rsidRDefault="00137E0A" w:rsidP="00137E0A">
      <w:pPr>
        <w:outlineLvl w:val="0"/>
        <w:rPr>
          <w:b/>
          <w:sz w:val="26"/>
          <w:szCs w:val="26"/>
        </w:rPr>
      </w:pPr>
    </w:p>
    <w:p w14:paraId="60B70395" w14:textId="77777777" w:rsidR="00137E0A" w:rsidRPr="00256992" w:rsidRDefault="00137E0A" w:rsidP="00137E0A">
      <w:pPr>
        <w:outlineLvl w:val="0"/>
        <w:rPr>
          <w:b/>
          <w:sz w:val="26"/>
          <w:szCs w:val="26"/>
        </w:rPr>
      </w:pPr>
    </w:p>
    <w:p w14:paraId="68115500" w14:textId="77777777" w:rsidR="00137E0A" w:rsidRPr="00256992" w:rsidRDefault="00137E0A" w:rsidP="00137E0A">
      <w:pPr>
        <w:outlineLvl w:val="0"/>
        <w:rPr>
          <w:b/>
          <w:sz w:val="26"/>
          <w:szCs w:val="26"/>
        </w:rPr>
      </w:pPr>
    </w:p>
    <w:p w14:paraId="7BF6D416" w14:textId="77777777" w:rsidR="00137E0A" w:rsidRPr="00256992" w:rsidRDefault="00137E0A" w:rsidP="00137E0A">
      <w:pPr>
        <w:outlineLvl w:val="0"/>
        <w:rPr>
          <w:b/>
          <w:sz w:val="26"/>
          <w:szCs w:val="26"/>
        </w:rPr>
      </w:pPr>
    </w:p>
    <w:p w14:paraId="47335032" w14:textId="77777777" w:rsidR="00137E0A" w:rsidRPr="00256992" w:rsidRDefault="00137E0A" w:rsidP="00137E0A">
      <w:pPr>
        <w:outlineLvl w:val="0"/>
        <w:rPr>
          <w:b/>
          <w:sz w:val="26"/>
          <w:szCs w:val="26"/>
        </w:rPr>
      </w:pPr>
    </w:p>
    <w:p w14:paraId="16985FEA" w14:textId="77777777" w:rsidR="00137E0A" w:rsidRPr="00256992" w:rsidRDefault="00137E0A" w:rsidP="00137E0A">
      <w:pPr>
        <w:outlineLvl w:val="0"/>
        <w:rPr>
          <w:b/>
          <w:sz w:val="26"/>
          <w:szCs w:val="26"/>
        </w:rPr>
      </w:pPr>
    </w:p>
    <w:p w14:paraId="6EA44E00" w14:textId="77777777" w:rsidR="00137E0A" w:rsidRPr="00256992" w:rsidRDefault="00137E0A" w:rsidP="00137E0A">
      <w:pPr>
        <w:outlineLvl w:val="0"/>
        <w:rPr>
          <w:b/>
          <w:sz w:val="26"/>
          <w:szCs w:val="26"/>
        </w:rPr>
      </w:pPr>
    </w:p>
    <w:p w14:paraId="30514678" w14:textId="77777777" w:rsidR="00137E0A" w:rsidRPr="00256992" w:rsidRDefault="00137E0A" w:rsidP="00137E0A">
      <w:pPr>
        <w:outlineLvl w:val="0"/>
        <w:rPr>
          <w:b/>
          <w:sz w:val="26"/>
          <w:szCs w:val="26"/>
        </w:rPr>
      </w:pPr>
    </w:p>
    <w:p w14:paraId="390935CC" w14:textId="77777777" w:rsidR="00137E0A" w:rsidRPr="00256992" w:rsidRDefault="00137E0A" w:rsidP="00137E0A">
      <w:pPr>
        <w:outlineLvl w:val="0"/>
        <w:rPr>
          <w:b/>
          <w:sz w:val="26"/>
          <w:szCs w:val="26"/>
        </w:rPr>
      </w:pPr>
    </w:p>
    <w:p w14:paraId="3161A289" w14:textId="77777777" w:rsidR="00137E0A" w:rsidRPr="00256992" w:rsidRDefault="00137E0A" w:rsidP="00137E0A">
      <w:pPr>
        <w:outlineLvl w:val="0"/>
        <w:rPr>
          <w:b/>
          <w:sz w:val="26"/>
          <w:szCs w:val="26"/>
        </w:rPr>
      </w:pPr>
    </w:p>
    <w:p w14:paraId="09A529EE" w14:textId="77777777" w:rsidR="00137E0A" w:rsidRPr="00256992" w:rsidRDefault="00137E0A" w:rsidP="00137E0A">
      <w:pPr>
        <w:outlineLvl w:val="0"/>
        <w:rPr>
          <w:b/>
          <w:sz w:val="26"/>
          <w:szCs w:val="26"/>
        </w:rPr>
      </w:pPr>
    </w:p>
    <w:p w14:paraId="20463FDE" w14:textId="77777777" w:rsidR="00137E0A" w:rsidRPr="00256992" w:rsidRDefault="00137E0A" w:rsidP="00137E0A">
      <w:pPr>
        <w:outlineLvl w:val="0"/>
        <w:rPr>
          <w:b/>
          <w:sz w:val="26"/>
          <w:szCs w:val="26"/>
        </w:rPr>
      </w:pPr>
    </w:p>
    <w:p w14:paraId="420CE829" w14:textId="77777777" w:rsidR="00137E0A" w:rsidRPr="00256992" w:rsidRDefault="00137E0A" w:rsidP="00137E0A">
      <w:pPr>
        <w:outlineLvl w:val="0"/>
        <w:rPr>
          <w:b/>
          <w:sz w:val="26"/>
          <w:szCs w:val="26"/>
        </w:rPr>
      </w:pPr>
    </w:p>
    <w:p w14:paraId="043355CC" w14:textId="77777777" w:rsidR="00137E0A" w:rsidRPr="00256992" w:rsidRDefault="00137E0A" w:rsidP="00137E0A">
      <w:pPr>
        <w:outlineLvl w:val="0"/>
        <w:rPr>
          <w:b/>
          <w:sz w:val="26"/>
          <w:szCs w:val="26"/>
        </w:rPr>
      </w:pPr>
    </w:p>
    <w:p w14:paraId="406F31F9" w14:textId="77777777" w:rsidR="00137E0A" w:rsidRPr="00256992" w:rsidRDefault="00137E0A" w:rsidP="00137E0A">
      <w:pPr>
        <w:outlineLvl w:val="0"/>
        <w:rPr>
          <w:b/>
          <w:sz w:val="26"/>
          <w:szCs w:val="26"/>
        </w:rPr>
      </w:pPr>
    </w:p>
    <w:p w14:paraId="04DD0683" w14:textId="77777777" w:rsidR="00137E0A" w:rsidRPr="00256992" w:rsidRDefault="00137E0A" w:rsidP="00137E0A">
      <w:pPr>
        <w:outlineLvl w:val="0"/>
        <w:rPr>
          <w:b/>
          <w:sz w:val="26"/>
          <w:szCs w:val="26"/>
        </w:rPr>
      </w:pPr>
    </w:p>
    <w:p w14:paraId="2E4F7608" w14:textId="77777777" w:rsidR="00137E0A" w:rsidRPr="00256992" w:rsidRDefault="00137E0A" w:rsidP="00137E0A">
      <w:pPr>
        <w:outlineLvl w:val="0"/>
        <w:rPr>
          <w:b/>
          <w:sz w:val="26"/>
          <w:szCs w:val="26"/>
        </w:rPr>
      </w:pPr>
    </w:p>
    <w:p w14:paraId="396FCB5A" w14:textId="77777777" w:rsidR="00137E0A" w:rsidRPr="00256992" w:rsidRDefault="00137E0A" w:rsidP="00137E0A">
      <w:pPr>
        <w:outlineLvl w:val="0"/>
        <w:rPr>
          <w:b/>
          <w:sz w:val="26"/>
          <w:szCs w:val="26"/>
        </w:rPr>
      </w:pPr>
    </w:p>
    <w:p w14:paraId="10D90940" w14:textId="77777777" w:rsidR="00137E0A" w:rsidRPr="00256992" w:rsidRDefault="00137E0A" w:rsidP="00137E0A">
      <w:pPr>
        <w:outlineLvl w:val="0"/>
        <w:rPr>
          <w:b/>
          <w:sz w:val="26"/>
          <w:szCs w:val="26"/>
        </w:rPr>
      </w:pPr>
    </w:p>
    <w:p w14:paraId="71448FA6" w14:textId="16FF44DE" w:rsidR="00137E0A" w:rsidRDefault="00137E0A" w:rsidP="00137E0A">
      <w:pPr>
        <w:outlineLvl w:val="0"/>
        <w:rPr>
          <w:b/>
          <w:sz w:val="26"/>
          <w:szCs w:val="26"/>
        </w:rPr>
      </w:pPr>
      <w:r>
        <w:rPr>
          <w:b/>
          <w:sz w:val="26"/>
          <w:szCs w:val="26"/>
        </w:rPr>
        <w:br w:type="page"/>
      </w:r>
    </w:p>
    <w:p w14:paraId="52454E19" w14:textId="77777777" w:rsidR="00137E0A" w:rsidRPr="00256992" w:rsidRDefault="00137E0A" w:rsidP="00137E0A">
      <w:pPr>
        <w:outlineLvl w:val="0"/>
        <w:rPr>
          <w:b/>
        </w:rPr>
      </w:pPr>
      <w:r w:rsidRPr="00256992">
        <w:rPr>
          <w:b/>
          <w:sz w:val="26"/>
          <w:szCs w:val="26"/>
        </w:rPr>
        <w:lastRenderedPageBreak/>
        <w:t xml:space="preserve">Appendix 1: </w:t>
      </w:r>
      <w:r w:rsidRPr="00256992">
        <w:rPr>
          <w:b/>
        </w:rPr>
        <w:t>Overview of Deep Field and Air Antarctic Tourism 2022-23</w:t>
      </w:r>
    </w:p>
    <w:tbl>
      <w:tblPr>
        <w:tblW w:w="9244" w:type="dxa"/>
        <w:tblInd w:w="10" w:type="dxa"/>
        <w:tblLook w:val="04A0" w:firstRow="1" w:lastRow="0" w:firstColumn="1" w:lastColumn="0" w:noHBand="0" w:noVBand="1"/>
      </w:tblPr>
      <w:tblGrid>
        <w:gridCol w:w="3818"/>
        <w:gridCol w:w="2756"/>
        <w:gridCol w:w="2670"/>
      </w:tblGrid>
      <w:tr w:rsidR="00137E0A" w:rsidRPr="00256992" w14:paraId="62C698D3" w14:textId="77777777" w:rsidTr="00642C60">
        <w:trPr>
          <w:trHeight w:val="295"/>
        </w:trPr>
        <w:tc>
          <w:tcPr>
            <w:tcW w:w="3818" w:type="dxa"/>
            <w:tcBorders>
              <w:top w:val="nil"/>
              <w:left w:val="nil"/>
              <w:bottom w:val="nil"/>
              <w:right w:val="nil"/>
            </w:tcBorders>
            <w:shd w:val="clear" w:color="auto" w:fill="auto"/>
            <w:noWrap/>
            <w:vAlign w:val="bottom"/>
            <w:hideMark/>
          </w:tcPr>
          <w:p w14:paraId="47D1E9FA" w14:textId="77777777" w:rsidR="00137E0A" w:rsidRPr="00256992" w:rsidRDefault="00137E0A" w:rsidP="00642C60">
            <w:pPr>
              <w:jc w:val="center"/>
              <w:rPr>
                <w:color w:val="000000"/>
                <w:szCs w:val="22"/>
              </w:rPr>
            </w:pPr>
          </w:p>
        </w:tc>
        <w:tc>
          <w:tcPr>
            <w:tcW w:w="2756" w:type="dxa"/>
            <w:tcBorders>
              <w:top w:val="nil"/>
              <w:left w:val="nil"/>
              <w:bottom w:val="nil"/>
              <w:right w:val="nil"/>
            </w:tcBorders>
            <w:shd w:val="clear" w:color="auto" w:fill="auto"/>
            <w:noWrap/>
            <w:vAlign w:val="bottom"/>
            <w:hideMark/>
          </w:tcPr>
          <w:p w14:paraId="5B09EDF1" w14:textId="77777777" w:rsidR="00137E0A" w:rsidRPr="00256992" w:rsidRDefault="00137E0A" w:rsidP="00642C60">
            <w:pPr>
              <w:rPr>
                <w:sz w:val="20"/>
                <w:szCs w:val="20"/>
              </w:rPr>
            </w:pPr>
          </w:p>
        </w:tc>
        <w:tc>
          <w:tcPr>
            <w:tcW w:w="2670" w:type="dxa"/>
            <w:tcBorders>
              <w:top w:val="nil"/>
              <w:left w:val="nil"/>
              <w:bottom w:val="nil"/>
              <w:right w:val="nil"/>
            </w:tcBorders>
            <w:shd w:val="clear" w:color="auto" w:fill="auto"/>
            <w:noWrap/>
            <w:vAlign w:val="bottom"/>
            <w:hideMark/>
          </w:tcPr>
          <w:p w14:paraId="26FA1364" w14:textId="77777777" w:rsidR="00137E0A" w:rsidRPr="00256992" w:rsidRDefault="00137E0A" w:rsidP="00642C60">
            <w:pPr>
              <w:rPr>
                <w:sz w:val="20"/>
                <w:szCs w:val="20"/>
              </w:rPr>
            </w:pPr>
          </w:p>
        </w:tc>
      </w:tr>
      <w:tr w:rsidR="00137E0A" w:rsidRPr="00256992" w14:paraId="6ED905D6" w14:textId="77777777" w:rsidTr="00642C60">
        <w:trPr>
          <w:trHeight w:val="592"/>
        </w:trPr>
        <w:tc>
          <w:tcPr>
            <w:tcW w:w="3818" w:type="dxa"/>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77E1CB03" w14:textId="77777777" w:rsidR="00137E0A" w:rsidRPr="00256992" w:rsidRDefault="00137E0A" w:rsidP="00642C60">
            <w:pPr>
              <w:rPr>
                <w:b/>
                <w:bCs/>
                <w:color w:val="000000"/>
                <w:szCs w:val="22"/>
              </w:rPr>
            </w:pPr>
            <w:r w:rsidRPr="00256992">
              <w:rPr>
                <w:b/>
                <w:bCs/>
                <w:color w:val="000000"/>
                <w:szCs w:val="22"/>
              </w:rPr>
              <w:t>Operator / Charterer</w:t>
            </w:r>
          </w:p>
        </w:tc>
        <w:tc>
          <w:tcPr>
            <w:tcW w:w="2756" w:type="dxa"/>
            <w:tcBorders>
              <w:top w:val="single" w:sz="8" w:space="0" w:color="D3D3D3"/>
              <w:left w:val="nil"/>
              <w:bottom w:val="single" w:sz="8" w:space="0" w:color="D3D3D3"/>
              <w:right w:val="single" w:sz="8" w:space="0" w:color="D3D3D3"/>
            </w:tcBorders>
            <w:shd w:val="clear" w:color="000000" w:fill="EBE6E6"/>
            <w:vAlign w:val="center"/>
            <w:hideMark/>
          </w:tcPr>
          <w:p w14:paraId="2C3635AA" w14:textId="77777777" w:rsidR="00137E0A" w:rsidRPr="00256992" w:rsidRDefault="00137E0A" w:rsidP="00642C60">
            <w:pPr>
              <w:rPr>
                <w:b/>
                <w:bCs/>
                <w:color w:val="000000"/>
                <w:szCs w:val="22"/>
              </w:rPr>
            </w:pPr>
            <w:r w:rsidRPr="00256992">
              <w:rPr>
                <w:b/>
                <w:bCs/>
                <w:color w:val="000000"/>
                <w:szCs w:val="22"/>
              </w:rPr>
              <w:t>Competent Authority</w:t>
            </w:r>
          </w:p>
        </w:tc>
        <w:tc>
          <w:tcPr>
            <w:tcW w:w="2670" w:type="dxa"/>
            <w:tcBorders>
              <w:top w:val="single" w:sz="8" w:space="0" w:color="D3D3D3"/>
              <w:left w:val="nil"/>
              <w:bottom w:val="single" w:sz="8" w:space="0" w:color="D3D3D3"/>
              <w:right w:val="single" w:sz="8" w:space="0" w:color="D3D3D3"/>
            </w:tcBorders>
            <w:shd w:val="clear" w:color="000000" w:fill="EBE6E6"/>
            <w:vAlign w:val="center"/>
            <w:hideMark/>
          </w:tcPr>
          <w:p w14:paraId="36B59319" w14:textId="77777777" w:rsidR="00137E0A" w:rsidRPr="00256992" w:rsidRDefault="00137E0A" w:rsidP="00642C60">
            <w:pPr>
              <w:rPr>
                <w:b/>
                <w:bCs/>
                <w:color w:val="000000"/>
                <w:szCs w:val="22"/>
              </w:rPr>
            </w:pPr>
            <w:r w:rsidRPr="00256992">
              <w:rPr>
                <w:b/>
                <w:bCs/>
                <w:color w:val="000000"/>
                <w:szCs w:val="22"/>
              </w:rPr>
              <w:t>Total # of clients</w:t>
            </w:r>
          </w:p>
        </w:tc>
      </w:tr>
      <w:tr w:rsidR="00137E0A" w:rsidRPr="00256992" w14:paraId="7BDE1268" w14:textId="77777777" w:rsidTr="00642C60">
        <w:trPr>
          <w:trHeight w:val="611"/>
        </w:trPr>
        <w:tc>
          <w:tcPr>
            <w:tcW w:w="3818" w:type="dxa"/>
            <w:tcBorders>
              <w:top w:val="nil"/>
              <w:left w:val="single" w:sz="8" w:space="0" w:color="D3D3D3"/>
              <w:bottom w:val="single" w:sz="8" w:space="0" w:color="D3D3D3"/>
              <w:right w:val="single" w:sz="8" w:space="0" w:color="D3D3D3"/>
            </w:tcBorders>
            <w:shd w:val="clear" w:color="auto" w:fill="auto"/>
            <w:vAlign w:val="center"/>
            <w:hideMark/>
          </w:tcPr>
          <w:p w14:paraId="16C1E831" w14:textId="77777777" w:rsidR="00137E0A" w:rsidRPr="00256992" w:rsidRDefault="00137E0A" w:rsidP="00642C60">
            <w:pPr>
              <w:rPr>
                <w:color w:val="000000"/>
                <w:szCs w:val="22"/>
              </w:rPr>
            </w:pPr>
            <w:r w:rsidRPr="00256992">
              <w:rPr>
                <w:color w:val="000000"/>
                <w:szCs w:val="22"/>
              </w:rPr>
              <w:t>Antarctic Logistics and Expeditions</w:t>
            </w:r>
          </w:p>
        </w:tc>
        <w:tc>
          <w:tcPr>
            <w:tcW w:w="2756" w:type="dxa"/>
            <w:tcBorders>
              <w:top w:val="nil"/>
              <w:left w:val="nil"/>
              <w:bottom w:val="single" w:sz="8" w:space="0" w:color="D3D3D3"/>
              <w:right w:val="single" w:sz="8" w:space="0" w:color="D3D3D3"/>
            </w:tcBorders>
            <w:shd w:val="clear" w:color="auto" w:fill="auto"/>
            <w:vAlign w:val="center"/>
            <w:hideMark/>
          </w:tcPr>
          <w:p w14:paraId="27F5669C" w14:textId="77777777" w:rsidR="00137E0A" w:rsidRPr="00256992" w:rsidRDefault="00137E0A" w:rsidP="00642C60">
            <w:pPr>
              <w:jc w:val="center"/>
              <w:rPr>
                <w:color w:val="000000"/>
                <w:szCs w:val="22"/>
              </w:rPr>
            </w:pPr>
            <w:r w:rsidRPr="00256992">
              <w:rPr>
                <w:color w:val="000000"/>
                <w:szCs w:val="22"/>
              </w:rPr>
              <w:t>United States of America</w:t>
            </w:r>
          </w:p>
        </w:tc>
        <w:tc>
          <w:tcPr>
            <w:tcW w:w="2670" w:type="dxa"/>
            <w:tcBorders>
              <w:top w:val="nil"/>
              <w:left w:val="nil"/>
              <w:bottom w:val="single" w:sz="8" w:space="0" w:color="D3D3D3"/>
              <w:right w:val="single" w:sz="8" w:space="0" w:color="D3D3D3"/>
            </w:tcBorders>
            <w:shd w:val="clear" w:color="auto" w:fill="auto"/>
            <w:vAlign w:val="center"/>
            <w:hideMark/>
          </w:tcPr>
          <w:p w14:paraId="0C6E3B1A" w14:textId="77777777" w:rsidR="00137E0A" w:rsidRPr="00256992" w:rsidRDefault="00137E0A" w:rsidP="00642C60">
            <w:pPr>
              <w:jc w:val="right"/>
              <w:rPr>
                <w:color w:val="000000"/>
                <w:szCs w:val="22"/>
              </w:rPr>
            </w:pPr>
            <w:r w:rsidRPr="00256992">
              <w:rPr>
                <w:color w:val="000000"/>
                <w:szCs w:val="22"/>
              </w:rPr>
              <w:t>430</w:t>
            </w:r>
          </w:p>
        </w:tc>
      </w:tr>
      <w:tr w:rsidR="00137E0A" w:rsidRPr="00256992" w14:paraId="25CB55D0" w14:textId="77777777" w:rsidTr="00642C60">
        <w:trPr>
          <w:trHeight w:val="611"/>
        </w:trPr>
        <w:tc>
          <w:tcPr>
            <w:tcW w:w="3818" w:type="dxa"/>
            <w:tcBorders>
              <w:top w:val="nil"/>
              <w:left w:val="single" w:sz="8" w:space="0" w:color="D3D3D3"/>
              <w:bottom w:val="single" w:sz="8" w:space="0" w:color="D3D3D3"/>
              <w:right w:val="single" w:sz="8" w:space="0" w:color="D3D3D3"/>
            </w:tcBorders>
            <w:shd w:val="clear" w:color="auto" w:fill="auto"/>
            <w:vAlign w:val="center"/>
            <w:hideMark/>
          </w:tcPr>
          <w:p w14:paraId="1175284E" w14:textId="77777777" w:rsidR="00137E0A" w:rsidRPr="00256992" w:rsidRDefault="00137E0A" w:rsidP="00642C60">
            <w:pPr>
              <w:rPr>
                <w:color w:val="000000"/>
                <w:szCs w:val="22"/>
              </w:rPr>
            </w:pPr>
            <w:r w:rsidRPr="00256992">
              <w:rPr>
                <w:color w:val="000000"/>
                <w:szCs w:val="22"/>
              </w:rPr>
              <w:t>Arctic Trucks</w:t>
            </w:r>
          </w:p>
        </w:tc>
        <w:tc>
          <w:tcPr>
            <w:tcW w:w="2756" w:type="dxa"/>
            <w:tcBorders>
              <w:top w:val="nil"/>
              <w:left w:val="nil"/>
              <w:bottom w:val="single" w:sz="8" w:space="0" w:color="D3D3D3"/>
              <w:right w:val="single" w:sz="8" w:space="0" w:color="D3D3D3"/>
            </w:tcBorders>
            <w:shd w:val="clear" w:color="auto" w:fill="auto"/>
            <w:vAlign w:val="center"/>
            <w:hideMark/>
          </w:tcPr>
          <w:p w14:paraId="5697EA03" w14:textId="77777777" w:rsidR="00137E0A" w:rsidRPr="00256992" w:rsidRDefault="00137E0A" w:rsidP="00642C60">
            <w:pPr>
              <w:jc w:val="center"/>
              <w:rPr>
                <w:color w:val="000000"/>
                <w:szCs w:val="22"/>
              </w:rPr>
            </w:pPr>
            <w:r w:rsidRPr="00256992">
              <w:rPr>
                <w:color w:val="000000"/>
                <w:szCs w:val="22"/>
              </w:rPr>
              <w:t>United Kingdom</w:t>
            </w:r>
          </w:p>
        </w:tc>
        <w:tc>
          <w:tcPr>
            <w:tcW w:w="2670" w:type="dxa"/>
            <w:tcBorders>
              <w:top w:val="nil"/>
              <w:left w:val="nil"/>
              <w:bottom w:val="single" w:sz="8" w:space="0" w:color="D3D3D3"/>
              <w:right w:val="single" w:sz="8" w:space="0" w:color="D3D3D3"/>
            </w:tcBorders>
            <w:shd w:val="clear" w:color="auto" w:fill="auto"/>
            <w:vAlign w:val="center"/>
            <w:hideMark/>
          </w:tcPr>
          <w:p w14:paraId="1CF95F57" w14:textId="77777777" w:rsidR="00137E0A" w:rsidRPr="00256992" w:rsidRDefault="00137E0A" w:rsidP="00642C60">
            <w:pPr>
              <w:jc w:val="right"/>
              <w:rPr>
                <w:color w:val="000000"/>
                <w:szCs w:val="22"/>
              </w:rPr>
            </w:pPr>
            <w:r w:rsidRPr="00256992">
              <w:rPr>
                <w:color w:val="000000"/>
                <w:szCs w:val="22"/>
              </w:rPr>
              <w:t>3</w:t>
            </w:r>
          </w:p>
        </w:tc>
      </w:tr>
      <w:tr w:rsidR="00137E0A" w:rsidRPr="00256992" w14:paraId="49600BDA" w14:textId="77777777" w:rsidTr="00642C60">
        <w:trPr>
          <w:trHeight w:val="611"/>
        </w:trPr>
        <w:tc>
          <w:tcPr>
            <w:tcW w:w="3818" w:type="dxa"/>
            <w:tcBorders>
              <w:top w:val="nil"/>
              <w:left w:val="single" w:sz="8" w:space="0" w:color="D3D3D3"/>
              <w:bottom w:val="single" w:sz="8" w:space="0" w:color="D3D3D3"/>
              <w:right w:val="single" w:sz="8" w:space="0" w:color="D3D3D3"/>
            </w:tcBorders>
            <w:shd w:val="clear" w:color="auto" w:fill="auto"/>
            <w:vAlign w:val="center"/>
            <w:hideMark/>
          </w:tcPr>
          <w:p w14:paraId="04A7D1CD" w14:textId="77777777" w:rsidR="00137E0A" w:rsidRPr="00256992" w:rsidRDefault="00137E0A" w:rsidP="00642C60">
            <w:pPr>
              <w:rPr>
                <w:color w:val="000000"/>
                <w:szCs w:val="22"/>
              </w:rPr>
            </w:pPr>
            <w:r w:rsidRPr="00256992">
              <w:rPr>
                <w:color w:val="000000"/>
                <w:szCs w:val="22"/>
              </w:rPr>
              <w:t>DAP Antarctica</w:t>
            </w:r>
          </w:p>
        </w:tc>
        <w:tc>
          <w:tcPr>
            <w:tcW w:w="2756" w:type="dxa"/>
            <w:tcBorders>
              <w:top w:val="nil"/>
              <w:left w:val="nil"/>
              <w:bottom w:val="single" w:sz="8" w:space="0" w:color="D3D3D3"/>
              <w:right w:val="single" w:sz="8" w:space="0" w:color="D3D3D3"/>
            </w:tcBorders>
            <w:shd w:val="clear" w:color="auto" w:fill="auto"/>
            <w:vAlign w:val="center"/>
            <w:hideMark/>
          </w:tcPr>
          <w:p w14:paraId="352852A8" w14:textId="77777777" w:rsidR="00137E0A" w:rsidRPr="00256992" w:rsidRDefault="00137E0A" w:rsidP="00642C60">
            <w:pPr>
              <w:jc w:val="center"/>
              <w:rPr>
                <w:color w:val="000000"/>
                <w:szCs w:val="22"/>
              </w:rPr>
            </w:pPr>
            <w:r w:rsidRPr="00256992">
              <w:rPr>
                <w:color w:val="000000"/>
                <w:szCs w:val="22"/>
              </w:rPr>
              <w:t>Chile</w:t>
            </w:r>
          </w:p>
        </w:tc>
        <w:tc>
          <w:tcPr>
            <w:tcW w:w="2670" w:type="dxa"/>
            <w:tcBorders>
              <w:top w:val="nil"/>
              <w:left w:val="nil"/>
              <w:bottom w:val="single" w:sz="8" w:space="0" w:color="D3D3D3"/>
              <w:right w:val="single" w:sz="8" w:space="0" w:color="D3D3D3"/>
            </w:tcBorders>
            <w:shd w:val="clear" w:color="auto" w:fill="auto"/>
            <w:vAlign w:val="center"/>
            <w:hideMark/>
          </w:tcPr>
          <w:p w14:paraId="66F7BECF" w14:textId="77777777" w:rsidR="00137E0A" w:rsidRPr="00256992" w:rsidRDefault="00137E0A" w:rsidP="00642C60">
            <w:pPr>
              <w:jc w:val="right"/>
              <w:rPr>
                <w:color w:val="000000"/>
                <w:szCs w:val="22"/>
              </w:rPr>
            </w:pPr>
            <w:r w:rsidRPr="00256992">
              <w:rPr>
                <w:color w:val="000000"/>
                <w:szCs w:val="22"/>
              </w:rPr>
              <w:t>68</w:t>
            </w:r>
          </w:p>
        </w:tc>
      </w:tr>
      <w:tr w:rsidR="00137E0A" w:rsidRPr="00256992" w14:paraId="1C791B27" w14:textId="77777777" w:rsidTr="00642C60">
        <w:trPr>
          <w:trHeight w:val="295"/>
        </w:trPr>
        <w:tc>
          <w:tcPr>
            <w:tcW w:w="3818" w:type="dxa"/>
            <w:tcBorders>
              <w:top w:val="nil"/>
              <w:left w:val="single" w:sz="8" w:space="0" w:color="D3D3D3"/>
              <w:bottom w:val="single" w:sz="8" w:space="0" w:color="D3D3D3"/>
              <w:right w:val="single" w:sz="8" w:space="0" w:color="D3D3D3"/>
            </w:tcBorders>
            <w:shd w:val="clear" w:color="auto" w:fill="auto"/>
            <w:vAlign w:val="center"/>
            <w:hideMark/>
          </w:tcPr>
          <w:p w14:paraId="04B37F51" w14:textId="77777777" w:rsidR="00137E0A" w:rsidRPr="00256992" w:rsidRDefault="00137E0A" w:rsidP="00642C60">
            <w:pPr>
              <w:rPr>
                <w:color w:val="000000"/>
                <w:szCs w:val="22"/>
              </w:rPr>
            </w:pPr>
            <w:r w:rsidRPr="00256992">
              <w:rPr>
                <w:color w:val="000000"/>
                <w:szCs w:val="22"/>
              </w:rPr>
              <w:t>The Antarctic Company (TAC) (Pty.) Ltd.*</w:t>
            </w:r>
          </w:p>
        </w:tc>
        <w:tc>
          <w:tcPr>
            <w:tcW w:w="2756" w:type="dxa"/>
            <w:tcBorders>
              <w:top w:val="nil"/>
              <w:left w:val="nil"/>
              <w:bottom w:val="single" w:sz="8" w:space="0" w:color="D3D3D3"/>
              <w:right w:val="single" w:sz="8" w:space="0" w:color="D3D3D3"/>
            </w:tcBorders>
            <w:shd w:val="clear" w:color="auto" w:fill="auto"/>
            <w:vAlign w:val="center"/>
            <w:hideMark/>
          </w:tcPr>
          <w:p w14:paraId="75280716" w14:textId="77777777" w:rsidR="00137E0A" w:rsidRPr="00256992" w:rsidRDefault="00137E0A" w:rsidP="00642C60">
            <w:pPr>
              <w:jc w:val="center"/>
              <w:rPr>
                <w:color w:val="000000"/>
                <w:szCs w:val="22"/>
              </w:rPr>
            </w:pPr>
            <w:r w:rsidRPr="00256992">
              <w:rPr>
                <w:color w:val="000000"/>
                <w:szCs w:val="22"/>
              </w:rPr>
              <w:t>South Africa</w:t>
            </w:r>
          </w:p>
        </w:tc>
        <w:tc>
          <w:tcPr>
            <w:tcW w:w="2670" w:type="dxa"/>
            <w:tcBorders>
              <w:top w:val="nil"/>
              <w:left w:val="nil"/>
              <w:bottom w:val="single" w:sz="8" w:space="0" w:color="D3D3D3"/>
              <w:right w:val="single" w:sz="8" w:space="0" w:color="D3D3D3"/>
            </w:tcBorders>
            <w:shd w:val="clear" w:color="auto" w:fill="auto"/>
            <w:vAlign w:val="center"/>
            <w:hideMark/>
          </w:tcPr>
          <w:p w14:paraId="1BA4CDD5" w14:textId="77777777" w:rsidR="00137E0A" w:rsidRPr="00256992" w:rsidRDefault="00137E0A" w:rsidP="00642C60">
            <w:pPr>
              <w:jc w:val="right"/>
              <w:rPr>
                <w:color w:val="000000"/>
                <w:szCs w:val="22"/>
              </w:rPr>
            </w:pPr>
            <w:r w:rsidRPr="00256992">
              <w:rPr>
                <w:color w:val="000000"/>
                <w:szCs w:val="22"/>
              </w:rPr>
              <w:t>73</w:t>
            </w:r>
          </w:p>
        </w:tc>
      </w:tr>
      <w:tr w:rsidR="00137E0A" w:rsidRPr="00256992" w14:paraId="2C51C999" w14:textId="77777777" w:rsidTr="00642C60">
        <w:trPr>
          <w:trHeight w:val="611"/>
        </w:trPr>
        <w:tc>
          <w:tcPr>
            <w:tcW w:w="3818" w:type="dxa"/>
            <w:tcBorders>
              <w:top w:val="nil"/>
              <w:left w:val="single" w:sz="8" w:space="0" w:color="D3D3D3"/>
              <w:bottom w:val="single" w:sz="8" w:space="0" w:color="D3D3D3"/>
              <w:right w:val="single" w:sz="8" w:space="0" w:color="D3D3D3"/>
            </w:tcBorders>
            <w:shd w:val="clear" w:color="auto" w:fill="auto"/>
            <w:vAlign w:val="center"/>
            <w:hideMark/>
          </w:tcPr>
          <w:p w14:paraId="6D13788A" w14:textId="77777777" w:rsidR="00137E0A" w:rsidRPr="00256992" w:rsidRDefault="00137E0A" w:rsidP="00642C60">
            <w:pPr>
              <w:rPr>
                <w:color w:val="000000"/>
                <w:szCs w:val="22"/>
              </w:rPr>
            </w:pPr>
            <w:r w:rsidRPr="00256992">
              <w:rPr>
                <w:color w:val="000000"/>
                <w:szCs w:val="22"/>
              </w:rPr>
              <w:t>White Desert Ltd</w:t>
            </w:r>
          </w:p>
        </w:tc>
        <w:tc>
          <w:tcPr>
            <w:tcW w:w="2756" w:type="dxa"/>
            <w:tcBorders>
              <w:top w:val="nil"/>
              <w:left w:val="nil"/>
              <w:bottom w:val="single" w:sz="8" w:space="0" w:color="D3D3D3"/>
              <w:right w:val="single" w:sz="8" w:space="0" w:color="D3D3D3"/>
            </w:tcBorders>
            <w:shd w:val="clear" w:color="auto" w:fill="auto"/>
            <w:vAlign w:val="center"/>
            <w:hideMark/>
          </w:tcPr>
          <w:p w14:paraId="1F042A04" w14:textId="77777777" w:rsidR="00137E0A" w:rsidRPr="00256992" w:rsidRDefault="00137E0A" w:rsidP="00642C60">
            <w:pPr>
              <w:jc w:val="center"/>
              <w:rPr>
                <w:color w:val="000000"/>
                <w:szCs w:val="22"/>
              </w:rPr>
            </w:pPr>
            <w:r w:rsidRPr="00256992">
              <w:rPr>
                <w:color w:val="000000"/>
                <w:szCs w:val="22"/>
              </w:rPr>
              <w:t>United Kingdom</w:t>
            </w:r>
          </w:p>
        </w:tc>
        <w:tc>
          <w:tcPr>
            <w:tcW w:w="2670" w:type="dxa"/>
            <w:tcBorders>
              <w:top w:val="nil"/>
              <w:left w:val="nil"/>
              <w:bottom w:val="single" w:sz="8" w:space="0" w:color="D3D3D3"/>
              <w:right w:val="single" w:sz="8" w:space="0" w:color="D3D3D3"/>
            </w:tcBorders>
            <w:shd w:val="clear" w:color="auto" w:fill="auto"/>
            <w:vAlign w:val="center"/>
            <w:hideMark/>
          </w:tcPr>
          <w:p w14:paraId="7DCC93DF" w14:textId="77777777" w:rsidR="00137E0A" w:rsidRPr="00256992" w:rsidRDefault="00137E0A" w:rsidP="00642C60">
            <w:pPr>
              <w:jc w:val="right"/>
              <w:rPr>
                <w:color w:val="000000"/>
                <w:szCs w:val="22"/>
              </w:rPr>
            </w:pPr>
            <w:r w:rsidRPr="00256992">
              <w:rPr>
                <w:color w:val="000000"/>
                <w:szCs w:val="22"/>
              </w:rPr>
              <w:t>247</w:t>
            </w:r>
          </w:p>
        </w:tc>
      </w:tr>
      <w:tr w:rsidR="00137E0A" w:rsidRPr="00256992" w14:paraId="4AD44F2A" w14:textId="77777777" w:rsidTr="00642C60">
        <w:trPr>
          <w:trHeight w:val="315"/>
        </w:trPr>
        <w:tc>
          <w:tcPr>
            <w:tcW w:w="3818" w:type="dxa"/>
            <w:tcBorders>
              <w:top w:val="nil"/>
              <w:left w:val="single" w:sz="8" w:space="0" w:color="D3D3D3"/>
              <w:bottom w:val="single" w:sz="8" w:space="0" w:color="D3D3D3"/>
              <w:right w:val="single" w:sz="8" w:space="0" w:color="D3D3D3"/>
            </w:tcBorders>
            <w:shd w:val="clear" w:color="auto" w:fill="auto"/>
            <w:vAlign w:val="center"/>
            <w:hideMark/>
          </w:tcPr>
          <w:p w14:paraId="58AFC886" w14:textId="77777777" w:rsidR="00137E0A" w:rsidRPr="00256992" w:rsidRDefault="00137E0A" w:rsidP="00642C60">
            <w:pPr>
              <w:rPr>
                <w:color w:val="000000"/>
                <w:szCs w:val="22"/>
              </w:rPr>
            </w:pPr>
            <w:r w:rsidRPr="00256992">
              <w:rPr>
                <w:b/>
                <w:bCs/>
                <w:color w:val="000000"/>
                <w:szCs w:val="22"/>
              </w:rPr>
              <w:t> </w:t>
            </w:r>
          </w:p>
        </w:tc>
        <w:tc>
          <w:tcPr>
            <w:tcW w:w="2756" w:type="dxa"/>
            <w:tcBorders>
              <w:top w:val="nil"/>
              <w:left w:val="nil"/>
              <w:bottom w:val="single" w:sz="8" w:space="0" w:color="D3D3D3"/>
              <w:right w:val="single" w:sz="8" w:space="0" w:color="D3D3D3"/>
            </w:tcBorders>
            <w:shd w:val="clear" w:color="auto" w:fill="auto"/>
            <w:vAlign w:val="center"/>
            <w:hideMark/>
          </w:tcPr>
          <w:p w14:paraId="6AACA3A1" w14:textId="77777777" w:rsidR="00137E0A" w:rsidRPr="00256992" w:rsidRDefault="00137E0A" w:rsidP="00642C60">
            <w:pPr>
              <w:jc w:val="right"/>
              <w:rPr>
                <w:color w:val="000000"/>
                <w:szCs w:val="22"/>
              </w:rPr>
            </w:pPr>
            <w:r w:rsidRPr="00256992">
              <w:rPr>
                <w:b/>
                <w:bCs/>
                <w:color w:val="000000"/>
                <w:szCs w:val="22"/>
              </w:rPr>
              <w:t>Totals:</w:t>
            </w:r>
          </w:p>
        </w:tc>
        <w:tc>
          <w:tcPr>
            <w:tcW w:w="2670" w:type="dxa"/>
            <w:tcBorders>
              <w:top w:val="nil"/>
              <w:left w:val="nil"/>
              <w:bottom w:val="single" w:sz="8" w:space="0" w:color="D3D3D3"/>
              <w:right w:val="single" w:sz="8" w:space="0" w:color="D3D3D3"/>
            </w:tcBorders>
            <w:shd w:val="clear" w:color="auto" w:fill="auto"/>
            <w:vAlign w:val="center"/>
            <w:hideMark/>
          </w:tcPr>
          <w:p w14:paraId="7C0E475A" w14:textId="77777777" w:rsidR="00137E0A" w:rsidRPr="00256992" w:rsidRDefault="00137E0A" w:rsidP="00642C60">
            <w:pPr>
              <w:jc w:val="right"/>
              <w:rPr>
                <w:color w:val="000000"/>
                <w:szCs w:val="22"/>
              </w:rPr>
            </w:pPr>
            <w:r w:rsidRPr="00256992">
              <w:rPr>
                <w:b/>
                <w:bCs/>
                <w:color w:val="000000"/>
                <w:szCs w:val="22"/>
              </w:rPr>
              <w:t>821</w:t>
            </w:r>
          </w:p>
        </w:tc>
      </w:tr>
    </w:tbl>
    <w:p w14:paraId="4DEDE7AE" w14:textId="77777777" w:rsidR="00137E0A" w:rsidRPr="00256992" w:rsidRDefault="00137E0A" w:rsidP="00137E0A">
      <w:r w:rsidRPr="00256992">
        <w:t>*The Antarctic Company (TAC) is in the process of being incorporated as Ultima Expeditions. Ultima Expeditions was voted in as a Provisional Member at IAATO 2023, and will participate in the mandatory observer program during the 2023-24 season.</w:t>
      </w:r>
    </w:p>
    <w:p w14:paraId="3ADDEDDB" w14:textId="77777777" w:rsidR="00137E0A" w:rsidRPr="00256992" w:rsidRDefault="00137E0A" w:rsidP="00137E0A">
      <w:pPr>
        <w:outlineLvl w:val="0"/>
        <w:rPr>
          <w:b/>
          <w:szCs w:val="22"/>
        </w:rPr>
      </w:pPr>
    </w:p>
    <w:p w14:paraId="6EFAB6C2" w14:textId="77777777" w:rsidR="00137E0A" w:rsidRPr="00256992" w:rsidRDefault="00137E0A" w:rsidP="00137E0A">
      <w:pPr>
        <w:outlineLvl w:val="0"/>
        <w:rPr>
          <w:b/>
          <w:szCs w:val="22"/>
        </w:rPr>
      </w:pPr>
    </w:p>
    <w:p w14:paraId="23422644" w14:textId="77777777" w:rsidR="00137E0A" w:rsidRPr="00256992" w:rsidRDefault="00137E0A" w:rsidP="00137E0A">
      <w:pPr>
        <w:outlineLvl w:val="0"/>
        <w:rPr>
          <w:b/>
          <w:sz w:val="26"/>
          <w:szCs w:val="26"/>
        </w:rPr>
      </w:pPr>
      <w:r w:rsidRPr="00256992">
        <w:rPr>
          <w:b/>
          <w:sz w:val="26"/>
          <w:szCs w:val="26"/>
        </w:rPr>
        <w:t xml:space="preserve">Appendix 2: </w:t>
      </w:r>
      <w:r w:rsidRPr="00256992">
        <w:rPr>
          <w:b/>
          <w:bCs/>
        </w:rPr>
        <w:t>Preliminary Estimate of Antarctic Tourism 2023-24 (As of May 01, 2023)</w:t>
      </w:r>
    </w:p>
    <w:tbl>
      <w:tblPr>
        <w:tblW w:w="9327" w:type="dxa"/>
        <w:tblInd w:w="10" w:type="dxa"/>
        <w:tblLook w:val="04A0" w:firstRow="1" w:lastRow="0" w:firstColumn="1" w:lastColumn="0" w:noHBand="0" w:noVBand="1"/>
      </w:tblPr>
      <w:tblGrid>
        <w:gridCol w:w="3818"/>
        <w:gridCol w:w="2693"/>
        <w:gridCol w:w="2816"/>
      </w:tblGrid>
      <w:tr w:rsidR="00137E0A" w:rsidRPr="00256992" w14:paraId="2E5F1E77" w14:textId="77777777" w:rsidTr="00642C60">
        <w:trPr>
          <w:trHeight w:val="321"/>
        </w:trPr>
        <w:tc>
          <w:tcPr>
            <w:tcW w:w="3818" w:type="dxa"/>
            <w:tcBorders>
              <w:top w:val="nil"/>
              <w:left w:val="nil"/>
              <w:bottom w:val="nil"/>
              <w:right w:val="nil"/>
            </w:tcBorders>
            <w:shd w:val="clear" w:color="auto" w:fill="auto"/>
            <w:noWrap/>
            <w:vAlign w:val="bottom"/>
            <w:hideMark/>
          </w:tcPr>
          <w:p w14:paraId="3BC2C6DC" w14:textId="77777777" w:rsidR="00137E0A" w:rsidRPr="00256992" w:rsidRDefault="00137E0A" w:rsidP="00642C60">
            <w:pPr>
              <w:jc w:val="center"/>
              <w:rPr>
                <w:color w:val="000000"/>
                <w:szCs w:val="22"/>
              </w:rPr>
            </w:pPr>
          </w:p>
        </w:tc>
        <w:tc>
          <w:tcPr>
            <w:tcW w:w="2693" w:type="dxa"/>
            <w:tcBorders>
              <w:top w:val="nil"/>
              <w:left w:val="nil"/>
              <w:bottom w:val="nil"/>
              <w:right w:val="nil"/>
            </w:tcBorders>
            <w:shd w:val="clear" w:color="auto" w:fill="auto"/>
            <w:noWrap/>
            <w:vAlign w:val="bottom"/>
            <w:hideMark/>
          </w:tcPr>
          <w:p w14:paraId="3A53BCB1" w14:textId="77777777" w:rsidR="00137E0A" w:rsidRPr="00256992" w:rsidRDefault="00137E0A" w:rsidP="00642C60">
            <w:pPr>
              <w:rPr>
                <w:sz w:val="20"/>
                <w:szCs w:val="20"/>
              </w:rPr>
            </w:pPr>
          </w:p>
        </w:tc>
        <w:tc>
          <w:tcPr>
            <w:tcW w:w="2816" w:type="dxa"/>
            <w:tcBorders>
              <w:top w:val="nil"/>
              <w:left w:val="nil"/>
              <w:bottom w:val="nil"/>
              <w:right w:val="nil"/>
            </w:tcBorders>
            <w:shd w:val="clear" w:color="auto" w:fill="auto"/>
            <w:noWrap/>
            <w:vAlign w:val="bottom"/>
            <w:hideMark/>
          </w:tcPr>
          <w:p w14:paraId="397A92D1" w14:textId="77777777" w:rsidR="00137E0A" w:rsidRPr="00256992" w:rsidRDefault="00137E0A" w:rsidP="00642C60">
            <w:pPr>
              <w:rPr>
                <w:sz w:val="20"/>
                <w:szCs w:val="20"/>
              </w:rPr>
            </w:pPr>
          </w:p>
        </w:tc>
      </w:tr>
      <w:tr w:rsidR="00137E0A" w:rsidRPr="00256992" w14:paraId="37CB6BF5" w14:textId="77777777" w:rsidTr="00642C60">
        <w:trPr>
          <w:trHeight w:val="622"/>
        </w:trPr>
        <w:tc>
          <w:tcPr>
            <w:tcW w:w="3818" w:type="dxa"/>
            <w:tcBorders>
              <w:top w:val="single" w:sz="8" w:space="0" w:color="D3D3D3"/>
              <w:left w:val="single" w:sz="8" w:space="0" w:color="D3D3D3"/>
              <w:bottom w:val="single" w:sz="8" w:space="0" w:color="D3D3D3"/>
              <w:right w:val="single" w:sz="8" w:space="0" w:color="D3D3D3"/>
            </w:tcBorders>
            <w:shd w:val="clear" w:color="000000" w:fill="EBE6E6"/>
            <w:vAlign w:val="center"/>
            <w:hideMark/>
          </w:tcPr>
          <w:p w14:paraId="12207A19" w14:textId="77777777" w:rsidR="00137E0A" w:rsidRPr="00256992" w:rsidRDefault="00137E0A" w:rsidP="00642C60">
            <w:pPr>
              <w:rPr>
                <w:b/>
                <w:bCs/>
                <w:color w:val="000000"/>
                <w:szCs w:val="22"/>
              </w:rPr>
            </w:pPr>
            <w:r w:rsidRPr="00256992">
              <w:rPr>
                <w:b/>
                <w:bCs/>
                <w:color w:val="000000"/>
                <w:szCs w:val="22"/>
              </w:rPr>
              <w:t>Operator / Charterer</w:t>
            </w:r>
          </w:p>
        </w:tc>
        <w:tc>
          <w:tcPr>
            <w:tcW w:w="2693" w:type="dxa"/>
            <w:tcBorders>
              <w:top w:val="single" w:sz="8" w:space="0" w:color="D3D3D3"/>
              <w:left w:val="nil"/>
              <w:bottom w:val="single" w:sz="8" w:space="0" w:color="D3D3D3"/>
              <w:right w:val="single" w:sz="8" w:space="0" w:color="D3D3D3"/>
            </w:tcBorders>
            <w:shd w:val="clear" w:color="000000" w:fill="EBE6E6"/>
            <w:vAlign w:val="center"/>
            <w:hideMark/>
          </w:tcPr>
          <w:p w14:paraId="02F8D3C6" w14:textId="77777777" w:rsidR="00137E0A" w:rsidRPr="00256992" w:rsidRDefault="00137E0A" w:rsidP="00642C60">
            <w:pPr>
              <w:rPr>
                <w:b/>
                <w:bCs/>
                <w:color w:val="000000"/>
                <w:szCs w:val="22"/>
              </w:rPr>
            </w:pPr>
            <w:r w:rsidRPr="00256992">
              <w:rPr>
                <w:b/>
                <w:bCs/>
                <w:color w:val="000000"/>
                <w:szCs w:val="22"/>
              </w:rPr>
              <w:t>Competent Authority</w:t>
            </w:r>
          </w:p>
        </w:tc>
        <w:tc>
          <w:tcPr>
            <w:tcW w:w="2816" w:type="dxa"/>
            <w:tcBorders>
              <w:top w:val="single" w:sz="8" w:space="0" w:color="D3D3D3"/>
              <w:left w:val="nil"/>
              <w:bottom w:val="single" w:sz="8" w:space="0" w:color="D3D3D3"/>
              <w:right w:val="single" w:sz="8" w:space="0" w:color="D3D3D3"/>
            </w:tcBorders>
            <w:shd w:val="clear" w:color="000000" w:fill="EBE6E6"/>
            <w:vAlign w:val="center"/>
            <w:hideMark/>
          </w:tcPr>
          <w:p w14:paraId="1EE0F95F" w14:textId="77777777" w:rsidR="00137E0A" w:rsidRPr="00256992" w:rsidRDefault="00137E0A" w:rsidP="00642C60">
            <w:pPr>
              <w:rPr>
                <w:b/>
                <w:bCs/>
                <w:color w:val="000000"/>
                <w:szCs w:val="22"/>
              </w:rPr>
            </w:pPr>
            <w:r w:rsidRPr="00256992">
              <w:rPr>
                <w:b/>
                <w:bCs/>
                <w:color w:val="000000"/>
                <w:szCs w:val="22"/>
              </w:rPr>
              <w:t>Total # of clients</w:t>
            </w:r>
          </w:p>
        </w:tc>
      </w:tr>
      <w:tr w:rsidR="00137E0A" w:rsidRPr="00256992" w14:paraId="3615F7D1" w14:textId="77777777" w:rsidTr="00642C60">
        <w:trPr>
          <w:trHeight w:val="952"/>
        </w:trPr>
        <w:tc>
          <w:tcPr>
            <w:tcW w:w="3818" w:type="dxa"/>
            <w:tcBorders>
              <w:top w:val="nil"/>
              <w:left w:val="single" w:sz="8" w:space="0" w:color="D3D3D3"/>
              <w:bottom w:val="single" w:sz="8" w:space="0" w:color="D3D3D3"/>
              <w:right w:val="single" w:sz="8" w:space="0" w:color="D3D3D3"/>
            </w:tcBorders>
            <w:shd w:val="clear" w:color="auto" w:fill="auto"/>
            <w:vAlign w:val="center"/>
            <w:hideMark/>
          </w:tcPr>
          <w:p w14:paraId="11F97A90" w14:textId="77777777" w:rsidR="00137E0A" w:rsidRPr="00256992" w:rsidRDefault="00137E0A" w:rsidP="00642C60">
            <w:pPr>
              <w:rPr>
                <w:color w:val="000000"/>
                <w:szCs w:val="22"/>
              </w:rPr>
            </w:pPr>
            <w:r w:rsidRPr="00256992">
              <w:rPr>
                <w:color w:val="000000"/>
                <w:szCs w:val="22"/>
              </w:rPr>
              <w:t xml:space="preserve">Antarctic Logistics &amp; Expeditions </w:t>
            </w:r>
          </w:p>
        </w:tc>
        <w:tc>
          <w:tcPr>
            <w:tcW w:w="2693" w:type="dxa"/>
            <w:tcBorders>
              <w:top w:val="nil"/>
              <w:left w:val="nil"/>
              <w:bottom w:val="single" w:sz="8" w:space="0" w:color="D3D3D3"/>
              <w:right w:val="single" w:sz="8" w:space="0" w:color="D3D3D3"/>
            </w:tcBorders>
            <w:shd w:val="clear" w:color="auto" w:fill="auto"/>
            <w:vAlign w:val="center"/>
            <w:hideMark/>
          </w:tcPr>
          <w:p w14:paraId="2ADF90A6" w14:textId="77777777" w:rsidR="00137E0A" w:rsidRPr="00256992" w:rsidRDefault="00137E0A" w:rsidP="00642C60">
            <w:pPr>
              <w:jc w:val="center"/>
              <w:rPr>
                <w:color w:val="000000"/>
                <w:szCs w:val="22"/>
              </w:rPr>
            </w:pPr>
            <w:r w:rsidRPr="00256992">
              <w:rPr>
                <w:color w:val="000000"/>
                <w:szCs w:val="22"/>
              </w:rPr>
              <w:t>United States of America</w:t>
            </w:r>
          </w:p>
        </w:tc>
        <w:tc>
          <w:tcPr>
            <w:tcW w:w="2816" w:type="dxa"/>
            <w:tcBorders>
              <w:top w:val="nil"/>
              <w:left w:val="nil"/>
              <w:bottom w:val="single" w:sz="8" w:space="0" w:color="D3D3D3"/>
              <w:right w:val="single" w:sz="8" w:space="0" w:color="D3D3D3"/>
            </w:tcBorders>
            <w:shd w:val="clear" w:color="auto" w:fill="auto"/>
            <w:vAlign w:val="center"/>
            <w:hideMark/>
          </w:tcPr>
          <w:p w14:paraId="5DBCFBD5" w14:textId="77777777" w:rsidR="00137E0A" w:rsidRPr="00256992" w:rsidRDefault="00137E0A" w:rsidP="00642C60">
            <w:pPr>
              <w:jc w:val="right"/>
              <w:rPr>
                <w:color w:val="000000"/>
                <w:szCs w:val="22"/>
              </w:rPr>
            </w:pPr>
            <w:r w:rsidRPr="00256992">
              <w:rPr>
                <w:color w:val="000000"/>
                <w:szCs w:val="22"/>
              </w:rPr>
              <w:t>390</w:t>
            </w:r>
          </w:p>
        </w:tc>
      </w:tr>
      <w:tr w:rsidR="00137E0A" w:rsidRPr="00256992" w14:paraId="3EAB9A21" w14:textId="77777777" w:rsidTr="00642C60">
        <w:trPr>
          <w:trHeight w:val="683"/>
        </w:trPr>
        <w:tc>
          <w:tcPr>
            <w:tcW w:w="3818" w:type="dxa"/>
            <w:tcBorders>
              <w:top w:val="nil"/>
              <w:left w:val="single" w:sz="8" w:space="0" w:color="D3D3D3"/>
              <w:bottom w:val="single" w:sz="8" w:space="0" w:color="D3D3D3"/>
              <w:right w:val="single" w:sz="8" w:space="0" w:color="D3D3D3"/>
            </w:tcBorders>
            <w:shd w:val="clear" w:color="auto" w:fill="auto"/>
            <w:vAlign w:val="center"/>
            <w:hideMark/>
          </w:tcPr>
          <w:p w14:paraId="03D0D3D0" w14:textId="77777777" w:rsidR="00137E0A" w:rsidRPr="00256992" w:rsidRDefault="00137E0A" w:rsidP="00642C60">
            <w:pPr>
              <w:rPr>
                <w:color w:val="000000"/>
                <w:szCs w:val="22"/>
              </w:rPr>
            </w:pPr>
            <w:r w:rsidRPr="00256992">
              <w:rPr>
                <w:color w:val="000000"/>
                <w:szCs w:val="22"/>
              </w:rPr>
              <w:t>Arctic Trucks</w:t>
            </w:r>
          </w:p>
        </w:tc>
        <w:tc>
          <w:tcPr>
            <w:tcW w:w="2693" w:type="dxa"/>
            <w:tcBorders>
              <w:top w:val="nil"/>
              <w:left w:val="nil"/>
              <w:bottom w:val="single" w:sz="8" w:space="0" w:color="D3D3D3"/>
              <w:right w:val="single" w:sz="8" w:space="0" w:color="D3D3D3"/>
            </w:tcBorders>
            <w:shd w:val="clear" w:color="auto" w:fill="auto"/>
            <w:vAlign w:val="center"/>
            <w:hideMark/>
          </w:tcPr>
          <w:p w14:paraId="7D5A7F97" w14:textId="77777777" w:rsidR="00137E0A" w:rsidRPr="00256992" w:rsidRDefault="00137E0A" w:rsidP="00642C60">
            <w:pPr>
              <w:jc w:val="center"/>
              <w:rPr>
                <w:color w:val="000000"/>
                <w:szCs w:val="22"/>
              </w:rPr>
            </w:pPr>
            <w:r w:rsidRPr="00256992">
              <w:rPr>
                <w:color w:val="000000"/>
                <w:szCs w:val="22"/>
              </w:rPr>
              <w:t>United Kingdom</w:t>
            </w:r>
          </w:p>
        </w:tc>
        <w:tc>
          <w:tcPr>
            <w:tcW w:w="2816" w:type="dxa"/>
            <w:tcBorders>
              <w:top w:val="nil"/>
              <w:left w:val="nil"/>
              <w:bottom w:val="single" w:sz="8" w:space="0" w:color="D3D3D3"/>
              <w:right w:val="single" w:sz="8" w:space="0" w:color="D3D3D3"/>
            </w:tcBorders>
            <w:shd w:val="clear" w:color="auto" w:fill="auto"/>
            <w:vAlign w:val="center"/>
            <w:hideMark/>
          </w:tcPr>
          <w:p w14:paraId="13DDCA6E" w14:textId="77777777" w:rsidR="00137E0A" w:rsidRPr="00256992" w:rsidRDefault="00137E0A" w:rsidP="00642C60">
            <w:pPr>
              <w:jc w:val="right"/>
              <w:rPr>
                <w:color w:val="000000"/>
                <w:szCs w:val="22"/>
              </w:rPr>
            </w:pPr>
            <w:r w:rsidRPr="00256992">
              <w:rPr>
                <w:color w:val="000000"/>
                <w:szCs w:val="22"/>
              </w:rPr>
              <w:t>15</w:t>
            </w:r>
          </w:p>
        </w:tc>
      </w:tr>
      <w:tr w:rsidR="00137E0A" w:rsidRPr="00256992" w14:paraId="38CBB1F1" w14:textId="77777777" w:rsidTr="00642C60">
        <w:trPr>
          <w:trHeight w:val="690"/>
        </w:trPr>
        <w:tc>
          <w:tcPr>
            <w:tcW w:w="3818" w:type="dxa"/>
            <w:tcBorders>
              <w:top w:val="nil"/>
              <w:left w:val="single" w:sz="8" w:space="0" w:color="D3D3D3"/>
              <w:bottom w:val="single" w:sz="8" w:space="0" w:color="D3D3D3"/>
              <w:right w:val="single" w:sz="8" w:space="0" w:color="D3D3D3"/>
            </w:tcBorders>
            <w:shd w:val="clear" w:color="auto" w:fill="auto"/>
            <w:vAlign w:val="center"/>
            <w:hideMark/>
          </w:tcPr>
          <w:p w14:paraId="5844B85B" w14:textId="77777777" w:rsidR="00137E0A" w:rsidRPr="00256992" w:rsidRDefault="00137E0A" w:rsidP="00642C60">
            <w:pPr>
              <w:rPr>
                <w:color w:val="000000"/>
                <w:szCs w:val="22"/>
              </w:rPr>
            </w:pPr>
            <w:r w:rsidRPr="00256992">
              <w:rPr>
                <w:color w:val="000000"/>
                <w:szCs w:val="22"/>
              </w:rPr>
              <w:t>Ultima Expeditions (Previously TAC)</w:t>
            </w:r>
          </w:p>
        </w:tc>
        <w:tc>
          <w:tcPr>
            <w:tcW w:w="2693" w:type="dxa"/>
            <w:tcBorders>
              <w:top w:val="nil"/>
              <w:left w:val="nil"/>
              <w:bottom w:val="single" w:sz="8" w:space="0" w:color="D3D3D3"/>
              <w:right w:val="single" w:sz="8" w:space="0" w:color="D3D3D3"/>
            </w:tcBorders>
            <w:shd w:val="clear" w:color="auto" w:fill="auto"/>
            <w:vAlign w:val="center"/>
            <w:hideMark/>
          </w:tcPr>
          <w:p w14:paraId="5F616920" w14:textId="77777777" w:rsidR="00137E0A" w:rsidRPr="00256992" w:rsidRDefault="00137E0A" w:rsidP="00642C60">
            <w:pPr>
              <w:jc w:val="center"/>
              <w:rPr>
                <w:color w:val="000000"/>
                <w:szCs w:val="22"/>
              </w:rPr>
            </w:pPr>
            <w:r w:rsidRPr="00256992">
              <w:rPr>
                <w:color w:val="000000"/>
                <w:szCs w:val="22"/>
              </w:rPr>
              <w:t>South Africa</w:t>
            </w:r>
          </w:p>
        </w:tc>
        <w:tc>
          <w:tcPr>
            <w:tcW w:w="2816" w:type="dxa"/>
            <w:tcBorders>
              <w:top w:val="nil"/>
              <w:left w:val="nil"/>
              <w:bottom w:val="single" w:sz="8" w:space="0" w:color="D3D3D3"/>
              <w:right w:val="single" w:sz="8" w:space="0" w:color="D3D3D3"/>
            </w:tcBorders>
            <w:shd w:val="clear" w:color="auto" w:fill="auto"/>
            <w:vAlign w:val="center"/>
            <w:hideMark/>
          </w:tcPr>
          <w:p w14:paraId="370AEA4F" w14:textId="77777777" w:rsidR="00137E0A" w:rsidRPr="00256992" w:rsidRDefault="00137E0A" w:rsidP="00642C60">
            <w:pPr>
              <w:jc w:val="right"/>
              <w:rPr>
                <w:color w:val="000000"/>
                <w:szCs w:val="22"/>
              </w:rPr>
            </w:pPr>
            <w:r w:rsidRPr="00256992">
              <w:rPr>
                <w:color w:val="000000"/>
                <w:szCs w:val="22"/>
              </w:rPr>
              <w:t>82</w:t>
            </w:r>
          </w:p>
        </w:tc>
      </w:tr>
      <w:tr w:rsidR="00137E0A" w:rsidRPr="00256992" w14:paraId="44B2BC48" w14:textId="77777777" w:rsidTr="00642C60">
        <w:trPr>
          <w:trHeight w:val="622"/>
        </w:trPr>
        <w:tc>
          <w:tcPr>
            <w:tcW w:w="3818" w:type="dxa"/>
            <w:tcBorders>
              <w:top w:val="nil"/>
              <w:left w:val="single" w:sz="8" w:space="0" w:color="D3D3D3"/>
              <w:bottom w:val="single" w:sz="8" w:space="0" w:color="D3D3D3"/>
              <w:right w:val="single" w:sz="8" w:space="0" w:color="D3D3D3"/>
            </w:tcBorders>
            <w:shd w:val="clear" w:color="auto" w:fill="auto"/>
            <w:vAlign w:val="center"/>
            <w:hideMark/>
          </w:tcPr>
          <w:p w14:paraId="79762AD6" w14:textId="77777777" w:rsidR="00137E0A" w:rsidRPr="00256992" w:rsidRDefault="00137E0A" w:rsidP="00642C60">
            <w:pPr>
              <w:rPr>
                <w:color w:val="000000"/>
                <w:szCs w:val="22"/>
              </w:rPr>
            </w:pPr>
            <w:r w:rsidRPr="00256992">
              <w:rPr>
                <w:color w:val="000000"/>
                <w:szCs w:val="22"/>
              </w:rPr>
              <w:t>White Desert Ltd</w:t>
            </w:r>
          </w:p>
        </w:tc>
        <w:tc>
          <w:tcPr>
            <w:tcW w:w="2693" w:type="dxa"/>
            <w:tcBorders>
              <w:top w:val="nil"/>
              <w:left w:val="nil"/>
              <w:bottom w:val="single" w:sz="8" w:space="0" w:color="D3D3D3"/>
              <w:right w:val="single" w:sz="8" w:space="0" w:color="D3D3D3"/>
            </w:tcBorders>
            <w:shd w:val="clear" w:color="auto" w:fill="auto"/>
            <w:vAlign w:val="center"/>
            <w:hideMark/>
          </w:tcPr>
          <w:p w14:paraId="45564E1A" w14:textId="77777777" w:rsidR="00137E0A" w:rsidRPr="00256992" w:rsidRDefault="00137E0A" w:rsidP="00642C60">
            <w:pPr>
              <w:jc w:val="center"/>
              <w:rPr>
                <w:color w:val="000000"/>
                <w:szCs w:val="22"/>
              </w:rPr>
            </w:pPr>
            <w:r w:rsidRPr="00256992">
              <w:rPr>
                <w:color w:val="000000"/>
                <w:szCs w:val="22"/>
              </w:rPr>
              <w:t>United Kingdom</w:t>
            </w:r>
          </w:p>
        </w:tc>
        <w:tc>
          <w:tcPr>
            <w:tcW w:w="2816" w:type="dxa"/>
            <w:tcBorders>
              <w:top w:val="nil"/>
              <w:left w:val="nil"/>
              <w:bottom w:val="single" w:sz="8" w:space="0" w:color="D3D3D3"/>
              <w:right w:val="single" w:sz="8" w:space="0" w:color="D3D3D3"/>
            </w:tcBorders>
            <w:shd w:val="clear" w:color="auto" w:fill="auto"/>
            <w:vAlign w:val="center"/>
            <w:hideMark/>
          </w:tcPr>
          <w:p w14:paraId="1AFF06C0" w14:textId="77777777" w:rsidR="00137E0A" w:rsidRPr="00256992" w:rsidRDefault="00137E0A" w:rsidP="00642C60">
            <w:pPr>
              <w:jc w:val="right"/>
              <w:rPr>
                <w:color w:val="000000"/>
                <w:szCs w:val="22"/>
              </w:rPr>
            </w:pPr>
            <w:r w:rsidRPr="00256992">
              <w:rPr>
                <w:color w:val="000000"/>
                <w:szCs w:val="22"/>
              </w:rPr>
              <w:t>230</w:t>
            </w:r>
          </w:p>
        </w:tc>
      </w:tr>
      <w:tr w:rsidR="00137E0A" w:rsidRPr="00256992" w14:paraId="524391BD" w14:textId="77777777" w:rsidTr="00642C60">
        <w:trPr>
          <w:trHeight w:val="469"/>
        </w:trPr>
        <w:tc>
          <w:tcPr>
            <w:tcW w:w="3818" w:type="dxa"/>
            <w:tcBorders>
              <w:top w:val="nil"/>
              <w:left w:val="single" w:sz="8" w:space="0" w:color="D3D3D3"/>
              <w:bottom w:val="single" w:sz="8" w:space="0" w:color="D3D3D3"/>
              <w:right w:val="single" w:sz="8" w:space="0" w:color="D3D3D3"/>
            </w:tcBorders>
            <w:shd w:val="clear" w:color="auto" w:fill="auto"/>
            <w:vAlign w:val="center"/>
            <w:hideMark/>
          </w:tcPr>
          <w:p w14:paraId="17EDE968" w14:textId="77777777" w:rsidR="00137E0A" w:rsidRPr="00256992" w:rsidRDefault="00137E0A" w:rsidP="00642C60">
            <w:pPr>
              <w:rPr>
                <w:color w:val="000000"/>
                <w:szCs w:val="22"/>
              </w:rPr>
            </w:pPr>
            <w:r w:rsidRPr="00256992">
              <w:rPr>
                <w:color w:val="000000"/>
                <w:szCs w:val="22"/>
              </w:rPr>
              <w:t> </w:t>
            </w:r>
          </w:p>
        </w:tc>
        <w:tc>
          <w:tcPr>
            <w:tcW w:w="2693" w:type="dxa"/>
            <w:tcBorders>
              <w:top w:val="nil"/>
              <w:left w:val="nil"/>
              <w:bottom w:val="single" w:sz="8" w:space="0" w:color="D3D3D3"/>
              <w:right w:val="single" w:sz="8" w:space="0" w:color="D3D3D3"/>
            </w:tcBorders>
            <w:shd w:val="clear" w:color="auto" w:fill="auto"/>
            <w:vAlign w:val="center"/>
            <w:hideMark/>
          </w:tcPr>
          <w:p w14:paraId="1D1FE6B1" w14:textId="77777777" w:rsidR="00137E0A" w:rsidRPr="00256992" w:rsidRDefault="00137E0A" w:rsidP="00642C60">
            <w:pPr>
              <w:jc w:val="right"/>
              <w:rPr>
                <w:b/>
                <w:bCs/>
                <w:color w:val="000000"/>
                <w:szCs w:val="22"/>
              </w:rPr>
            </w:pPr>
            <w:r w:rsidRPr="00256992">
              <w:rPr>
                <w:b/>
                <w:bCs/>
                <w:color w:val="000000"/>
                <w:szCs w:val="22"/>
              </w:rPr>
              <w:t>Totals:</w:t>
            </w:r>
          </w:p>
        </w:tc>
        <w:tc>
          <w:tcPr>
            <w:tcW w:w="2816" w:type="dxa"/>
            <w:tcBorders>
              <w:top w:val="nil"/>
              <w:left w:val="nil"/>
              <w:bottom w:val="single" w:sz="8" w:space="0" w:color="D3D3D3"/>
              <w:right w:val="single" w:sz="8" w:space="0" w:color="D3D3D3"/>
            </w:tcBorders>
            <w:shd w:val="clear" w:color="auto" w:fill="auto"/>
            <w:vAlign w:val="center"/>
            <w:hideMark/>
          </w:tcPr>
          <w:p w14:paraId="6BE1D8B5" w14:textId="77777777" w:rsidR="00137E0A" w:rsidRPr="00256992" w:rsidRDefault="00137E0A" w:rsidP="00642C60">
            <w:pPr>
              <w:jc w:val="right"/>
              <w:rPr>
                <w:b/>
                <w:bCs/>
                <w:color w:val="000000"/>
                <w:szCs w:val="22"/>
              </w:rPr>
            </w:pPr>
            <w:r w:rsidRPr="00256992">
              <w:rPr>
                <w:b/>
                <w:bCs/>
                <w:color w:val="000000"/>
                <w:szCs w:val="22"/>
              </w:rPr>
              <w:t>717</w:t>
            </w:r>
          </w:p>
        </w:tc>
      </w:tr>
    </w:tbl>
    <w:p w14:paraId="053ACE6A" w14:textId="77777777" w:rsidR="00137E0A" w:rsidRPr="00256992" w:rsidRDefault="00137E0A" w:rsidP="00137E0A"/>
    <w:p w14:paraId="6CD668B2" w14:textId="77777777" w:rsidR="00137E0A" w:rsidRDefault="00137E0A" w:rsidP="00952E9F"/>
    <w:sectPr w:rsidR="00137E0A" w:rsidSect="00283F0F">
      <w:headerReference w:type="default" r:id="rId15"/>
      <w:footerReference w:type="default" r:id="rId16"/>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5B1B7" w14:textId="77777777" w:rsidR="00000000" w:rsidRDefault="00137E0A">
      <w:r>
        <w:separator/>
      </w:r>
    </w:p>
  </w:endnote>
  <w:endnote w:type="continuationSeparator" w:id="0">
    <w:p w14:paraId="1DE1A5C1" w14:textId="77777777" w:rsidR="00000000" w:rsidRDefault="00137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BCE4B" w14:textId="77777777" w:rsidR="00FA0B9F" w:rsidRDefault="00137E0A" w:rsidP="00CF5C82">
    <w:pPr>
      <w:framePr w:wrap="around" w:vAnchor="text" w:hAnchor="margin" w:xAlign="right" w:y="1"/>
    </w:pPr>
    <w:r>
      <w:fldChar w:fldCharType="begin"/>
    </w:r>
    <w:r>
      <w:instrText xml:space="preserve">PAGE  </w:instrText>
    </w:r>
    <w:r>
      <w:fldChar w:fldCharType="separate"/>
    </w:r>
    <w:r>
      <w:fldChar w:fldCharType="end"/>
    </w:r>
  </w:p>
  <w:p w14:paraId="52C610C0" w14:textId="77777777" w:rsidR="00FA0B9F" w:rsidRDefault="00137E0A"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EB4F9" w14:textId="77777777" w:rsidR="00FA0B9F" w:rsidRDefault="00137E0A"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6919771" w14:textId="219CEB26" w:rsidR="00FA0B9F" w:rsidRDefault="00137E0A" w:rsidP="00137E0A">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E891D" w14:textId="77777777" w:rsidR="00E311C9" w:rsidRDefault="00137E0A"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9FF192A" w14:textId="77777777" w:rsidR="00E311C9" w:rsidRDefault="00137E0A"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1D926" w14:textId="77777777" w:rsidR="00000000" w:rsidRDefault="00137E0A">
      <w:r>
        <w:separator/>
      </w:r>
    </w:p>
  </w:footnote>
  <w:footnote w:type="continuationSeparator" w:id="0">
    <w:p w14:paraId="275E6348" w14:textId="77777777" w:rsidR="00000000" w:rsidRDefault="00137E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456E82" w14:paraId="228690DA" w14:textId="77777777" w:rsidTr="002E12EC">
      <w:trPr>
        <w:trHeight w:val="344"/>
        <w:jc w:val="center"/>
      </w:trPr>
      <w:tc>
        <w:tcPr>
          <w:tcW w:w="5495" w:type="dxa"/>
        </w:tcPr>
        <w:p w14:paraId="3C3754E4" w14:textId="77777777" w:rsidR="00DB7C09" w:rsidRDefault="00137E0A" w:rsidP="00F968D4"/>
      </w:tc>
      <w:tc>
        <w:tcPr>
          <w:tcW w:w="4253" w:type="dxa"/>
          <w:gridSpan w:val="2"/>
        </w:tcPr>
        <w:p w14:paraId="31C08153" w14:textId="77777777" w:rsidR="00DB7C09" w:rsidRPr="00BD47E4" w:rsidRDefault="00137E0A" w:rsidP="002A07BC">
          <w:pPr>
            <w:jc w:val="right"/>
            <w:rPr>
              <w:b/>
              <w:sz w:val="32"/>
              <w:szCs w:val="32"/>
            </w:rPr>
          </w:pPr>
          <w:bookmarkStart w:id="2" w:name="type"/>
          <w:r w:rsidRPr="00BD47E4">
            <w:rPr>
              <w:b/>
              <w:sz w:val="32"/>
              <w:szCs w:val="32"/>
            </w:rPr>
            <w:t>IP</w:t>
          </w:r>
          <w:bookmarkEnd w:id="2"/>
        </w:p>
      </w:tc>
      <w:tc>
        <w:tcPr>
          <w:tcW w:w="1524" w:type="dxa"/>
          <w:gridSpan w:val="2"/>
        </w:tcPr>
        <w:p w14:paraId="412E2678" w14:textId="77777777" w:rsidR="00DB7C09" w:rsidRPr="00BD47E4" w:rsidRDefault="00137E0A" w:rsidP="00DB7C09">
          <w:pPr>
            <w:rPr>
              <w:b/>
              <w:sz w:val="32"/>
              <w:szCs w:val="32"/>
            </w:rPr>
          </w:pPr>
          <w:bookmarkStart w:id="3" w:name="number"/>
          <w:r w:rsidRPr="00BD47E4">
            <w:rPr>
              <w:b/>
              <w:sz w:val="32"/>
              <w:szCs w:val="32"/>
            </w:rPr>
            <w:t>57</w:t>
          </w:r>
          <w:bookmarkEnd w:id="3"/>
        </w:p>
      </w:tc>
    </w:tr>
    <w:tr w:rsidR="00456E82" w14:paraId="690C727B" w14:textId="77777777" w:rsidTr="002E12EC">
      <w:trPr>
        <w:trHeight w:val="2165"/>
        <w:jc w:val="center"/>
      </w:trPr>
      <w:tc>
        <w:tcPr>
          <w:tcW w:w="5495" w:type="dxa"/>
        </w:tcPr>
        <w:p w14:paraId="1F6FCB12" w14:textId="77777777" w:rsidR="00490760" w:rsidRPr="00EE4D48" w:rsidRDefault="00137E0A" w:rsidP="002A07BC">
          <w:pPr>
            <w:rPr>
              <w:b/>
              <w:sz w:val="28"/>
              <w:szCs w:val="28"/>
            </w:rPr>
          </w:pPr>
          <w:r>
            <w:rPr>
              <w:noProof/>
            </w:rPr>
            <w:drawing>
              <wp:inline distT="0" distB="0" distL="0" distR="0" wp14:anchorId="29892FDB" wp14:editId="0EFDAFA4">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20602"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1ECE3D25" w14:textId="77777777" w:rsidR="00490760" w:rsidRPr="00FE5146" w:rsidRDefault="00137E0A" w:rsidP="00490760">
          <w:pPr>
            <w:jc w:val="right"/>
            <w:rPr>
              <w:sz w:val="144"/>
              <w:szCs w:val="144"/>
            </w:rPr>
          </w:pPr>
          <w:r w:rsidRPr="00FE5146">
            <w:rPr>
              <w:sz w:val="144"/>
              <w:szCs w:val="144"/>
            </w:rPr>
            <w:t>ENG</w:t>
          </w:r>
        </w:p>
      </w:tc>
    </w:tr>
    <w:tr w:rsidR="00456E82" w14:paraId="02BB5196" w14:textId="77777777" w:rsidTr="002E12EC">
      <w:trPr>
        <w:trHeight w:val="409"/>
        <w:jc w:val="center"/>
      </w:trPr>
      <w:tc>
        <w:tcPr>
          <w:tcW w:w="8500" w:type="dxa"/>
          <w:gridSpan w:val="2"/>
        </w:tcPr>
        <w:p w14:paraId="1D90C1CF" w14:textId="77777777" w:rsidR="00BD47E4" w:rsidRDefault="00137E0A" w:rsidP="002C30DA">
          <w:pPr>
            <w:jc w:val="right"/>
          </w:pPr>
          <w:r>
            <w:t>Agenda Item:</w:t>
          </w:r>
        </w:p>
      </w:tc>
      <w:tc>
        <w:tcPr>
          <w:tcW w:w="2382" w:type="dxa"/>
          <w:gridSpan w:val="2"/>
        </w:tcPr>
        <w:p w14:paraId="5567F5F8" w14:textId="77777777" w:rsidR="00BD47E4" w:rsidRDefault="00137E0A" w:rsidP="002C30DA">
          <w:pPr>
            <w:jc w:val="right"/>
          </w:pPr>
          <w:bookmarkStart w:id="4" w:name="agenda"/>
          <w:r>
            <w:t>ATCM 17</w:t>
          </w:r>
          <w:bookmarkEnd w:id="4"/>
        </w:p>
      </w:tc>
      <w:tc>
        <w:tcPr>
          <w:tcW w:w="390" w:type="dxa"/>
        </w:tcPr>
        <w:p w14:paraId="105407C9" w14:textId="77777777" w:rsidR="00BD47E4" w:rsidRDefault="00137E0A" w:rsidP="00387A65">
          <w:pPr>
            <w:jc w:val="right"/>
          </w:pPr>
        </w:p>
      </w:tc>
    </w:tr>
    <w:tr w:rsidR="00456E82" w14:paraId="7AD67101" w14:textId="77777777" w:rsidTr="002E12EC">
      <w:trPr>
        <w:trHeight w:val="397"/>
        <w:jc w:val="center"/>
      </w:trPr>
      <w:tc>
        <w:tcPr>
          <w:tcW w:w="8500" w:type="dxa"/>
          <w:gridSpan w:val="2"/>
        </w:tcPr>
        <w:p w14:paraId="6735975F" w14:textId="77777777" w:rsidR="00BD47E4" w:rsidRDefault="00137E0A" w:rsidP="002C30DA">
          <w:pPr>
            <w:jc w:val="right"/>
          </w:pPr>
          <w:r>
            <w:t>Presented by:</w:t>
          </w:r>
        </w:p>
      </w:tc>
      <w:tc>
        <w:tcPr>
          <w:tcW w:w="2382" w:type="dxa"/>
          <w:gridSpan w:val="2"/>
        </w:tcPr>
        <w:p w14:paraId="0DFCF3FB" w14:textId="77777777" w:rsidR="00BD47E4" w:rsidRDefault="00137E0A" w:rsidP="002C30DA">
          <w:pPr>
            <w:jc w:val="right"/>
          </w:pPr>
          <w:bookmarkStart w:id="5" w:name="party"/>
          <w:r>
            <w:t>IAATO</w:t>
          </w:r>
          <w:bookmarkEnd w:id="5"/>
        </w:p>
      </w:tc>
      <w:tc>
        <w:tcPr>
          <w:tcW w:w="390" w:type="dxa"/>
        </w:tcPr>
        <w:p w14:paraId="3C288DD8" w14:textId="77777777" w:rsidR="00BD47E4" w:rsidRDefault="00137E0A" w:rsidP="00387A65">
          <w:pPr>
            <w:jc w:val="right"/>
          </w:pPr>
        </w:p>
      </w:tc>
    </w:tr>
    <w:tr w:rsidR="00456E82" w14:paraId="2C670FA7" w14:textId="77777777" w:rsidTr="002E12EC">
      <w:trPr>
        <w:trHeight w:val="409"/>
        <w:jc w:val="center"/>
      </w:trPr>
      <w:tc>
        <w:tcPr>
          <w:tcW w:w="8500" w:type="dxa"/>
          <w:gridSpan w:val="2"/>
        </w:tcPr>
        <w:p w14:paraId="0FBA35E4" w14:textId="77777777" w:rsidR="00BD47E4" w:rsidRDefault="00137E0A" w:rsidP="002C30DA">
          <w:pPr>
            <w:jc w:val="right"/>
          </w:pPr>
          <w:r>
            <w:t>Original:</w:t>
          </w:r>
        </w:p>
      </w:tc>
      <w:tc>
        <w:tcPr>
          <w:tcW w:w="2382" w:type="dxa"/>
          <w:gridSpan w:val="2"/>
        </w:tcPr>
        <w:p w14:paraId="75B22F7C" w14:textId="77777777" w:rsidR="00BD47E4" w:rsidRDefault="00137E0A" w:rsidP="002C30DA">
          <w:pPr>
            <w:jc w:val="right"/>
          </w:pPr>
          <w:bookmarkStart w:id="6" w:name="language"/>
          <w:r>
            <w:t>English</w:t>
          </w:r>
          <w:bookmarkEnd w:id="6"/>
        </w:p>
      </w:tc>
      <w:tc>
        <w:tcPr>
          <w:tcW w:w="390" w:type="dxa"/>
        </w:tcPr>
        <w:p w14:paraId="4FD4A913" w14:textId="77777777" w:rsidR="00BD47E4" w:rsidRDefault="00137E0A" w:rsidP="00387A65">
          <w:pPr>
            <w:jc w:val="right"/>
          </w:pPr>
        </w:p>
      </w:tc>
    </w:tr>
    <w:tr w:rsidR="00456E82" w14:paraId="35F146F7" w14:textId="77777777" w:rsidTr="002E12EC">
      <w:trPr>
        <w:trHeight w:val="409"/>
        <w:jc w:val="center"/>
      </w:trPr>
      <w:tc>
        <w:tcPr>
          <w:tcW w:w="8500" w:type="dxa"/>
          <w:gridSpan w:val="2"/>
        </w:tcPr>
        <w:p w14:paraId="08D033AB" w14:textId="77777777" w:rsidR="0097629D" w:rsidRDefault="00137E0A" w:rsidP="002C30DA">
          <w:pPr>
            <w:jc w:val="right"/>
          </w:pPr>
          <w:r>
            <w:t>Submitted:</w:t>
          </w:r>
        </w:p>
      </w:tc>
      <w:tc>
        <w:tcPr>
          <w:tcW w:w="2382" w:type="dxa"/>
          <w:gridSpan w:val="2"/>
        </w:tcPr>
        <w:p w14:paraId="365ACADD" w14:textId="77777777" w:rsidR="0097629D" w:rsidRDefault="00137E0A" w:rsidP="0097629D">
          <w:pPr>
            <w:jc w:val="right"/>
          </w:pPr>
          <w:bookmarkStart w:id="7" w:name="date_submission"/>
          <w:r>
            <w:t xml:space="preserve">09 May </w:t>
          </w:r>
          <w:r>
            <w:t>2023</w:t>
          </w:r>
          <w:bookmarkEnd w:id="7"/>
        </w:p>
      </w:tc>
      <w:tc>
        <w:tcPr>
          <w:tcW w:w="390" w:type="dxa"/>
        </w:tcPr>
        <w:p w14:paraId="54254C69" w14:textId="77777777" w:rsidR="0097629D" w:rsidRDefault="00137E0A" w:rsidP="00387A65">
          <w:pPr>
            <w:jc w:val="right"/>
          </w:pPr>
        </w:p>
      </w:tc>
    </w:tr>
  </w:tbl>
  <w:p w14:paraId="043C3E03" w14:textId="77777777" w:rsidR="00AE5DD0" w:rsidRDefault="00137E0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56E82" w14:paraId="3856E58F" w14:textId="77777777">
      <w:trPr>
        <w:trHeight w:val="354"/>
        <w:jc w:val="center"/>
      </w:trPr>
      <w:tc>
        <w:tcPr>
          <w:tcW w:w="9694" w:type="dxa"/>
        </w:tcPr>
        <w:p w14:paraId="49074083" w14:textId="440B1BCB" w:rsidR="00AE5DD0" w:rsidRPr="00BD47E4" w:rsidRDefault="00137E0A" w:rsidP="00C26F2D">
          <w:pPr>
            <w:jc w:val="right"/>
            <w:rPr>
              <w:b/>
              <w:sz w:val="32"/>
              <w:szCs w:val="32"/>
            </w:rPr>
          </w:pPr>
          <w:r>
            <w:rPr>
              <w:b/>
              <w:sz w:val="32"/>
              <w:szCs w:val="32"/>
            </w:rPr>
            <w:t>IP</w:t>
          </w:r>
        </w:p>
      </w:tc>
      <w:tc>
        <w:tcPr>
          <w:tcW w:w="1332" w:type="dxa"/>
        </w:tcPr>
        <w:p w14:paraId="3642B642" w14:textId="3661738D" w:rsidR="00AE5DD0" w:rsidRPr="00BD47E4" w:rsidRDefault="00137E0A" w:rsidP="00080F4C">
          <w:pPr>
            <w:rPr>
              <w:b/>
              <w:sz w:val="32"/>
              <w:szCs w:val="32"/>
            </w:rPr>
          </w:pPr>
          <w:r>
            <w:rPr>
              <w:b/>
              <w:sz w:val="32"/>
              <w:szCs w:val="32"/>
            </w:rPr>
            <w:t>57</w:t>
          </w:r>
        </w:p>
      </w:tc>
    </w:tr>
  </w:tbl>
  <w:p w14:paraId="78B161C8" w14:textId="77777777" w:rsidR="00AE5DD0" w:rsidRDefault="00137E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0C6E882">
      <w:start w:val="1"/>
      <w:numFmt w:val="bullet"/>
      <w:pStyle w:val="ATSBullet1"/>
      <w:lvlText w:val=""/>
      <w:lvlJc w:val="left"/>
      <w:pPr>
        <w:tabs>
          <w:tab w:val="num" w:pos="360"/>
        </w:tabs>
        <w:ind w:left="360" w:hanging="360"/>
      </w:pPr>
      <w:rPr>
        <w:rFonts w:ascii="Symbol" w:hAnsi="Symbol" w:hint="default"/>
        <w:color w:val="auto"/>
      </w:rPr>
    </w:lvl>
    <w:lvl w:ilvl="1" w:tplc="85A6DAAA" w:tentative="1">
      <w:start w:val="1"/>
      <w:numFmt w:val="bullet"/>
      <w:lvlText w:val="o"/>
      <w:lvlJc w:val="left"/>
      <w:pPr>
        <w:tabs>
          <w:tab w:val="num" w:pos="1440"/>
        </w:tabs>
        <w:ind w:left="1440" w:hanging="360"/>
      </w:pPr>
      <w:rPr>
        <w:rFonts w:ascii="Courier New" w:hAnsi="Courier New" w:cs="Courier New" w:hint="default"/>
      </w:rPr>
    </w:lvl>
    <w:lvl w:ilvl="2" w:tplc="4510E828" w:tentative="1">
      <w:start w:val="1"/>
      <w:numFmt w:val="bullet"/>
      <w:lvlText w:val=""/>
      <w:lvlJc w:val="left"/>
      <w:pPr>
        <w:tabs>
          <w:tab w:val="num" w:pos="2160"/>
        </w:tabs>
        <w:ind w:left="2160" w:hanging="360"/>
      </w:pPr>
      <w:rPr>
        <w:rFonts w:ascii="Wingdings" w:hAnsi="Wingdings" w:hint="default"/>
      </w:rPr>
    </w:lvl>
    <w:lvl w:ilvl="3" w:tplc="DA00F16A" w:tentative="1">
      <w:start w:val="1"/>
      <w:numFmt w:val="bullet"/>
      <w:lvlText w:val=""/>
      <w:lvlJc w:val="left"/>
      <w:pPr>
        <w:tabs>
          <w:tab w:val="num" w:pos="2880"/>
        </w:tabs>
        <w:ind w:left="2880" w:hanging="360"/>
      </w:pPr>
      <w:rPr>
        <w:rFonts w:ascii="Symbol" w:hAnsi="Symbol" w:hint="default"/>
      </w:rPr>
    </w:lvl>
    <w:lvl w:ilvl="4" w:tplc="07C43830" w:tentative="1">
      <w:start w:val="1"/>
      <w:numFmt w:val="bullet"/>
      <w:lvlText w:val="o"/>
      <w:lvlJc w:val="left"/>
      <w:pPr>
        <w:tabs>
          <w:tab w:val="num" w:pos="3600"/>
        </w:tabs>
        <w:ind w:left="3600" w:hanging="360"/>
      </w:pPr>
      <w:rPr>
        <w:rFonts w:ascii="Courier New" w:hAnsi="Courier New" w:cs="Courier New" w:hint="default"/>
      </w:rPr>
    </w:lvl>
    <w:lvl w:ilvl="5" w:tplc="195AD908" w:tentative="1">
      <w:start w:val="1"/>
      <w:numFmt w:val="bullet"/>
      <w:lvlText w:val=""/>
      <w:lvlJc w:val="left"/>
      <w:pPr>
        <w:tabs>
          <w:tab w:val="num" w:pos="4320"/>
        </w:tabs>
        <w:ind w:left="4320" w:hanging="360"/>
      </w:pPr>
      <w:rPr>
        <w:rFonts w:ascii="Wingdings" w:hAnsi="Wingdings" w:hint="default"/>
      </w:rPr>
    </w:lvl>
    <w:lvl w:ilvl="6" w:tplc="C8B20CFA" w:tentative="1">
      <w:start w:val="1"/>
      <w:numFmt w:val="bullet"/>
      <w:lvlText w:val=""/>
      <w:lvlJc w:val="left"/>
      <w:pPr>
        <w:tabs>
          <w:tab w:val="num" w:pos="5040"/>
        </w:tabs>
        <w:ind w:left="5040" w:hanging="360"/>
      </w:pPr>
      <w:rPr>
        <w:rFonts w:ascii="Symbol" w:hAnsi="Symbol" w:hint="default"/>
      </w:rPr>
    </w:lvl>
    <w:lvl w:ilvl="7" w:tplc="177C55D0" w:tentative="1">
      <w:start w:val="1"/>
      <w:numFmt w:val="bullet"/>
      <w:lvlText w:val="o"/>
      <w:lvlJc w:val="left"/>
      <w:pPr>
        <w:tabs>
          <w:tab w:val="num" w:pos="5760"/>
        </w:tabs>
        <w:ind w:left="5760" w:hanging="360"/>
      </w:pPr>
      <w:rPr>
        <w:rFonts w:ascii="Courier New" w:hAnsi="Courier New" w:cs="Courier New" w:hint="default"/>
      </w:rPr>
    </w:lvl>
    <w:lvl w:ilvl="8" w:tplc="622476F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8BAE23F2">
      <w:start w:val="1"/>
      <w:numFmt w:val="decimal"/>
      <w:lvlText w:val="%1)"/>
      <w:lvlJc w:val="left"/>
      <w:pPr>
        <w:tabs>
          <w:tab w:val="num" w:pos="340"/>
        </w:tabs>
        <w:ind w:left="340" w:hanging="340"/>
      </w:pPr>
      <w:rPr>
        <w:rFonts w:hint="default"/>
      </w:rPr>
    </w:lvl>
    <w:lvl w:ilvl="1" w:tplc="3D925D64" w:tentative="1">
      <w:start w:val="1"/>
      <w:numFmt w:val="lowerLetter"/>
      <w:lvlText w:val="%2."/>
      <w:lvlJc w:val="left"/>
      <w:pPr>
        <w:tabs>
          <w:tab w:val="num" w:pos="1440"/>
        </w:tabs>
        <w:ind w:left="1440" w:hanging="360"/>
      </w:pPr>
    </w:lvl>
    <w:lvl w:ilvl="2" w:tplc="541045B2" w:tentative="1">
      <w:start w:val="1"/>
      <w:numFmt w:val="lowerRoman"/>
      <w:lvlText w:val="%3."/>
      <w:lvlJc w:val="right"/>
      <w:pPr>
        <w:tabs>
          <w:tab w:val="num" w:pos="2160"/>
        </w:tabs>
        <w:ind w:left="2160" w:hanging="180"/>
      </w:pPr>
    </w:lvl>
    <w:lvl w:ilvl="3" w:tplc="3E42DB6E" w:tentative="1">
      <w:start w:val="1"/>
      <w:numFmt w:val="decimal"/>
      <w:lvlText w:val="%4."/>
      <w:lvlJc w:val="left"/>
      <w:pPr>
        <w:tabs>
          <w:tab w:val="num" w:pos="2880"/>
        </w:tabs>
        <w:ind w:left="2880" w:hanging="360"/>
      </w:pPr>
    </w:lvl>
    <w:lvl w:ilvl="4" w:tplc="A3D00C1E" w:tentative="1">
      <w:start w:val="1"/>
      <w:numFmt w:val="lowerLetter"/>
      <w:lvlText w:val="%5."/>
      <w:lvlJc w:val="left"/>
      <w:pPr>
        <w:tabs>
          <w:tab w:val="num" w:pos="3600"/>
        </w:tabs>
        <w:ind w:left="3600" w:hanging="360"/>
      </w:pPr>
    </w:lvl>
    <w:lvl w:ilvl="5" w:tplc="3BFEF968" w:tentative="1">
      <w:start w:val="1"/>
      <w:numFmt w:val="lowerRoman"/>
      <w:lvlText w:val="%6."/>
      <w:lvlJc w:val="right"/>
      <w:pPr>
        <w:tabs>
          <w:tab w:val="num" w:pos="4320"/>
        </w:tabs>
        <w:ind w:left="4320" w:hanging="180"/>
      </w:pPr>
    </w:lvl>
    <w:lvl w:ilvl="6" w:tplc="B82E7624" w:tentative="1">
      <w:start w:val="1"/>
      <w:numFmt w:val="decimal"/>
      <w:lvlText w:val="%7."/>
      <w:lvlJc w:val="left"/>
      <w:pPr>
        <w:tabs>
          <w:tab w:val="num" w:pos="5040"/>
        </w:tabs>
        <w:ind w:left="5040" w:hanging="360"/>
      </w:pPr>
    </w:lvl>
    <w:lvl w:ilvl="7" w:tplc="CC6A9534" w:tentative="1">
      <w:start w:val="1"/>
      <w:numFmt w:val="lowerLetter"/>
      <w:lvlText w:val="%8."/>
      <w:lvlJc w:val="left"/>
      <w:pPr>
        <w:tabs>
          <w:tab w:val="num" w:pos="5760"/>
        </w:tabs>
        <w:ind w:left="5760" w:hanging="360"/>
      </w:pPr>
    </w:lvl>
    <w:lvl w:ilvl="8" w:tplc="6030A80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4FEB8E2">
      <w:start w:val="1"/>
      <w:numFmt w:val="decimal"/>
      <w:lvlText w:val="%1."/>
      <w:lvlJc w:val="left"/>
      <w:pPr>
        <w:tabs>
          <w:tab w:val="num" w:pos="1057"/>
        </w:tabs>
        <w:ind w:left="1057" w:hanging="360"/>
      </w:pPr>
      <w:rPr>
        <w:rFonts w:hint="default"/>
      </w:rPr>
    </w:lvl>
    <w:lvl w:ilvl="1" w:tplc="30EEA5F2" w:tentative="1">
      <w:start w:val="1"/>
      <w:numFmt w:val="lowerLetter"/>
      <w:lvlText w:val="%2."/>
      <w:lvlJc w:val="left"/>
      <w:pPr>
        <w:tabs>
          <w:tab w:val="num" w:pos="2137"/>
        </w:tabs>
        <w:ind w:left="2137" w:hanging="360"/>
      </w:pPr>
    </w:lvl>
    <w:lvl w:ilvl="2" w:tplc="B6AC8E46" w:tentative="1">
      <w:start w:val="1"/>
      <w:numFmt w:val="lowerRoman"/>
      <w:lvlText w:val="%3."/>
      <w:lvlJc w:val="right"/>
      <w:pPr>
        <w:tabs>
          <w:tab w:val="num" w:pos="2857"/>
        </w:tabs>
        <w:ind w:left="2857" w:hanging="180"/>
      </w:pPr>
    </w:lvl>
    <w:lvl w:ilvl="3" w:tplc="9DAA0054" w:tentative="1">
      <w:start w:val="1"/>
      <w:numFmt w:val="decimal"/>
      <w:lvlText w:val="%4."/>
      <w:lvlJc w:val="left"/>
      <w:pPr>
        <w:tabs>
          <w:tab w:val="num" w:pos="3577"/>
        </w:tabs>
        <w:ind w:left="3577" w:hanging="360"/>
      </w:pPr>
    </w:lvl>
    <w:lvl w:ilvl="4" w:tplc="D7160E08" w:tentative="1">
      <w:start w:val="1"/>
      <w:numFmt w:val="lowerLetter"/>
      <w:lvlText w:val="%5."/>
      <w:lvlJc w:val="left"/>
      <w:pPr>
        <w:tabs>
          <w:tab w:val="num" w:pos="4297"/>
        </w:tabs>
        <w:ind w:left="4297" w:hanging="360"/>
      </w:pPr>
    </w:lvl>
    <w:lvl w:ilvl="5" w:tplc="9AE4B6F2" w:tentative="1">
      <w:start w:val="1"/>
      <w:numFmt w:val="lowerRoman"/>
      <w:lvlText w:val="%6."/>
      <w:lvlJc w:val="right"/>
      <w:pPr>
        <w:tabs>
          <w:tab w:val="num" w:pos="5017"/>
        </w:tabs>
        <w:ind w:left="5017" w:hanging="180"/>
      </w:pPr>
    </w:lvl>
    <w:lvl w:ilvl="6" w:tplc="E7761D58" w:tentative="1">
      <w:start w:val="1"/>
      <w:numFmt w:val="decimal"/>
      <w:lvlText w:val="%7."/>
      <w:lvlJc w:val="left"/>
      <w:pPr>
        <w:tabs>
          <w:tab w:val="num" w:pos="5737"/>
        </w:tabs>
        <w:ind w:left="5737" w:hanging="360"/>
      </w:pPr>
    </w:lvl>
    <w:lvl w:ilvl="7" w:tplc="26C22814" w:tentative="1">
      <w:start w:val="1"/>
      <w:numFmt w:val="lowerLetter"/>
      <w:lvlText w:val="%8."/>
      <w:lvlJc w:val="left"/>
      <w:pPr>
        <w:tabs>
          <w:tab w:val="num" w:pos="6457"/>
        </w:tabs>
        <w:ind w:left="6457" w:hanging="360"/>
      </w:pPr>
    </w:lvl>
    <w:lvl w:ilvl="8" w:tplc="D642473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DC8A3BE2">
      <w:start w:val="1"/>
      <w:numFmt w:val="decimal"/>
      <w:pStyle w:val="ATSNumber1"/>
      <w:lvlText w:val="%1)"/>
      <w:lvlJc w:val="left"/>
      <w:pPr>
        <w:tabs>
          <w:tab w:val="num" w:pos="720"/>
        </w:tabs>
        <w:ind w:left="720" w:hanging="360"/>
      </w:pPr>
    </w:lvl>
    <w:lvl w:ilvl="1" w:tplc="D0362BB6" w:tentative="1">
      <w:start w:val="1"/>
      <w:numFmt w:val="lowerLetter"/>
      <w:lvlText w:val="%2."/>
      <w:lvlJc w:val="left"/>
      <w:pPr>
        <w:tabs>
          <w:tab w:val="num" w:pos="1440"/>
        </w:tabs>
        <w:ind w:left="1440" w:hanging="360"/>
      </w:pPr>
    </w:lvl>
    <w:lvl w:ilvl="2" w:tplc="2C4A81F2" w:tentative="1">
      <w:start w:val="1"/>
      <w:numFmt w:val="lowerRoman"/>
      <w:lvlText w:val="%3."/>
      <w:lvlJc w:val="right"/>
      <w:pPr>
        <w:tabs>
          <w:tab w:val="num" w:pos="2160"/>
        </w:tabs>
        <w:ind w:left="2160" w:hanging="180"/>
      </w:pPr>
    </w:lvl>
    <w:lvl w:ilvl="3" w:tplc="B9569E72" w:tentative="1">
      <w:start w:val="1"/>
      <w:numFmt w:val="decimal"/>
      <w:lvlText w:val="%4."/>
      <w:lvlJc w:val="left"/>
      <w:pPr>
        <w:tabs>
          <w:tab w:val="num" w:pos="2880"/>
        </w:tabs>
        <w:ind w:left="2880" w:hanging="360"/>
      </w:pPr>
    </w:lvl>
    <w:lvl w:ilvl="4" w:tplc="0A7EE862" w:tentative="1">
      <w:start w:val="1"/>
      <w:numFmt w:val="lowerLetter"/>
      <w:lvlText w:val="%5."/>
      <w:lvlJc w:val="left"/>
      <w:pPr>
        <w:tabs>
          <w:tab w:val="num" w:pos="3600"/>
        </w:tabs>
        <w:ind w:left="3600" w:hanging="360"/>
      </w:pPr>
    </w:lvl>
    <w:lvl w:ilvl="5" w:tplc="770A162C" w:tentative="1">
      <w:start w:val="1"/>
      <w:numFmt w:val="lowerRoman"/>
      <w:lvlText w:val="%6."/>
      <w:lvlJc w:val="right"/>
      <w:pPr>
        <w:tabs>
          <w:tab w:val="num" w:pos="4320"/>
        </w:tabs>
        <w:ind w:left="4320" w:hanging="180"/>
      </w:pPr>
    </w:lvl>
    <w:lvl w:ilvl="6" w:tplc="E7286EFA" w:tentative="1">
      <w:start w:val="1"/>
      <w:numFmt w:val="decimal"/>
      <w:lvlText w:val="%7."/>
      <w:lvlJc w:val="left"/>
      <w:pPr>
        <w:tabs>
          <w:tab w:val="num" w:pos="5040"/>
        </w:tabs>
        <w:ind w:left="5040" w:hanging="360"/>
      </w:pPr>
    </w:lvl>
    <w:lvl w:ilvl="7" w:tplc="E65C0B28" w:tentative="1">
      <w:start w:val="1"/>
      <w:numFmt w:val="lowerLetter"/>
      <w:lvlText w:val="%8."/>
      <w:lvlJc w:val="left"/>
      <w:pPr>
        <w:tabs>
          <w:tab w:val="num" w:pos="5760"/>
        </w:tabs>
        <w:ind w:left="5760" w:hanging="360"/>
      </w:pPr>
    </w:lvl>
    <w:lvl w:ilvl="8" w:tplc="4670866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945865A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D9C942A" w:tentative="1">
      <w:start w:val="1"/>
      <w:numFmt w:val="bullet"/>
      <w:lvlText w:val="o"/>
      <w:lvlJc w:val="left"/>
      <w:pPr>
        <w:tabs>
          <w:tab w:val="num" w:pos="2517"/>
        </w:tabs>
        <w:ind w:left="2517" w:hanging="360"/>
      </w:pPr>
      <w:rPr>
        <w:rFonts w:ascii="Courier New" w:hAnsi="Courier New" w:cs="Courier New" w:hint="default"/>
      </w:rPr>
    </w:lvl>
    <w:lvl w:ilvl="2" w:tplc="BABC6BE2" w:tentative="1">
      <w:start w:val="1"/>
      <w:numFmt w:val="bullet"/>
      <w:lvlText w:val=""/>
      <w:lvlJc w:val="left"/>
      <w:pPr>
        <w:tabs>
          <w:tab w:val="num" w:pos="3237"/>
        </w:tabs>
        <w:ind w:left="3237" w:hanging="360"/>
      </w:pPr>
      <w:rPr>
        <w:rFonts w:ascii="Wingdings" w:hAnsi="Wingdings" w:hint="default"/>
      </w:rPr>
    </w:lvl>
    <w:lvl w:ilvl="3" w:tplc="589028DA" w:tentative="1">
      <w:start w:val="1"/>
      <w:numFmt w:val="bullet"/>
      <w:lvlText w:val=""/>
      <w:lvlJc w:val="left"/>
      <w:pPr>
        <w:tabs>
          <w:tab w:val="num" w:pos="3957"/>
        </w:tabs>
        <w:ind w:left="3957" w:hanging="360"/>
      </w:pPr>
      <w:rPr>
        <w:rFonts w:ascii="Symbol" w:hAnsi="Symbol" w:hint="default"/>
      </w:rPr>
    </w:lvl>
    <w:lvl w:ilvl="4" w:tplc="A2761B20" w:tentative="1">
      <w:start w:val="1"/>
      <w:numFmt w:val="bullet"/>
      <w:lvlText w:val="o"/>
      <w:lvlJc w:val="left"/>
      <w:pPr>
        <w:tabs>
          <w:tab w:val="num" w:pos="4677"/>
        </w:tabs>
        <w:ind w:left="4677" w:hanging="360"/>
      </w:pPr>
      <w:rPr>
        <w:rFonts w:ascii="Courier New" w:hAnsi="Courier New" w:cs="Courier New" w:hint="default"/>
      </w:rPr>
    </w:lvl>
    <w:lvl w:ilvl="5" w:tplc="050CF784" w:tentative="1">
      <w:start w:val="1"/>
      <w:numFmt w:val="bullet"/>
      <w:lvlText w:val=""/>
      <w:lvlJc w:val="left"/>
      <w:pPr>
        <w:tabs>
          <w:tab w:val="num" w:pos="5397"/>
        </w:tabs>
        <w:ind w:left="5397" w:hanging="360"/>
      </w:pPr>
      <w:rPr>
        <w:rFonts w:ascii="Wingdings" w:hAnsi="Wingdings" w:hint="default"/>
      </w:rPr>
    </w:lvl>
    <w:lvl w:ilvl="6" w:tplc="43FECEC6" w:tentative="1">
      <w:start w:val="1"/>
      <w:numFmt w:val="bullet"/>
      <w:lvlText w:val=""/>
      <w:lvlJc w:val="left"/>
      <w:pPr>
        <w:tabs>
          <w:tab w:val="num" w:pos="6117"/>
        </w:tabs>
        <w:ind w:left="6117" w:hanging="360"/>
      </w:pPr>
      <w:rPr>
        <w:rFonts w:ascii="Symbol" w:hAnsi="Symbol" w:hint="default"/>
      </w:rPr>
    </w:lvl>
    <w:lvl w:ilvl="7" w:tplc="1736F5AE" w:tentative="1">
      <w:start w:val="1"/>
      <w:numFmt w:val="bullet"/>
      <w:lvlText w:val="o"/>
      <w:lvlJc w:val="left"/>
      <w:pPr>
        <w:tabs>
          <w:tab w:val="num" w:pos="6837"/>
        </w:tabs>
        <w:ind w:left="6837" w:hanging="360"/>
      </w:pPr>
      <w:rPr>
        <w:rFonts w:ascii="Courier New" w:hAnsi="Courier New" w:cs="Courier New" w:hint="default"/>
      </w:rPr>
    </w:lvl>
    <w:lvl w:ilvl="8" w:tplc="CD26DEB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6754658"/>
    <w:multiLevelType w:val="hybridMultilevel"/>
    <w:tmpl w:val="9F506E62"/>
    <w:lvl w:ilvl="0" w:tplc="299CD1A4">
      <w:start w:val="1"/>
      <w:numFmt w:val="bullet"/>
      <w:lvlText w:val="-"/>
      <w:lvlJc w:val="left"/>
      <w:pPr>
        <w:ind w:left="720" w:hanging="360"/>
      </w:pPr>
      <w:rPr>
        <w:rFonts w:ascii="Calibri" w:hAnsi="Calibri" w:hint="default"/>
      </w:rPr>
    </w:lvl>
    <w:lvl w:ilvl="1" w:tplc="07AE211E">
      <w:start w:val="1"/>
      <w:numFmt w:val="bullet"/>
      <w:lvlText w:val="o"/>
      <w:lvlJc w:val="left"/>
      <w:pPr>
        <w:ind w:left="1440" w:hanging="360"/>
      </w:pPr>
      <w:rPr>
        <w:rFonts w:ascii="Courier New" w:hAnsi="Courier New" w:hint="default"/>
      </w:rPr>
    </w:lvl>
    <w:lvl w:ilvl="2" w:tplc="D98C92FA">
      <w:start w:val="1"/>
      <w:numFmt w:val="bullet"/>
      <w:lvlText w:val=""/>
      <w:lvlJc w:val="left"/>
      <w:pPr>
        <w:ind w:left="2160" w:hanging="360"/>
      </w:pPr>
      <w:rPr>
        <w:rFonts w:ascii="Wingdings" w:hAnsi="Wingdings" w:hint="default"/>
      </w:rPr>
    </w:lvl>
    <w:lvl w:ilvl="3" w:tplc="FFF89364">
      <w:start w:val="1"/>
      <w:numFmt w:val="bullet"/>
      <w:lvlText w:val=""/>
      <w:lvlJc w:val="left"/>
      <w:pPr>
        <w:ind w:left="2880" w:hanging="360"/>
      </w:pPr>
      <w:rPr>
        <w:rFonts w:ascii="Symbol" w:hAnsi="Symbol" w:hint="default"/>
      </w:rPr>
    </w:lvl>
    <w:lvl w:ilvl="4" w:tplc="FE24432A">
      <w:start w:val="1"/>
      <w:numFmt w:val="bullet"/>
      <w:lvlText w:val="o"/>
      <w:lvlJc w:val="left"/>
      <w:pPr>
        <w:ind w:left="3600" w:hanging="360"/>
      </w:pPr>
      <w:rPr>
        <w:rFonts w:ascii="Courier New" w:hAnsi="Courier New" w:hint="default"/>
      </w:rPr>
    </w:lvl>
    <w:lvl w:ilvl="5" w:tplc="2CFAC7BA">
      <w:start w:val="1"/>
      <w:numFmt w:val="bullet"/>
      <w:lvlText w:val=""/>
      <w:lvlJc w:val="left"/>
      <w:pPr>
        <w:ind w:left="4320" w:hanging="360"/>
      </w:pPr>
      <w:rPr>
        <w:rFonts w:ascii="Wingdings" w:hAnsi="Wingdings" w:hint="default"/>
      </w:rPr>
    </w:lvl>
    <w:lvl w:ilvl="6" w:tplc="E05CE6FC">
      <w:start w:val="1"/>
      <w:numFmt w:val="bullet"/>
      <w:lvlText w:val=""/>
      <w:lvlJc w:val="left"/>
      <w:pPr>
        <w:ind w:left="5040" w:hanging="360"/>
      </w:pPr>
      <w:rPr>
        <w:rFonts w:ascii="Symbol" w:hAnsi="Symbol" w:hint="default"/>
      </w:rPr>
    </w:lvl>
    <w:lvl w:ilvl="7" w:tplc="0616B896">
      <w:start w:val="1"/>
      <w:numFmt w:val="bullet"/>
      <w:lvlText w:val="o"/>
      <w:lvlJc w:val="left"/>
      <w:pPr>
        <w:ind w:left="5760" w:hanging="360"/>
      </w:pPr>
      <w:rPr>
        <w:rFonts w:ascii="Courier New" w:hAnsi="Courier New" w:hint="default"/>
      </w:rPr>
    </w:lvl>
    <w:lvl w:ilvl="8" w:tplc="F50E9E20">
      <w:start w:val="1"/>
      <w:numFmt w:val="bullet"/>
      <w:lvlText w:val=""/>
      <w:lvlJc w:val="left"/>
      <w:pPr>
        <w:ind w:left="6480" w:hanging="360"/>
      </w:pPr>
      <w:rPr>
        <w:rFonts w:ascii="Wingdings" w:hAnsi="Wingdings" w:hint="default"/>
      </w:rPr>
    </w:lvl>
  </w:abstractNum>
  <w:abstractNum w:abstractNumId="17" w15:restartNumberingAfterBreak="0">
    <w:nsid w:val="7C866FC0"/>
    <w:multiLevelType w:val="hybridMultilevel"/>
    <w:tmpl w:val="57EA2900"/>
    <w:lvl w:ilvl="0" w:tplc="AB28B7DE">
      <w:start w:val="1"/>
      <w:numFmt w:val="decimal"/>
      <w:pStyle w:val="ATSNumber2"/>
      <w:lvlText w:val="%1."/>
      <w:lvlJc w:val="left"/>
      <w:pPr>
        <w:tabs>
          <w:tab w:val="num" w:pos="720"/>
        </w:tabs>
        <w:ind w:left="720" w:hanging="360"/>
      </w:pPr>
      <w:rPr>
        <w:rFonts w:hint="default"/>
      </w:rPr>
    </w:lvl>
    <w:lvl w:ilvl="1" w:tplc="65503E28" w:tentative="1">
      <w:start w:val="1"/>
      <w:numFmt w:val="lowerLetter"/>
      <w:lvlText w:val="%2."/>
      <w:lvlJc w:val="left"/>
      <w:pPr>
        <w:tabs>
          <w:tab w:val="num" w:pos="1440"/>
        </w:tabs>
        <w:ind w:left="1440" w:hanging="360"/>
      </w:pPr>
    </w:lvl>
    <w:lvl w:ilvl="2" w:tplc="10F6FAEC" w:tentative="1">
      <w:start w:val="1"/>
      <w:numFmt w:val="lowerRoman"/>
      <w:lvlText w:val="%3."/>
      <w:lvlJc w:val="right"/>
      <w:pPr>
        <w:tabs>
          <w:tab w:val="num" w:pos="2160"/>
        </w:tabs>
        <w:ind w:left="2160" w:hanging="180"/>
      </w:pPr>
    </w:lvl>
    <w:lvl w:ilvl="3" w:tplc="CC66E74E" w:tentative="1">
      <w:start w:val="1"/>
      <w:numFmt w:val="decimal"/>
      <w:lvlText w:val="%4."/>
      <w:lvlJc w:val="left"/>
      <w:pPr>
        <w:tabs>
          <w:tab w:val="num" w:pos="2880"/>
        </w:tabs>
        <w:ind w:left="2880" w:hanging="360"/>
      </w:pPr>
    </w:lvl>
    <w:lvl w:ilvl="4" w:tplc="33E8C43A" w:tentative="1">
      <w:start w:val="1"/>
      <w:numFmt w:val="lowerLetter"/>
      <w:lvlText w:val="%5."/>
      <w:lvlJc w:val="left"/>
      <w:pPr>
        <w:tabs>
          <w:tab w:val="num" w:pos="3600"/>
        </w:tabs>
        <w:ind w:left="3600" w:hanging="360"/>
      </w:pPr>
    </w:lvl>
    <w:lvl w:ilvl="5" w:tplc="6AE418E8" w:tentative="1">
      <w:start w:val="1"/>
      <w:numFmt w:val="lowerRoman"/>
      <w:lvlText w:val="%6."/>
      <w:lvlJc w:val="right"/>
      <w:pPr>
        <w:tabs>
          <w:tab w:val="num" w:pos="4320"/>
        </w:tabs>
        <w:ind w:left="4320" w:hanging="180"/>
      </w:pPr>
    </w:lvl>
    <w:lvl w:ilvl="6" w:tplc="D63C4A7A" w:tentative="1">
      <w:start w:val="1"/>
      <w:numFmt w:val="decimal"/>
      <w:lvlText w:val="%7."/>
      <w:lvlJc w:val="left"/>
      <w:pPr>
        <w:tabs>
          <w:tab w:val="num" w:pos="5040"/>
        </w:tabs>
        <w:ind w:left="5040" w:hanging="360"/>
      </w:pPr>
    </w:lvl>
    <w:lvl w:ilvl="7" w:tplc="A5AC24DA" w:tentative="1">
      <w:start w:val="1"/>
      <w:numFmt w:val="lowerLetter"/>
      <w:lvlText w:val="%8."/>
      <w:lvlJc w:val="left"/>
      <w:pPr>
        <w:tabs>
          <w:tab w:val="num" w:pos="5760"/>
        </w:tabs>
        <w:ind w:left="5760" w:hanging="360"/>
      </w:pPr>
    </w:lvl>
    <w:lvl w:ilvl="8" w:tplc="26F042A8" w:tentative="1">
      <w:start w:val="1"/>
      <w:numFmt w:val="lowerRoman"/>
      <w:lvlText w:val="%9."/>
      <w:lvlJc w:val="right"/>
      <w:pPr>
        <w:tabs>
          <w:tab w:val="num" w:pos="6480"/>
        </w:tabs>
        <w:ind w:left="6480" w:hanging="180"/>
      </w:pPr>
    </w:lvl>
  </w:abstractNum>
  <w:num w:numId="1" w16cid:durableId="662900485">
    <w:abstractNumId w:val="9"/>
  </w:num>
  <w:num w:numId="2" w16cid:durableId="211616402">
    <w:abstractNumId w:val="7"/>
  </w:num>
  <w:num w:numId="3" w16cid:durableId="1406955776">
    <w:abstractNumId w:val="6"/>
  </w:num>
  <w:num w:numId="4" w16cid:durableId="1403798778">
    <w:abstractNumId w:val="5"/>
  </w:num>
  <w:num w:numId="5" w16cid:durableId="1499272815">
    <w:abstractNumId w:val="4"/>
  </w:num>
  <w:num w:numId="6" w16cid:durableId="2020617398">
    <w:abstractNumId w:val="8"/>
  </w:num>
  <w:num w:numId="7" w16cid:durableId="217055734">
    <w:abstractNumId w:val="3"/>
  </w:num>
  <w:num w:numId="8" w16cid:durableId="1667397684">
    <w:abstractNumId w:val="2"/>
  </w:num>
  <w:num w:numId="9" w16cid:durableId="579367880">
    <w:abstractNumId w:val="1"/>
  </w:num>
  <w:num w:numId="10" w16cid:durableId="2051684467">
    <w:abstractNumId w:val="0"/>
  </w:num>
  <w:num w:numId="11" w16cid:durableId="1819956329">
    <w:abstractNumId w:val="11"/>
  </w:num>
  <w:num w:numId="12" w16cid:durableId="851912545">
    <w:abstractNumId w:val="15"/>
  </w:num>
  <w:num w:numId="13" w16cid:durableId="1384017323">
    <w:abstractNumId w:val="14"/>
  </w:num>
  <w:num w:numId="14" w16cid:durableId="13465849">
    <w:abstractNumId w:val="12"/>
  </w:num>
  <w:num w:numId="15" w16cid:durableId="127626552">
    <w:abstractNumId w:val="13"/>
  </w:num>
  <w:num w:numId="16" w16cid:durableId="866138514">
    <w:abstractNumId w:val="10"/>
  </w:num>
  <w:num w:numId="17" w16cid:durableId="121073634">
    <w:abstractNumId w:val="11"/>
  </w:num>
  <w:num w:numId="18" w16cid:durableId="64182520">
    <w:abstractNumId w:val="15"/>
  </w:num>
  <w:num w:numId="19" w16cid:durableId="1378241796">
    <w:abstractNumId w:val="14"/>
  </w:num>
  <w:num w:numId="20" w16cid:durableId="361249839">
    <w:abstractNumId w:val="17"/>
  </w:num>
  <w:num w:numId="21" w16cid:durableId="14054944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E82"/>
    <w:rsid w:val="00137E0A"/>
    <w:rsid w:val="00456E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D54CC"/>
  <w15:chartTrackingRefBased/>
  <w15:docId w15:val="{1A65D292-A363-4CE4-AEC5-880AE961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137E0A"/>
    <w:rPr>
      <w:rFonts w:ascii="Arial" w:hAnsi="Arial"/>
      <w:b/>
      <w:i/>
      <w:sz w:val="24"/>
      <w:szCs w:val="22"/>
      <w:lang w:val="en-GB" w:eastAsia="en-GB"/>
    </w:rPr>
  </w:style>
  <w:style w:type="character" w:customStyle="1" w:styleId="ATSNormalChar">
    <w:name w:val="ATS Normal Char"/>
    <w:link w:val="ATSNormal"/>
    <w:locked/>
    <w:rsid w:val="00137E0A"/>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aato.org/information-resources/data-statistics/visitor-statisti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Users\BB%201\Desktop\ATCM%20XLIV%20Berlin\Excel%20Sheets%20and%20Number%20Musings\Number%20musings%20cop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BB%201\Desktop\ATCM%20XLIV%20Berlin\Excel%20Sheets%20and%20Number%20Musings\Number%20musings%20cop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Top 10 Passenger</a:t>
            </a:r>
            <a:r>
              <a:rPr lang="en-GB" baseline="0"/>
              <a:t> nationalities travelling with IAATO Operators between 2014-2022</a:t>
            </a:r>
          </a:p>
          <a:p>
            <a:pPr>
              <a:defRPr sz="1400" b="0" i="0" u="none" strike="noStrike" kern="1200" spc="0" baseline="0">
                <a:solidFill>
                  <a:schemeClr val="tx1">
                    <a:lumMod val="65000"/>
                    <a:lumOff val="35000"/>
                  </a:schemeClr>
                </a:solidFill>
                <a:latin typeface="+mn-lt"/>
                <a:ea typeface="+mn-ea"/>
                <a:cs typeface="+mn-cs"/>
              </a:defRPr>
            </a:pPr>
            <a:r>
              <a:rPr lang="en-GB" sz="800" baseline="0"/>
              <a:t>*Vessel and Deep FIeld</a:t>
            </a:r>
            <a:endParaRPr lang="en-GB" sz="800"/>
          </a:p>
        </c:rich>
      </c:tx>
      <c:overlay val="0"/>
      <c:spPr>
        <a:noFill/>
        <a:ln>
          <a:noFill/>
        </a:ln>
        <a:effectLst/>
      </c:spPr>
    </c:title>
    <c:autoTitleDeleted val="0"/>
    <c:plotArea>
      <c:layout/>
      <c:barChart>
        <c:barDir val="col"/>
        <c:grouping val="clustered"/>
        <c:varyColors val="0"/>
        <c:ser>
          <c:idx val="0"/>
          <c:order val="0"/>
          <c:tx>
            <c:strRef>
              <c:f>Nat!$AO$69</c:f>
              <c:strCache>
                <c:ptCount val="1"/>
                <c:pt idx="0">
                  <c:v>2014-16</c:v>
                </c:pt>
              </c:strCache>
            </c:strRef>
          </c:tx>
          <c:spPr>
            <a:solidFill>
              <a:schemeClr val="accent1"/>
            </a:solidFill>
            <a:ln>
              <a:noFill/>
            </a:ln>
            <a:effectLst/>
          </c:spPr>
          <c:invertIfNegative val="0"/>
          <c:cat>
            <c:strRef>
              <c:f>Nat!$AN$70:$AN$79</c:f>
              <c:strCache>
                <c:ptCount val="10"/>
                <c:pt idx="0">
                  <c:v>USA</c:v>
                </c:pt>
                <c:pt idx="1">
                  <c:v>China</c:v>
                </c:pt>
                <c:pt idx="2">
                  <c:v>Austrailia</c:v>
                </c:pt>
                <c:pt idx="3">
                  <c:v>United Kingdom</c:v>
                </c:pt>
                <c:pt idx="4">
                  <c:v>Germany</c:v>
                </c:pt>
                <c:pt idx="5">
                  <c:v>Canada</c:v>
                </c:pt>
                <c:pt idx="6">
                  <c:v>France</c:v>
                </c:pt>
                <c:pt idx="7">
                  <c:v>Netherlands</c:v>
                </c:pt>
                <c:pt idx="8">
                  <c:v>Japan</c:v>
                </c:pt>
                <c:pt idx="9">
                  <c:v>New Zealand</c:v>
                </c:pt>
              </c:strCache>
            </c:strRef>
          </c:cat>
          <c:val>
            <c:numRef>
              <c:f>Nat!$AO$70:$AO$79</c:f>
              <c:numCache>
                <c:formatCode>General</c:formatCode>
                <c:ptCount val="10"/>
                <c:pt idx="0">
                  <c:v>22613</c:v>
                </c:pt>
                <c:pt idx="1">
                  <c:v>6313</c:v>
                </c:pt>
                <c:pt idx="2">
                  <c:v>7243</c:v>
                </c:pt>
                <c:pt idx="3">
                  <c:v>4934</c:v>
                </c:pt>
                <c:pt idx="4">
                  <c:v>3184</c:v>
                </c:pt>
                <c:pt idx="5">
                  <c:v>3231</c:v>
                </c:pt>
                <c:pt idx="6">
                  <c:v>1728</c:v>
                </c:pt>
                <c:pt idx="7">
                  <c:v>1261</c:v>
                </c:pt>
                <c:pt idx="8">
                  <c:v>1529</c:v>
                </c:pt>
                <c:pt idx="9">
                  <c:v>753</c:v>
                </c:pt>
              </c:numCache>
            </c:numRef>
          </c:val>
          <c:extLst>
            <c:ext xmlns:c16="http://schemas.microsoft.com/office/drawing/2014/chart" uri="{C3380CC4-5D6E-409C-BE32-E72D297353CC}">
              <c16:uniqueId val="{00000000-493E-44F3-924B-98F55B0D9A6B}"/>
            </c:ext>
          </c:extLst>
        </c:ser>
        <c:ser>
          <c:idx val="1"/>
          <c:order val="1"/>
          <c:tx>
            <c:strRef>
              <c:f>Nat!$AP$69</c:f>
              <c:strCache>
                <c:ptCount val="1"/>
                <c:pt idx="0">
                  <c:v>2016-18</c:v>
                </c:pt>
              </c:strCache>
            </c:strRef>
          </c:tx>
          <c:spPr>
            <a:solidFill>
              <a:schemeClr val="accent2"/>
            </a:solidFill>
            <a:ln>
              <a:noFill/>
            </a:ln>
            <a:effectLst/>
          </c:spPr>
          <c:invertIfNegative val="0"/>
          <c:cat>
            <c:strRef>
              <c:f>Nat!$AN$70:$AN$79</c:f>
              <c:strCache>
                <c:ptCount val="10"/>
                <c:pt idx="0">
                  <c:v>USA</c:v>
                </c:pt>
                <c:pt idx="1">
                  <c:v>China</c:v>
                </c:pt>
                <c:pt idx="2">
                  <c:v>Austrailia</c:v>
                </c:pt>
                <c:pt idx="3">
                  <c:v>United Kingdom</c:v>
                </c:pt>
                <c:pt idx="4">
                  <c:v>Germany</c:v>
                </c:pt>
                <c:pt idx="5">
                  <c:v>Canada</c:v>
                </c:pt>
                <c:pt idx="6">
                  <c:v>France</c:v>
                </c:pt>
                <c:pt idx="7">
                  <c:v>Netherlands</c:v>
                </c:pt>
                <c:pt idx="8">
                  <c:v>Japan</c:v>
                </c:pt>
                <c:pt idx="9">
                  <c:v>New Zealand</c:v>
                </c:pt>
              </c:strCache>
            </c:strRef>
          </c:cat>
          <c:val>
            <c:numRef>
              <c:f>Nat!$AP$70:$AP$79</c:f>
              <c:numCache>
                <c:formatCode>General</c:formatCode>
                <c:ptCount val="10"/>
                <c:pt idx="0">
                  <c:v>24888</c:v>
                </c:pt>
                <c:pt idx="1">
                  <c:v>11580</c:v>
                </c:pt>
                <c:pt idx="2">
                  <c:v>7815</c:v>
                </c:pt>
                <c:pt idx="3">
                  <c:v>4658</c:v>
                </c:pt>
                <c:pt idx="4">
                  <c:v>4458</c:v>
                </c:pt>
                <c:pt idx="5">
                  <c:v>3299</c:v>
                </c:pt>
                <c:pt idx="6">
                  <c:v>3046</c:v>
                </c:pt>
                <c:pt idx="7">
                  <c:v>1277</c:v>
                </c:pt>
                <c:pt idx="8">
                  <c:v>1203</c:v>
                </c:pt>
                <c:pt idx="9">
                  <c:v>860</c:v>
                </c:pt>
              </c:numCache>
            </c:numRef>
          </c:val>
          <c:extLst>
            <c:ext xmlns:c16="http://schemas.microsoft.com/office/drawing/2014/chart" uri="{C3380CC4-5D6E-409C-BE32-E72D297353CC}">
              <c16:uniqueId val="{00000001-493E-44F3-924B-98F55B0D9A6B}"/>
            </c:ext>
          </c:extLst>
        </c:ser>
        <c:ser>
          <c:idx val="2"/>
          <c:order val="2"/>
          <c:tx>
            <c:strRef>
              <c:f>Nat!$AQ$69</c:f>
              <c:strCache>
                <c:ptCount val="1"/>
                <c:pt idx="0">
                  <c:v>2018-20</c:v>
                </c:pt>
              </c:strCache>
            </c:strRef>
          </c:tx>
          <c:spPr>
            <a:solidFill>
              <a:schemeClr val="accent3"/>
            </a:solidFill>
            <a:ln>
              <a:noFill/>
            </a:ln>
            <a:effectLst/>
          </c:spPr>
          <c:invertIfNegative val="0"/>
          <c:cat>
            <c:strRef>
              <c:f>Nat!$AN$70:$AN$79</c:f>
              <c:strCache>
                <c:ptCount val="10"/>
                <c:pt idx="0">
                  <c:v>USA</c:v>
                </c:pt>
                <c:pt idx="1">
                  <c:v>China</c:v>
                </c:pt>
                <c:pt idx="2">
                  <c:v>Austrailia</c:v>
                </c:pt>
                <c:pt idx="3">
                  <c:v>United Kingdom</c:v>
                </c:pt>
                <c:pt idx="4">
                  <c:v>Germany</c:v>
                </c:pt>
                <c:pt idx="5">
                  <c:v>Canada</c:v>
                </c:pt>
                <c:pt idx="6">
                  <c:v>France</c:v>
                </c:pt>
                <c:pt idx="7">
                  <c:v>Netherlands</c:v>
                </c:pt>
                <c:pt idx="8">
                  <c:v>Japan</c:v>
                </c:pt>
                <c:pt idx="9">
                  <c:v>New Zealand</c:v>
                </c:pt>
              </c:strCache>
            </c:strRef>
          </c:cat>
          <c:val>
            <c:numRef>
              <c:f>Nat!$AQ$70:$AQ$79</c:f>
              <c:numCache>
                <c:formatCode>General</c:formatCode>
                <c:ptCount val="10"/>
                <c:pt idx="0">
                  <c:v>32544</c:v>
                </c:pt>
                <c:pt idx="1">
                  <c:v>14296</c:v>
                </c:pt>
                <c:pt idx="2">
                  <c:v>9523</c:v>
                </c:pt>
                <c:pt idx="3">
                  <c:v>4824</c:v>
                </c:pt>
                <c:pt idx="4">
                  <c:v>5081</c:v>
                </c:pt>
                <c:pt idx="5">
                  <c:v>4310</c:v>
                </c:pt>
                <c:pt idx="6">
                  <c:v>2789</c:v>
                </c:pt>
                <c:pt idx="7">
                  <c:v>1249</c:v>
                </c:pt>
                <c:pt idx="8">
                  <c:v>1071</c:v>
                </c:pt>
                <c:pt idx="9">
                  <c:v>1073</c:v>
                </c:pt>
              </c:numCache>
            </c:numRef>
          </c:val>
          <c:extLst>
            <c:ext xmlns:c16="http://schemas.microsoft.com/office/drawing/2014/chart" uri="{C3380CC4-5D6E-409C-BE32-E72D297353CC}">
              <c16:uniqueId val="{00000002-493E-44F3-924B-98F55B0D9A6B}"/>
            </c:ext>
          </c:extLst>
        </c:ser>
        <c:ser>
          <c:idx val="3"/>
          <c:order val="3"/>
          <c:tx>
            <c:strRef>
              <c:f>Nat!$AR$69</c:f>
              <c:strCache>
                <c:ptCount val="1"/>
                <c:pt idx="0">
                  <c:v>2020-22</c:v>
                </c:pt>
              </c:strCache>
            </c:strRef>
          </c:tx>
          <c:spPr>
            <a:solidFill>
              <a:schemeClr val="accent4"/>
            </a:solidFill>
            <a:ln>
              <a:noFill/>
            </a:ln>
            <a:effectLst/>
          </c:spPr>
          <c:invertIfNegative val="0"/>
          <c:cat>
            <c:strRef>
              <c:f>Nat!$AN$70:$AN$79</c:f>
              <c:strCache>
                <c:ptCount val="10"/>
                <c:pt idx="0">
                  <c:v>USA</c:v>
                </c:pt>
                <c:pt idx="1">
                  <c:v>China</c:v>
                </c:pt>
                <c:pt idx="2">
                  <c:v>Austrailia</c:v>
                </c:pt>
                <c:pt idx="3">
                  <c:v>United Kingdom</c:v>
                </c:pt>
                <c:pt idx="4">
                  <c:v>Germany</c:v>
                </c:pt>
                <c:pt idx="5">
                  <c:v>Canada</c:v>
                </c:pt>
                <c:pt idx="6">
                  <c:v>France</c:v>
                </c:pt>
                <c:pt idx="7">
                  <c:v>Netherlands</c:v>
                </c:pt>
                <c:pt idx="8">
                  <c:v>Japan</c:v>
                </c:pt>
                <c:pt idx="9">
                  <c:v>New Zealand</c:v>
                </c:pt>
              </c:strCache>
            </c:strRef>
          </c:cat>
          <c:val>
            <c:numRef>
              <c:f>Nat!$AR$70:$AR$79</c:f>
              <c:numCache>
                <c:formatCode>General</c:formatCode>
                <c:ptCount val="10"/>
                <c:pt idx="0">
                  <c:v>68072</c:v>
                </c:pt>
                <c:pt idx="1">
                  <c:v>1475</c:v>
                </c:pt>
                <c:pt idx="2">
                  <c:v>7876</c:v>
                </c:pt>
                <c:pt idx="3">
                  <c:v>8971</c:v>
                </c:pt>
                <c:pt idx="4">
                  <c:v>9257</c:v>
                </c:pt>
                <c:pt idx="5">
                  <c:v>6663</c:v>
                </c:pt>
                <c:pt idx="6">
                  <c:v>3586</c:v>
                </c:pt>
                <c:pt idx="7">
                  <c:v>1473</c:v>
                </c:pt>
                <c:pt idx="8">
                  <c:v>331</c:v>
                </c:pt>
                <c:pt idx="9">
                  <c:v>840</c:v>
                </c:pt>
              </c:numCache>
            </c:numRef>
          </c:val>
          <c:extLst>
            <c:ext xmlns:c16="http://schemas.microsoft.com/office/drawing/2014/chart" uri="{C3380CC4-5D6E-409C-BE32-E72D297353CC}">
              <c16:uniqueId val="{00000003-493E-44F3-924B-98F55B0D9A6B}"/>
            </c:ext>
          </c:extLst>
        </c:ser>
        <c:dLbls>
          <c:showLegendKey val="0"/>
          <c:showVal val="0"/>
          <c:showCatName val="0"/>
          <c:showSerName val="0"/>
          <c:showPercent val="0"/>
          <c:showBubbleSize val="0"/>
        </c:dLbls>
        <c:gapWidth val="219"/>
        <c:overlap val="-27"/>
        <c:axId val="157197056"/>
        <c:axId val="157198592"/>
      </c:barChart>
      <c:catAx>
        <c:axId val="157197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57198592"/>
        <c:crosses val="autoZero"/>
        <c:auto val="1"/>
        <c:lblAlgn val="ctr"/>
        <c:lblOffset val="100"/>
        <c:noMultiLvlLbl val="0"/>
      </c:catAx>
      <c:valAx>
        <c:axId val="157198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5719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Deep Field Clients 2012-2022</a:t>
            </a: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strRef>
              <c:f>'M&amp;R'!$A$46:$A$55</c:f>
              <c:strCache>
                <c:ptCount val="10"/>
                <c:pt idx="0">
                  <c:v>2012-13</c:v>
                </c:pt>
                <c:pt idx="1">
                  <c:v>2013-14</c:v>
                </c:pt>
                <c:pt idx="2">
                  <c:v>2014-15</c:v>
                </c:pt>
                <c:pt idx="3">
                  <c:v>2015-16</c:v>
                </c:pt>
                <c:pt idx="4">
                  <c:v>2016-17</c:v>
                </c:pt>
                <c:pt idx="5">
                  <c:v>2017-18</c:v>
                </c:pt>
                <c:pt idx="6">
                  <c:v>2018-19</c:v>
                </c:pt>
                <c:pt idx="7">
                  <c:v>2019-20</c:v>
                </c:pt>
                <c:pt idx="8">
                  <c:v>2021-22</c:v>
                </c:pt>
                <c:pt idx="9">
                  <c:v>2022-23</c:v>
                </c:pt>
              </c:strCache>
            </c:strRef>
          </c:cat>
          <c:val>
            <c:numRef>
              <c:f>'M&amp;R'!$B$46:$B$55</c:f>
              <c:numCache>
                <c:formatCode>General</c:formatCode>
                <c:ptCount val="10"/>
                <c:pt idx="0">
                  <c:v>354</c:v>
                </c:pt>
                <c:pt idx="1">
                  <c:v>361</c:v>
                </c:pt>
                <c:pt idx="2">
                  <c:v>431</c:v>
                </c:pt>
                <c:pt idx="3">
                  <c:v>409</c:v>
                </c:pt>
                <c:pt idx="4">
                  <c:v>452</c:v>
                </c:pt>
                <c:pt idx="5">
                  <c:v>580</c:v>
                </c:pt>
                <c:pt idx="6">
                  <c:v>679</c:v>
                </c:pt>
                <c:pt idx="7">
                  <c:v>731</c:v>
                </c:pt>
                <c:pt idx="8">
                  <c:v>574</c:v>
                </c:pt>
                <c:pt idx="9">
                  <c:v>821</c:v>
                </c:pt>
              </c:numCache>
            </c:numRef>
          </c:val>
          <c:extLst>
            <c:ext xmlns:c16="http://schemas.microsoft.com/office/drawing/2014/chart" uri="{C3380CC4-5D6E-409C-BE32-E72D297353CC}">
              <c16:uniqueId val="{00000000-7561-43C7-8C11-3A6605799172}"/>
            </c:ext>
          </c:extLst>
        </c:ser>
        <c:dLbls>
          <c:showLegendKey val="0"/>
          <c:showVal val="0"/>
          <c:showCatName val="0"/>
          <c:showSerName val="0"/>
          <c:showPercent val="0"/>
          <c:showBubbleSize val="0"/>
        </c:dLbls>
        <c:gapWidth val="182"/>
        <c:axId val="157211648"/>
        <c:axId val="201745152"/>
      </c:barChart>
      <c:catAx>
        <c:axId val="1572116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201745152"/>
        <c:crosses val="autoZero"/>
        <c:auto val="1"/>
        <c:lblAlgn val="ctr"/>
        <c:lblOffset val="100"/>
        <c:noMultiLvlLbl val="0"/>
      </c:catAx>
      <c:valAx>
        <c:axId val="201745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57211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0.00805</cdr:x>
      <cdr:y>0.01266</cdr:y>
    </cdr:from>
    <cdr:to>
      <cdr:x>0.0651</cdr:x>
      <cdr:y>0.13782</cdr:y>
    </cdr:to>
    <cdr:sp macro="" textlink="">
      <cdr:nvSpPr>
        <cdr:cNvPr id="3" name="TextBox 1">
          <a:extLst xmlns:a="http://schemas.openxmlformats.org/drawingml/2006/main">
            <a:ext uri="{FF2B5EF4-FFF2-40B4-BE49-F238E27FC236}">
              <a16:creationId xmlns:a16="http://schemas.microsoft.com/office/drawing/2014/main" id="{91D5C482-F177-3204-768E-5A5E62A5D126}"/>
            </a:ext>
          </a:extLst>
        </cdr:cNvPr>
        <cdr:cNvSpPr txBox="1"/>
      </cdr:nvSpPr>
      <cdr:spPr>
        <a:xfrm xmlns:a="http://schemas.openxmlformats.org/drawingml/2006/main" rot="5400000">
          <a:off x="-20313" y="121913"/>
          <a:ext cx="502305" cy="360079"/>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GB" sz="800">
              <a:solidFill>
                <a:schemeClr val="bg1">
                  <a:lumMod val="50000"/>
                </a:schemeClr>
              </a:solidFill>
            </a:rPr>
            <a:t>Passenger</a:t>
          </a:r>
          <a:r>
            <a:rPr lang="en-GB" sz="800" baseline="0">
              <a:solidFill>
                <a:schemeClr val="bg1">
                  <a:lumMod val="50000"/>
                </a:schemeClr>
              </a:solidFill>
            </a:rPr>
            <a:t> </a:t>
          </a:r>
        </a:p>
        <a:p xmlns:a="http://schemas.openxmlformats.org/drawingml/2006/main">
          <a:r>
            <a:rPr lang="en-GB" sz="800" baseline="0">
              <a:solidFill>
                <a:schemeClr val="bg1">
                  <a:lumMod val="50000"/>
                </a:schemeClr>
              </a:solidFill>
            </a:rPr>
            <a:t>Numbers</a:t>
          </a:r>
          <a:endParaRPr lang="en-GB" sz="800">
            <a:solidFill>
              <a:schemeClr val="bg1">
                <a:lumMod val="50000"/>
              </a:schemeClr>
            </a:solidFill>
          </a:endParaRP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1512</Words>
  <Characters>8628</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2023-05-10T11:43:00Z</dcterms:modified>
</cp:coreProperties>
</file>