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CBFA" w14:textId="77777777" w:rsidR="00C26F2D" w:rsidRPr="00BF077B" w:rsidRDefault="005B13C5" w:rsidP="00BF077B">
      <w:pPr>
        <w:pStyle w:val="ATSNormal"/>
        <w:rPr>
          <w:rStyle w:val="Ttulodellibro"/>
        </w:rPr>
      </w:pPr>
    </w:p>
    <w:p w14:paraId="4265F2E3" w14:textId="77777777" w:rsidR="002F0A13" w:rsidRDefault="005B13C5" w:rsidP="004B4A60">
      <w:pPr>
        <w:rPr>
          <w:b/>
          <w:u w:val="single"/>
          <w:lang w:val="es-ES_tradnl"/>
        </w:rPr>
      </w:pPr>
    </w:p>
    <w:p w14:paraId="5C23C9BA" w14:textId="77777777" w:rsidR="002F0A13" w:rsidRDefault="005B13C5" w:rsidP="004B4A60">
      <w:pPr>
        <w:rPr>
          <w:b/>
          <w:u w:val="single"/>
          <w:lang w:val="es-ES_tradnl"/>
        </w:rPr>
      </w:pPr>
    </w:p>
    <w:p w14:paraId="63FEC78C" w14:textId="77777777" w:rsidR="002F0A13" w:rsidRDefault="005B13C5" w:rsidP="004B4A60">
      <w:pPr>
        <w:rPr>
          <w:b/>
          <w:u w:val="single"/>
          <w:lang w:val="es-ES_tradnl"/>
        </w:rPr>
      </w:pPr>
    </w:p>
    <w:p w14:paraId="403A440A" w14:textId="77777777" w:rsidR="002F0A13" w:rsidRDefault="005B13C5" w:rsidP="004B4A60">
      <w:pPr>
        <w:rPr>
          <w:b/>
          <w:u w:val="single"/>
          <w:lang w:val="es-ES_tradnl"/>
        </w:rPr>
      </w:pPr>
    </w:p>
    <w:p w14:paraId="165108FB" w14:textId="77777777" w:rsidR="00C26F2D" w:rsidRDefault="005B13C5" w:rsidP="004B4A60">
      <w:pPr>
        <w:rPr>
          <w:b/>
          <w:u w:val="single"/>
          <w:lang w:val="es-ES_tradnl"/>
        </w:rPr>
      </w:pPr>
    </w:p>
    <w:p w14:paraId="3DD23464" w14:textId="77777777" w:rsidR="004B4A60" w:rsidRPr="0057246E" w:rsidRDefault="005B13C5" w:rsidP="001B789F">
      <w:pPr>
        <w:pStyle w:val="ATSTitle"/>
      </w:pPr>
      <w:bookmarkStart w:id="0" w:name="name"/>
      <w:r>
        <w:t>Tourism monitoring in Antarctica – Report on the progress in develop-ing a concept for the analysis of the impacts of tourism on the assets to be protected in the Antarctic</w:t>
      </w:r>
      <w:bookmarkEnd w:id="0"/>
    </w:p>
    <w:p w14:paraId="4430A470" w14:textId="77777777" w:rsidR="004B4A60" w:rsidRPr="0057246E" w:rsidRDefault="005B13C5" w:rsidP="00F75424">
      <w:pPr>
        <w:jc w:val="center"/>
      </w:pPr>
    </w:p>
    <w:p w14:paraId="19213ACD" w14:textId="77777777" w:rsidR="004B4A60" w:rsidRPr="002F0A13" w:rsidRDefault="005B13C5" w:rsidP="002F0A13"/>
    <w:p w14:paraId="2AD98358" w14:textId="77777777" w:rsidR="004B4A60" w:rsidRDefault="005B13C5" w:rsidP="00F75424">
      <w:pPr>
        <w:jc w:val="center"/>
      </w:pPr>
      <w:bookmarkStart w:id="1" w:name="memo"/>
      <w:bookmarkEnd w:id="1"/>
    </w:p>
    <w:p w14:paraId="75909BA3" w14:textId="77777777" w:rsidR="0097629D" w:rsidRDefault="005B13C5" w:rsidP="00F75424">
      <w:pPr>
        <w:jc w:val="center"/>
      </w:pPr>
    </w:p>
    <w:p w14:paraId="47AF9FCB" w14:textId="77777777" w:rsidR="0097629D" w:rsidRDefault="005B13C5" w:rsidP="00F75424">
      <w:pPr>
        <w:jc w:val="center"/>
      </w:pPr>
    </w:p>
    <w:p w14:paraId="37921805" w14:textId="77777777" w:rsidR="0097629D" w:rsidRDefault="005B13C5" w:rsidP="00F75424">
      <w:pPr>
        <w:jc w:val="center"/>
      </w:pPr>
    </w:p>
    <w:p w14:paraId="7AB05985" w14:textId="77777777" w:rsidR="0097629D" w:rsidRPr="00C26F2D" w:rsidRDefault="005B13C5" w:rsidP="00F75424">
      <w:pPr>
        <w:jc w:val="center"/>
      </w:pPr>
    </w:p>
    <w:p w14:paraId="5A673E1F" w14:textId="77777777" w:rsidR="004B4A60" w:rsidRPr="0057246E" w:rsidRDefault="005B13C5" w:rsidP="004B4A60"/>
    <w:p w14:paraId="45C72060" w14:textId="77777777" w:rsidR="00C26F2D" w:rsidRDefault="005B13C5"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0ACC795" w14:textId="77777777" w:rsidR="005B13C5" w:rsidRPr="00DE77E5" w:rsidRDefault="005B13C5" w:rsidP="005B13C5">
      <w:pPr>
        <w:pStyle w:val="ATSHeading1"/>
        <w:spacing w:before="120" w:after="120"/>
      </w:pPr>
      <w:r w:rsidRPr="009764FC">
        <w:lastRenderedPageBreak/>
        <w:t>Tourism monitoring in Antarctica – Report on the progress in developing a concept for the analysis of the impacts of tourism on the assets to be protected in the Antarctic</w:t>
      </w:r>
      <w:r w:rsidRPr="00DE77E5">
        <w:t xml:space="preserve"> </w:t>
      </w:r>
    </w:p>
    <w:p w14:paraId="0F718569" w14:textId="77777777" w:rsidR="005B13C5" w:rsidRPr="00DE77E5" w:rsidRDefault="005B13C5" w:rsidP="005B13C5">
      <w:pPr>
        <w:pStyle w:val="ATSHeading2"/>
        <w:jc w:val="left"/>
      </w:pPr>
      <w:r w:rsidRPr="00DE77E5">
        <w:t>Sum</w:t>
      </w:r>
      <w:r>
        <w:t>mary</w:t>
      </w:r>
    </w:p>
    <w:p w14:paraId="1117BE4D" w14:textId="77777777" w:rsidR="005B13C5" w:rsidRPr="00FD301F" w:rsidRDefault="005B13C5" w:rsidP="005B13C5">
      <w:pPr>
        <w:pStyle w:val="ATSHeading2"/>
        <w:spacing w:before="120"/>
        <w:jc w:val="left"/>
        <w:rPr>
          <w:rFonts w:ascii="Times New Roman" w:hAnsi="Times New Roman"/>
          <w:b w:val="0"/>
          <w:i w:val="0"/>
          <w:sz w:val="22"/>
          <w:lang w:eastAsia="en-US"/>
        </w:rPr>
      </w:pPr>
      <w:r>
        <w:rPr>
          <w:rFonts w:ascii="Times New Roman" w:hAnsi="Times New Roman"/>
          <w:b w:val="0"/>
          <w:i w:val="0"/>
          <w:sz w:val="22"/>
          <w:lang w:eastAsia="en-US"/>
        </w:rPr>
        <w:t>The continued expansion of Antarctic tourism involves the risk that the environmental impacts will be more than minor or transitory. The sensitive Antarctic ecosystem is exposed to multiple human pressures and repeated visits to sites can lead to changes, which are not necessarily linear but can occur rapidly with only limited potential for recovery. However, we do not know enough about</w:t>
      </w:r>
      <w:r w:rsidRPr="003E7017">
        <w:rPr>
          <w:rFonts w:ascii="Times New Roman" w:hAnsi="Times New Roman"/>
          <w:b w:val="0"/>
          <w:i w:val="0"/>
          <w:sz w:val="22"/>
          <w:lang w:eastAsia="en-US"/>
        </w:rPr>
        <w:t xml:space="preserve"> the long-term and cumulative impacts of tourism, and </w:t>
      </w:r>
      <w:r>
        <w:rPr>
          <w:rFonts w:ascii="Times New Roman" w:hAnsi="Times New Roman"/>
          <w:b w:val="0"/>
          <w:i w:val="0"/>
          <w:sz w:val="22"/>
          <w:lang w:eastAsia="en-US"/>
        </w:rPr>
        <w:t xml:space="preserve">also </w:t>
      </w:r>
      <w:r w:rsidRPr="003E7017">
        <w:rPr>
          <w:rFonts w:ascii="Times New Roman" w:hAnsi="Times New Roman"/>
          <w:b w:val="0"/>
          <w:i w:val="0"/>
          <w:sz w:val="22"/>
          <w:lang w:eastAsia="en-US"/>
        </w:rPr>
        <w:t xml:space="preserve">little is known about the </w:t>
      </w:r>
      <w:r w:rsidRPr="00FD301F">
        <w:rPr>
          <w:rFonts w:ascii="Times New Roman" w:hAnsi="Times New Roman"/>
          <w:b w:val="0"/>
          <w:i w:val="0"/>
          <w:sz w:val="22"/>
          <w:lang w:eastAsia="en-US"/>
        </w:rPr>
        <w:t xml:space="preserve">effectiveness of </w:t>
      </w:r>
      <w:r w:rsidRPr="003E7017">
        <w:rPr>
          <w:rFonts w:ascii="Times New Roman" w:hAnsi="Times New Roman"/>
          <w:b w:val="0"/>
          <w:i w:val="0"/>
          <w:sz w:val="22"/>
          <w:lang w:eastAsia="en-US"/>
        </w:rPr>
        <w:t>current</w:t>
      </w:r>
      <w:r w:rsidRPr="00FD301F">
        <w:rPr>
          <w:rFonts w:ascii="Times New Roman" w:hAnsi="Times New Roman"/>
          <w:b w:val="0"/>
          <w:i w:val="0"/>
          <w:sz w:val="22"/>
          <w:lang w:eastAsia="en-US"/>
        </w:rPr>
        <w:t xml:space="preserve"> </w:t>
      </w:r>
      <w:r w:rsidRPr="003E7017">
        <w:rPr>
          <w:rFonts w:ascii="Times New Roman" w:hAnsi="Times New Roman"/>
          <w:b w:val="0"/>
          <w:i w:val="0"/>
          <w:sz w:val="22"/>
          <w:lang w:eastAsia="en-US"/>
        </w:rPr>
        <w:t xml:space="preserve">tourism </w:t>
      </w:r>
      <w:r w:rsidRPr="00FD301F">
        <w:rPr>
          <w:rFonts w:ascii="Times New Roman" w:hAnsi="Times New Roman"/>
          <w:b w:val="0"/>
          <w:i w:val="0"/>
          <w:sz w:val="22"/>
          <w:lang w:eastAsia="en-US"/>
        </w:rPr>
        <w:t xml:space="preserve">management </w:t>
      </w:r>
      <w:r w:rsidRPr="003E7017">
        <w:rPr>
          <w:rFonts w:ascii="Times New Roman" w:hAnsi="Times New Roman"/>
          <w:b w:val="0"/>
          <w:i w:val="0"/>
          <w:sz w:val="22"/>
          <w:lang w:eastAsia="en-US"/>
        </w:rPr>
        <w:t xml:space="preserve">measures. </w:t>
      </w:r>
      <w:r w:rsidRPr="00FD301F">
        <w:rPr>
          <w:rFonts w:ascii="Times New Roman" w:hAnsi="Times New Roman"/>
          <w:b w:val="0"/>
          <w:i w:val="0"/>
          <w:sz w:val="22"/>
          <w:lang w:eastAsia="en-US"/>
        </w:rPr>
        <w:t xml:space="preserve">The German Environment Agency (UBA) therefore initiated a research project to develop a </w:t>
      </w:r>
      <w:r w:rsidRPr="003E7017">
        <w:rPr>
          <w:rFonts w:ascii="Times New Roman" w:hAnsi="Times New Roman"/>
          <w:b w:val="0"/>
          <w:i w:val="0"/>
          <w:sz w:val="22"/>
          <w:lang w:eastAsia="en-US"/>
        </w:rPr>
        <w:t xml:space="preserve">comprehensive </w:t>
      </w:r>
      <w:r w:rsidRPr="00FD301F">
        <w:rPr>
          <w:rFonts w:ascii="Times New Roman" w:hAnsi="Times New Roman"/>
          <w:b w:val="0"/>
          <w:i w:val="0"/>
          <w:sz w:val="22"/>
          <w:lang w:eastAsia="en-US"/>
        </w:rPr>
        <w:t xml:space="preserve">monitoring concept to investigate and monitor the </w:t>
      </w:r>
      <w:r w:rsidRPr="003E7017">
        <w:rPr>
          <w:rFonts w:ascii="Times New Roman" w:hAnsi="Times New Roman"/>
          <w:b w:val="0"/>
          <w:i w:val="0"/>
          <w:sz w:val="22"/>
          <w:lang w:eastAsia="en-US"/>
        </w:rPr>
        <w:t>environmental</w:t>
      </w:r>
      <w:r w:rsidRPr="00FD301F">
        <w:rPr>
          <w:rFonts w:ascii="Times New Roman" w:hAnsi="Times New Roman"/>
          <w:b w:val="0"/>
          <w:i w:val="0"/>
          <w:sz w:val="22"/>
          <w:lang w:eastAsia="en-US"/>
        </w:rPr>
        <w:t xml:space="preserve"> impacts of tourism in Antarctica. </w:t>
      </w:r>
      <w:r w:rsidRPr="003E7017">
        <w:rPr>
          <w:rFonts w:ascii="Times New Roman" w:hAnsi="Times New Roman"/>
          <w:b w:val="0"/>
          <w:i w:val="0"/>
          <w:sz w:val="22"/>
          <w:lang w:eastAsia="en-US"/>
        </w:rPr>
        <w:t xml:space="preserve">This IP provides an update on the progress of the project as well as an outlook on next steps.  </w:t>
      </w:r>
    </w:p>
    <w:p w14:paraId="56EC4971" w14:textId="77777777" w:rsidR="005B13C5" w:rsidRPr="00B222D6" w:rsidRDefault="005B13C5" w:rsidP="005B13C5">
      <w:pPr>
        <w:pStyle w:val="ATSHeading2"/>
        <w:spacing w:before="240"/>
        <w:jc w:val="left"/>
        <w:rPr>
          <w:rFonts w:cs="Arial"/>
          <w:szCs w:val="24"/>
        </w:rPr>
      </w:pPr>
      <w:r w:rsidRPr="00B222D6">
        <w:rPr>
          <w:rFonts w:cs="Arial"/>
          <w:szCs w:val="24"/>
        </w:rPr>
        <w:t>Background</w:t>
      </w:r>
    </w:p>
    <w:p w14:paraId="41CA5A1A" w14:textId="77777777" w:rsidR="005B13C5" w:rsidRDefault="005B13C5" w:rsidP="005B13C5">
      <w:pPr>
        <w:pStyle w:val="ATSNormal"/>
        <w:rPr>
          <w:lang w:eastAsia="en-US"/>
        </w:rPr>
      </w:pPr>
      <w:bookmarkStart w:id="8" w:name="_Hlk97646355"/>
      <w:r w:rsidRPr="43021627">
        <w:rPr>
          <w:lang w:eastAsia="en-US"/>
        </w:rPr>
        <w:t>Since the 90s, visitor numbers have increased rapidly and reached a preliminary peak in the 2019/2020 season, which was already influenced through the onset of the COVID-19 pandemic. The pandemic has not ended the overall upward trend, as a new record</w:t>
      </w:r>
      <w:r>
        <w:rPr>
          <w:lang w:eastAsia="en-US"/>
        </w:rPr>
        <w:t xml:space="preserve"> number of visitors was reached</w:t>
      </w:r>
      <w:r w:rsidRPr="43021627">
        <w:rPr>
          <w:lang w:eastAsia="en-US"/>
        </w:rPr>
        <w:t xml:space="preserve"> </w:t>
      </w:r>
      <w:r>
        <w:rPr>
          <w:lang w:eastAsia="en-US"/>
        </w:rPr>
        <w:t>in</w:t>
      </w:r>
      <w:r w:rsidRPr="43021627">
        <w:rPr>
          <w:lang w:eastAsia="en-US"/>
        </w:rPr>
        <w:t xml:space="preserve"> the 2022/23 season</w:t>
      </w:r>
      <w:r>
        <w:rPr>
          <w:lang w:eastAsia="en-US"/>
        </w:rPr>
        <w:t xml:space="preserve"> with more than 100.000 tourists visiting the Antarctic</w:t>
      </w:r>
      <w:r w:rsidRPr="43021627">
        <w:rPr>
          <w:lang w:eastAsia="en-US"/>
        </w:rPr>
        <w:t>. Besides, new tourist activities are emerging</w:t>
      </w:r>
      <w:r>
        <w:rPr>
          <w:lang w:eastAsia="en-US"/>
        </w:rPr>
        <w:t xml:space="preserve">, diversifying </w:t>
      </w:r>
      <w:r w:rsidRPr="43021627">
        <w:rPr>
          <w:lang w:eastAsia="en-US"/>
        </w:rPr>
        <w:t>Antarctic tourism. Antarctic ecosystems are highly sensitive due to the isolation of the Antarctic continent and the extreme conditions under which flora and fauna have evolved. Increasing pressures from tourism therefore</w:t>
      </w:r>
      <w:r>
        <w:rPr>
          <w:lang w:eastAsia="en-US"/>
        </w:rPr>
        <w:t xml:space="preserve"> </w:t>
      </w:r>
      <w:r w:rsidRPr="43021627">
        <w:rPr>
          <w:lang w:eastAsia="en-US"/>
        </w:rPr>
        <w:t>potential</w:t>
      </w:r>
      <w:r>
        <w:rPr>
          <w:lang w:eastAsia="en-US"/>
        </w:rPr>
        <w:t xml:space="preserve">ly </w:t>
      </w:r>
      <w:r w:rsidRPr="43021627">
        <w:rPr>
          <w:lang w:eastAsia="en-US"/>
        </w:rPr>
        <w:t>contribute to the degradation of the environment or some of its individual components</w:t>
      </w:r>
      <w:r>
        <w:rPr>
          <w:lang w:eastAsia="en-US"/>
        </w:rPr>
        <w:t xml:space="preserve"> and values</w:t>
      </w:r>
      <w:r w:rsidRPr="43021627">
        <w:rPr>
          <w:lang w:eastAsia="en-US"/>
        </w:rPr>
        <w:t xml:space="preserve">. Despite growing concerns over the sustainability of tourism, the Antarctic Treaty Consultative Parties (ATCPs) have </w:t>
      </w:r>
      <w:r>
        <w:rPr>
          <w:lang w:eastAsia="en-US"/>
        </w:rPr>
        <w:t xml:space="preserve">so far </w:t>
      </w:r>
      <w:r w:rsidRPr="43021627">
        <w:rPr>
          <w:lang w:eastAsia="en-US"/>
        </w:rPr>
        <w:t>been unable to agree on a com</w:t>
      </w:r>
      <w:r>
        <w:rPr>
          <w:lang w:eastAsia="en-US"/>
        </w:rPr>
        <w:t>prehensive</w:t>
      </w:r>
      <w:r w:rsidRPr="43021627">
        <w:rPr>
          <w:lang w:eastAsia="en-US"/>
        </w:rPr>
        <w:t xml:space="preserve"> approach to regulate and manage tourism.</w:t>
      </w:r>
    </w:p>
    <w:p w14:paraId="0AEF806C" w14:textId="77777777" w:rsidR="005B13C5" w:rsidRPr="002655EA" w:rsidRDefault="005B13C5" w:rsidP="005B13C5">
      <w:pPr>
        <w:spacing w:before="120" w:after="120"/>
        <w:rPr>
          <w:color w:val="BFBFBF" w:themeColor="background1" w:themeShade="BF"/>
        </w:rPr>
      </w:pPr>
      <w:r>
        <w:t xml:space="preserve">Knowledge on the cumulative and long-term impacts of tourism should form the basis to manage and regulate tourism effectively and proactively. However, the knowledge of the impacts of tourism is limited to some impacts, which have been researched extensively, such as potential effects on penguin and seabird populations. Other impacts have not received sufficient attention and remain widely unknown. Therefore, UBA commissioned a research project with funding from the Federal Ministry for the Environment, Nature Conservation, Nuclear Safety and Consumer Protection to develop a monitoring concept to reveal the overall and long-term impacts of tourism. </w:t>
      </w:r>
    </w:p>
    <w:bookmarkEnd w:id="8"/>
    <w:p w14:paraId="211E7512" w14:textId="77777777" w:rsidR="005B13C5" w:rsidRPr="00B222D6" w:rsidRDefault="005B13C5" w:rsidP="005B13C5">
      <w:pPr>
        <w:pStyle w:val="ATSHeading2"/>
        <w:spacing w:before="240"/>
        <w:jc w:val="left"/>
        <w:rPr>
          <w:rFonts w:cs="Arial"/>
          <w:szCs w:val="24"/>
        </w:rPr>
      </w:pPr>
      <w:r w:rsidRPr="00B222D6">
        <w:rPr>
          <w:rFonts w:cs="Arial"/>
          <w:szCs w:val="24"/>
        </w:rPr>
        <w:t xml:space="preserve">Aim and </w:t>
      </w:r>
      <w:r>
        <w:rPr>
          <w:rFonts w:cs="Arial"/>
          <w:szCs w:val="24"/>
        </w:rPr>
        <w:t>scope</w:t>
      </w:r>
      <w:r w:rsidRPr="00B222D6">
        <w:rPr>
          <w:rFonts w:cs="Arial"/>
          <w:szCs w:val="24"/>
        </w:rPr>
        <w:t xml:space="preserve"> of the project</w:t>
      </w:r>
    </w:p>
    <w:p w14:paraId="287DF21B" w14:textId="77777777" w:rsidR="005B13C5" w:rsidRDefault="005B13C5" w:rsidP="005B13C5">
      <w:pPr>
        <w:pStyle w:val="ATSHeading2"/>
        <w:spacing w:before="120"/>
        <w:jc w:val="left"/>
        <w:rPr>
          <w:rFonts w:ascii="Times New Roman" w:hAnsi="Times New Roman"/>
          <w:b w:val="0"/>
          <w:i w:val="0"/>
          <w:sz w:val="22"/>
        </w:rPr>
      </w:pPr>
      <w:r w:rsidRPr="00071A7E">
        <w:rPr>
          <w:rFonts w:ascii="Times New Roman" w:hAnsi="Times New Roman"/>
          <w:b w:val="0"/>
          <w:i w:val="0"/>
          <w:sz w:val="22"/>
        </w:rPr>
        <w:t xml:space="preserve">In this project, </w:t>
      </w:r>
      <w:r>
        <w:rPr>
          <w:rFonts w:ascii="Times New Roman" w:hAnsi="Times New Roman"/>
          <w:b w:val="0"/>
          <w:i w:val="0"/>
          <w:sz w:val="22"/>
        </w:rPr>
        <w:t xml:space="preserve">a </w:t>
      </w:r>
      <w:r w:rsidRPr="00071A7E">
        <w:rPr>
          <w:rFonts w:ascii="Times New Roman" w:hAnsi="Times New Roman"/>
          <w:b w:val="0"/>
          <w:i w:val="0"/>
          <w:sz w:val="22"/>
        </w:rPr>
        <w:t xml:space="preserve">comprehensive long-term </w:t>
      </w:r>
      <w:r>
        <w:rPr>
          <w:rFonts w:ascii="Times New Roman" w:hAnsi="Times New Roman"/>
          <w:b w:val="0"/>
          <w:i w:val="0"/>
          <w:sz w:val="22"/>
        </w:rPr>
        <w:t xml:space="preserve">monitoring system </w:t>
      </w:r>
      <w:r w:rsidRPr="00071A7E">
        <w:rPr>
          <w:rFonts w:ascii="Times New Roman" w:hAnsi="Times New Roman"/>
          <w:b w:val="0"/>
          <w:i w:val="0"/>
          <w:sz w:val="22"/>
        </w:rPr>
        <w:t xml:space="preserve">for frequently visited tourist sites in the Antarctic </w:t>
      </w:r>
      <w:r>
        <w:rPr>
          <w:rFonts w:ascii="Times New Roman" w:hAnsi="Times New Roman"/>
          <w:b w:val="0"/>
          <w:i w:val="0"/>
          <w:sz w:val="22"/>
        </w:rPr>
        <w:t>will be developed to s</w:t>
      </w:r>
      <w:r w:rsidRPr="002A640B">
        <w:rPr>
          <w:rFonts w:ascii="Times New Roman" w:hAnsi="Times New Roman"/>
          <w:b w:val="0"/>
          <w:i w:val="0"/>
          <w:sz w:val="22"/>
        </w:rPr>
        <w:t xml:space="preserve">ystematically detect the impacts of tourist activities </w:t>
      </w:r>
      <w:r w:rsidRPr="00071A7E">
        <w:rPr>
          <w:rFonts w:ascii="Times New Roman" w:hAnsi="Times New Roman"/>
          <w:b w:val="0"/>
          <w:i w:val="0"/>
          <w:sz w:val="22"/>
        </w:rPr>
        <w:t>on the assets to be protected as defined in the Protocol on Environmental Protection to the Antarctic Treaty</w:t>
      </w:r>
      <w:r>
        <w:rPr>
          <w:rFonts w:ascii="Times New Roman" w:hAnsi="Times New Roman"/>
          <w:b w:val="0"/>
          <w:i w:val="0"/>
          <w:sz w:val="22"/>
        </w:rPr>
        <w:t xml:space="preserve"> (the Protocol, </w:t>
      </w:r>
      <w:r w:rsidRPr="00CC0502">
        <w:rPr>
          <w:rFonts w:ascii="Times New Roman" w:hAnsi="Times New Roman"/>
          <w:b w:val="0"/>
          <w:i w:val="0"/>
          <w:sz w:val="22"/>
        </w:rPr>
        <w:t>Article 3, para. 2 b</w:t>
      </w:r>
      <w:r>
        <w:rPr>
          <w:rFonts w:ascii="Times New Roman" w:hAnsi="Times New Roman"/>
          <w:b w:val="0"/>
          <w:i w:val="0"/>
          <w:sz w:val="22"/>
        </w:rPr>
        <w:t>)</w:t>
      </w:r>
      <w:r w:rsidRPr="002A640B">
        <w:rPr>
          <w:rFonts w:ascii="Times New Roman" w:hAnsi="Times New Roman"/>
          <w:b w:val="0"/>
          <w:i w:val="0"/>
          <w:sz w:val="22"/>
        </w:rPr>
        <w:t>.</w:t>
      </w:r>
      <w:r>
        <w:rPr>
          <w:rFonts w:ascii="Times New Roman" w:hAnsi="Times New Roman"/>
          <w:b w:val="0"/>
          <w:i w:val="0"/>
          <w:sz w:val="22"/>
        </w:rPr>
        <w:t xml:space="preserve"> The results of the monitoring will establish a comprehensive knowledge base to decide on the future management and regulation of tourist activities. </w:t>
      </w:r>
    </w:p>
    <w:p w14:paraId="02BDC2FD" w14:textId="77777777" w:rsidR="005B13C5" w:rsidRPr="003D7EAA" w:rsidRDefault="005B13C5" w:rsidP="005B13C5">
      <w:pPr>
        <w:pStyle w:val="ATSHeading2"/>
        <w:spacing w:before="120"/>
        <w:jc w:val="left"/>
        <w:rPr>
          <w:rFonts w:ascii="Times New Roman" w:hAnsi="Times New Roman"/>
          <w:b w:val="0"/>
          <w:i w:val="0"/>
          <w:sz w:val="22"/>
        </w:rPr>
      </w:pPr>
      <w:r w:rsidRPr="003D7EAA">
        <w:rPr>
          <w:rFonts w:ascii="Times New Roman" w:hAnsi="Times New Roman"/>
          <w:b w:val="0"/>
          <w:i w:val="0"/>
          <w:sz w:val="22"/>
        </w:rPr>
        <w:t>The project has started in September 2021 and will end in September 2024.</w:t>
      </w:r>
      <w:r>
        <w:rPr>
          <w:rFonts w:ascii="Times New Roman" w:hAnsi="Times New Roman"/>
          <w:b w:val="0"/>
          <w:i w:val="0"/>
          <w:sz w:val="22"/>
        </w:rPr>
        <w:t xml:space="preserve"> </w:t>
      </w:r>
      <w:r w:rsidRPr="00071A7E">
        <w:rPr>
          <w:rFonts w:ascii="Times New Roman" w:hAnsi="Times New Roman"/>
          <w:b w:val="0"/>
          <w:i w:val="0"/>
          <w:sz w:val="22"/>
        </w:rPr>
        <w:t xml:space="preserve">UBA, as representative of Germany in the CEP, will make the </w:t>
      </w:r>
      <w:r>
        <w:rPr>
          <w:rFonts w:ascii="Times New Roman" w:hAnsi="Times New Roman"/>
          <w:b w:val="0"/>
          <w:i w:val="0"/>
          <w:sz w:val="22"/>
        </w:rPr>
        <w:t>outcomes</w:t>
      </w:r>
      <w:r w:rsidRPr="00071A7E">
        <w:rPr>
          <w:rFonts w:ascii="Times New Roman" w:hAnsi="Times New Roman"/>
          <w:b w:val="0"/>
          <w:i w:val="0"/>
          <w:sz w:val="22"/>
        </w:rPr>
        <w:t xml:space="preserve"> of this project available to the community of Antarctic Treaty Parties</w:t>
      </w:r>
      <w:r>
        <w:rPr>
          <w:rFonts w:ascii="Times New Roman" w:hAnsi="Times New Roman"/>
          <w:b w:val="0"/>
          <w:i w:val="0"/>
          <w:sz w:val="22"/>
        </w:rPr>
        <w:t xml:space="preserve"> and other stakeholders</w:t>
      </w:r>
      <w:r w:rsidRPr="00071A7E">
        <w:rPr>
          <w:rFonts w:ascii="Times New Roman" w:hAnsi="Times New Roman"/>
          <w:b w:val="0"/>
          <w:i w:val="0"/>
          <w:sz w:val="22"/>
        </w:rPr>
        <w:t xml:space="preserve"> and thus contribute to the </w:t>
      </w:r>
      <w:r>
        <w:rPr>
          <w:rFonts w:ascii="Times New Roman" w:hAnsi="Times New Roman"/>
          <w:b w:val="0"/>
          <w:i w:val="0"/>
          <w:sz w:val="22"/>
        </w:rPr>
        <w:t>advancement</w:t>
      </w:r>
      <w:r w:rsidRPr="00071A7E">
        <w:rPr>
          <w:rFonts w:ascii="Times New Roman" w:hAnsi="Times New Roman"/>
          <w:b w:val="0"/>
          <w:i w:val="0"/>
          <w:sz w:val="22"/>
        </w:rPr>
        <w:t xml:space="preserve"> of international environmental protection in the Antarctic.</w:t>
      </w:r>
    </w:p>
    <w:p w14:paraId="44EE1AD5" w14:textId="77777777" w:rsidR="005B13C5" w:rsidRPr="00BE563B" w:rsidRDefault="005B13C5" w:rsidP="005B13C5">
      <w:pPr>
        <w:pStyle w:val="ATSHeading2"/>
        <w:spacing w:before="240"/>
        <w:jc w:val="left"/>
        <w:rPr>
          <w:rFonts w:cs="Arial"/>
          <w:szCs w:val="24"/>
          <w:lang w:val="en-US"/>
        </w:rPr>
      </w:pPr>
      <w:r>
        <w:rPr>
          <w:rFonts w:cs="Arial"/>
          <w:szCs w:val="24"/>
          <w:lang w:val="en-US"/>
        </w:rPr>
        <w:t>Approach and current status</w:t>
      </w:r>
    </w:p>
    <w:p w14:paraId="7D883CB0" w14:textId="77777777" w:rsidR="005B13C5" w:rsidRDefault="005B13C5" w:rsidP="005B13C5">
      <w:pPr>
        <w:autoSpaceDE w:val="0"/>
        <w:autoSpaceDN w:val="0"/>
        <w:adjustRightInd w:val="0"/>
        <w:spacing w:before="120" w:after="120"/>
        <w:rPr>
          <w:lang w:eastAsia="es-AR"/>
        </w:rPr>
      </w:pPr>
      <w:r w:rsidRPr="0017754D">
        <w:rPr>
          <w:szCs w:val="22"/>
          <w:lang w:eastAsia="es-AR"/>
        </w:rPr>
        <w:lastRenderedPageBreak/>
        <w:t xml:space="preserve">The development of the monitoring concept </w:t>
      </w:r>
      <w:r>
        <w:rPr>
          <w:szCs w:val="22"/>
          <w:lang w:eastAsia="es-AR"/>
        </w:rPr>
        <w:t xml:space="preserve">primarily relies </w:t>
      </w:r>
      <w:r w:rsidRPr="0017754D">
        <w:rPr>
          <w:szCs w:val="22"/>
          <w:lang w:eastAsia="es-AR"/>
        </w:rPr>
        <w:t xml:space="preserve">on a review of scientific literature </w:t>
      </w:r>
      <w:r>
        <w:rPr>
          <w:szCs w:val="22"/>
          <w:lang w:eastAsia="es-AR"/>
        </w:rPr>
        <w:t xml:space="preserve">and existing monitoring systems. </w:t>
      </w:r>
      <w:r w:rsidRPr="0072451A">
        <w:rPr>
          <w:szCs w:val="22"/>
          <w:lang w:eastAsia="es-AR"/>
        </w:rPr>
        <w:t>In a first step</w:t>
      </w:r>
      <w:r>
        <w:rPr>
          <w:szCs w:val="22"/>
          <w:lang w:eastAsia="es-AR"/>
        </w:rPr>
        <w:t>,</w:t>
      </w:r>
      <w:r w:rsidRPr="0072451A">
        <w:rPr>
          <w:szCs w:val="22"/>
          <w:lang w:eastAsia="es-AR"/>
        </w:rPr>
        <w:t xml:space="preserve"> </w:t>
      </w:r>
      <w:r w:rsidRPr="0072451A">
        <w:rPr>
          <w:lang w:eastAsia="es-AR"/>
        </w:rPr>
        <w:t xml:space="preserve">documents on the impacts of tourism activities on the Antarctic environment and, in particular, on the assets to be protected according to Art. 3 </w:t>
      </w:r>
      <w:r>
        <w:rPr>
          <w:lang w:eastAsia="es-AR"/>
        </w:rPr>
        <w:t>(</w:t>
      </w:r>
      <w:r w:rsidRPr="0072451A">
        <w:rPr>
          <w:lang w:eastAsia="es-AR"/>
        </w:rPr>
        <w:t xml:space="preserve">para. 2 b) </w:t>
      </w:r>
      <w:r>
        <w:rPr>
          <w:lang w:eastAsia="es-AR"/>
        </w:rPr>
        <w:t xml:space="preserve">of the Protocol </w:t>
      </w:r>
      <w:r w:rsidRPr="0072451A">
        <w:rPr>
          <w:lang w:eastAsia="es-AR"/>
        </w:rPr>
        <w:t>have been systematically compiled</w:t>
      </w:r>
      <w:r>
        <w:rPr>
          <w:lang w:eastAsia="es-AR"/>
        </w:rPr>
        <w:t xml:space="preserve">. </w:t>
      </w:r>
      <w:r w:rsidRPr="0072451A">
        <w:rPr>
          <w:lang w:eastAsia="es-AR"/>
        </w:rPr>
        <w:t>In addition, so-called "citizen science projects" were included in the research.</w:t>
      </w:r>
    </w:p>
    <w:p w14:paraId="6E8D1E93" w14:textId="77777777" w:rsidR="005B13C5" w:rsidRDefault="005B13C5" w:rsidP="005B13C5">
      <w:pPr>
        <w:autoSpaceDE w:val="0"/>
        <w:autoSpaceDN w:val="0"/>
        <w:adjustRightInd w:val="0"/>
        <w:spacing w:before="120" w:after="120"/>
        <w:rPr>
          <w:lang w:eastAsia="es-AR"/>
        </w:rPr>
      </w:pPr>
      <w:r>
        <w:rPr>
          <w:lang w:eastAsia="es-AR"/>
        </w:rPr>
        <w:t>The documents were then used to identify indicators and monitoring methods a</w:t>
      </w:r>
      <w:r w:rsidRPr="00215830">
        <w:rPr>
          <w:lang w:eastAsia="es-AR"/>
        </w:rPr>
        <w:t xml:space="preserve">long the </w:t>
      </w:r>
      <w:r>
        <w:rPr>
          <w:lang w:eastAsia="es-AR"/>
        </w:rPr>
        <w:t xml:space="preserve">elements of the </w:t>
      </w:r>
      <w:r w:rsidRPr="00215830">
        <w:rPr>
          <w:lang w:eastAsia="es-AR"/>
        </w:rPr>
        <w:t>DPSIR (Driv</w:t>
      </w:r>
      <w:r>
        <w:rPr>
          <w:lang w:eastAsia="es-AR"/>
        </w:rPr>
        <w:t>ers</w:t>
      </w:r>
      <w:r w:rsidRPr="00215830">
        <w:rPr>
          <w:lang w:eastAsia="es-AR"/>
        </w:rPr>
        <w:t>, Pressures, State, Impacts and Responses) concept</w:t>
      </w:r>
      <w:r>
        <w:rPr>
          <w:lang w:eastAsia="es-AR"/>
        </w:rPr>
        <w:t xml:space="preserve">, which was </w:t>
      </w:r>
      <w:r w:rsidRPr="00215830">
        <w:rPr>
          <w:lang w:eastAsia="es-AR"/>
        </w:rPr>
        <w:t>developed by the European Environment Agency (EEA</w:t>
      </w:r>
      <w:r>
        <w:rPr>
          <w:lang w:eastAsia="es-AR"/>
        </w:rPr>
        <w:t xml:space="preserve">) in </w:t>
      </w:r>
      <w:r w:rsidRPr="00215830">
        <w:rPr>
          <w:lang w:eastAsia="es-AR"/>
        </w:rPr>
        <w:t>1999</w:t>
      </w:r>
      <w:r>
        <w:rPr>
          <w:lang w:eastAsia="es-AR"/>
        </w:rPr>
        <w:t xml:space="preserve"> </w:t>
      </w:r>
      <w:r w:rsidRPr="00A80EC3">
        <w:t xml:space="preserve">and </w:t>
      </w:r>
      <w:r>
        <w:t>has</w:t>
      </w:r>
      <w:r w:rsidRPr="00A80EC3">
        <w:t xml:space="preserve"> been widely used since then</w:t>
      </w:r>
      <w:r w:rsidRPr="00215830">
        <w:rPr>
          <w:lang w:eastAsia="es-AR"/>
        </w:rPr>
        <w:t xml:space="preserve">. This model </w:t>
      </w:r>
      <w:r>
        <w:rPr>
          <w:lang w:eastAsia="es-AR"/>
        </w:rPr>
        <w:t xml:space="preserve">aims to </w:t>
      </w:r>
      <w:r w:rsidRPr="00215830">
        <w:rPr>
          <w:lang w:eastAsia="es-AR"/>
        </w:rPr>
        <w:t>reflect the relations between the environmental and the human system</w:t>
      </w:r>
      <w:r>
        <w:rPr>
          <w:lang w:eastAsia="es-AR"/>
        </w:rPr>
        <w:t xml:space="preserve"> through </w:t>
      </w:r>
      <w:r w:rsidRPr="00215830">
        <w:rPr>
          <w:lang w:eastAsia="es-AR"/>
        </w:rPr>
        <w:t>simple causal relations.</w:t>
      </w:r>
      <w:r>
        <w:rPr>
          <w:lang w:eastAsia="es-AR"/>
        </w:rPr>
        <w:t xml:space="preserve"> One example for such a causal chain for the Driver “Movement on land” is depicted below. </w:t>
      </w:r>
      <w:r w:rsidRPr="00215830">
        <w:rPr>
          <w:lang w:eastAsia="es-AR"/>
        </w:rPr>
        <w:t xml:space="preserve"> </w:t>
      </w:r>
    </w:p>
    <w:p w14:paraId="36DAEA4F" w14:textId="77777777" w:rsidR="005B13C5" w:rsidRDefault="005B13C5" w:rsidP="005B13C5">
      <w:pPr>
        <w:keepNext/>
        <w:autoSpaceDE w:val="0"/>
        <w:autoSpaceDN w:val="0"/>
        <w:adjustRightInd w:val="0"/>
        <w:spacing w:before="120" w:after="120"/>
        <w:jc w:val="both"/>
      </w:pPr>
      <w:r>
        <w:rPr>
          <w:noProof/>
          <w:lang w:val="de-DE" w:eastAsia="de-DE"/>
        </w:rPr>
        <w:drawing>
          <wp:inline distT="0" distB="0" distL="0" distR="0" wp14:anchorId="7B19B02D" wp14:editId="2388B8AB">
            <wp:extent cx="5099539" cy="3674906"/>
            <wp:effectExtent l="0" t="0" r="6350" b="1905"/>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1"/>
                    <a:stretch>
                      <a:fillRect/>
                    </a:stretch>
                  </pic:blipFill>
                  <pic:spPr>
                    <a:xfrm>
                      <a:off x="0" y="0"/>
                      <a:ext cx="5107037" cy="3680309"/>
                    </a:xfrm>
                    <a:prstGeom prst="rect">
                      <a:avLst/>
                    </a:prstGeom>
                  </pic:spPr>
                </pic:pic>
              </a:graphicData>
            </a:graphic>
          </wp:inline>
        </w:drawing>
      </w:r>
    </w:p>
    <w:p w14:paraId="075BAAC0" w14:textId="77777777" w:rsidR="005B13C5" w:rsidRDefault="005B13C5" w:rsidP="005B13C5">
      <w:pPr>
        <w:pStyle w:val="Descripcin"/>
        <w:jc w:val="both"/>
        <w:rPr>
          <w:lang w:eastAsia="es-AR"/>
        </w:rPr>
      </w:pPr>
      <w:r>
        <w:t xml:space="preserve">Figure </w:t>
      </w:r>
      <w:r>
        <w:fldChar w:fldCharType="begin"/>
      </w:r>
      <w:r>
        <w:instrText xml:space="preserve"> SEQ Figure \* ARABIC </w:instrText>
      </w:r>
      <w:r>
        <w:fldChar w:fldCharType="separate"/>
      </w:r>
      <w:r>
        <w:rPr>
          <w:noProof/>
        </w:rPr>
        <w:t>1</w:t>
      </w:r>
      <w:r>
        <w:fldChar w:fldCharType="end"/>
      </w:r>
      <w:r>
        <w:t xml:space="preserve">: DPSIR causal chain for the Driver “Movement on Land”  </w:t>
      </w:r>
    </w:p>
    <w:p w14:paraId="62B23741" w14:textId="77777777" w:rsidR="005B13C5" w:rsidRDefault="005B13C5" w:rsidP="005B13C5">
      <w:pPr>
        <w:autoSpaceDE w:val="0"/>
        <w:autoSpaceDN w:val="0"/>
        <w:adjustRightInd w:val="0"/>
        <w:spacing w:before="120" w:after="120"/>
        <w:rPr>
          <w:szCs w:val="22"/>
          <w:lang w:eastAsia="es-AR"/>
        </w:rPr>
      </w:pPr>
    </w:p>
    <w:p w14:paraId="69FE9898" w14:textId="77777777" w:rsidR="005B13C5" w:rsidRDefault="005B13C5" w:rsidP="005B13C5">
      <w:pPr>
        <w:autoSpaceDE w:val="0"/>
        <w:autoSpaceDN w:val="0"/>
        <w:adjustRightInd w:val="0"/>
        <w:spacing w:before="120" w:after="120"/>
        <w:rPr>
          <w:szCs w:val="22"/>
        </w:rPr>
      </w:pPr>
      <w:r>
        <w:rPr>
          <w:szCs w:val="22"/>
          <w:lang w:eastAsia="es-AR"/>
        </w:rPr>
        <w:t xml:space="preserve">An approach to the development of an overarching monitoring scheme was discussed with stakeholders from </w:t>
      </w:r>
      <w:r w:rsidRPr="00526E68">
        <w:rPr>
          <w:szCs w:val="22"/>
          <w:lang w:eastAsia="es-AR"/>
        </w:rPr>
        <w:t>science, competent authorities, the tourism industry and NGOs</w:t>
      </w:r>
      <w:r>
        <w:rPr>
          <w:szCs w:val="22"/>
          <w:lang w:eastAsia="es-AR"/>
        </w:rPr>
        <w:t xml:space="preserve"> in a workshop, which was held as a side-event at the ATCM 2022 in Berlin. </w:t>
      </w:r>
      <w:r w:rsidRPr="00CB0BB7">
        <w:rPr>
          <w:szCs w:val="22"/>
          <w:lang w:eastAsia="es-AR"/>
        </w:rPr>
        <w:t>The workshop reflected earlier discussions within CEP/ATCM and</w:t>
      </w:r>
      <w:r>
        <w:rPr>
          <w:szCs w:val="22"/>
          <w:lang w:eastAsia="es-AR"/>
        </w:rPr>
        <w:t xml:space="preserve"> </w:t>
      </w:r>
      <w:r w:rsidRPr="00CB0BB7">
        <w:rPr>
          <w:szCs w:val="22"/>
          <w:lang w:eastAsia="es-AR"/>
        </w:rPr>
        <w:t xml:space="preserve">clearly indicated the need for an overarching monitoring </w:t>
      </w:r>
      <w:r>
        <w:rPr>
          <w:szCs w:val="22"/>
          <w:lang w:eastAsia="es-AR"/>
        </w:rPr>
        <w:t xml:space="preserve">system </w:t>
      </w:r>
      <w:r w:rsidRPr="00CB0BB7">
        <w:rPr>
          <w:szCs w:val="22"/>
          <w:lang w:eastAsia="es-AR"/>
        </w:rPr>
        <w:t>in Antarctica</w:t>
      </w:r>
      <w:r>
        <w:rPr>
          <w:szCs w:val="22"/>
          <w:lang w:eastAsia="es-AR"/>
        </w:rPr>
        <w:t xml:space="preserve">. The development of </w:t>
      </w:r>
      <w:r w:rsidRPr="00CB0BB7">
        <w:rPr>
          <w:szCs w:val="22"/>
          <w:lang w:eastAsia="es-AR"/>
        </w:rPr>
        <w:t>such a concept is</w:t>
      </w:r>
      <w:r>
        <w:rPr>
          <w:szCs w:val="22"/>
          <w:lang w:eastAsia="es-AR"/>
        </w:rPr>
        <w:t xml:space="preserve"> </w:t>
      </w:r>
      <w:r w:rsidRPr="00CB0BB7">
        <w:rPr>
          <w:szCs w:val="22"/>
          <w:lang w:eastAsia="es-AR"/>
        </w:rPr>
        <w:t>a demanding task</w:t>
      </w:r>
      <w:r>
        <w:rPr>
          <w:szCs w:val="22"/>
          <w:lang w:eastAsia="es-AR"/>
        </w:rPr>
        <w:t xml:space="preserve"> due to multiple pressures from tourism, uncertainties regarding the causalities between pressures and impacts, and the lack of indicators for some pressures and impacts. Moreover, the knowledge on the state of the environment is mostly limited to single parameters at the local level, and a </w:t>
      </w:r>
      <w:r>
        <w:rPr>
          <w:szCs w:val="22"/>
        </w:rPr>
        <w:t xml:space="preserve">comprehensive understanding of different components of the environment and their interactions on a larger scale is lacking. Therefore, there is no baseline data </w:t>
      </w:r>
      <w:r w:rsidRPr="001122CC">
        <w:rPr>
          <w:szCs w:val="22"/>
        </w:rPr>
        <w:t>from which any subsequent observed changes can be measured</w:t>
      </w:r>
      <w:r>
        <w:rPr>
          <w:szCs w:val="22"/>
        </w:rPr>
        <w:t xml:space="preserve">. However, such knowledge gaps should not be a barrier to the implementation of the monitoring, as the monitoring needs to evolve dynamically with the growing knowledge base. </w:t>
      </w:r>
    </w:p>
    <w:p w14:paraId="6730F335" w14:textId="77777777" w:rsidR="005B13C5" w:rsidRDefault="005B13C5" w:rsidP="005B13C5">
      <w:pPr>
        <w:autoSpaceDE w:val="0"/>
        <w:autoSpaceDN w:val="0"/>
        <w:adjustRightInd w:val="0"/>
        <w:spacing w:before="120" w:after="120"/>
        <w:rPr>
          <w:szCs w:val="22"/>
          <w:lang w:eastAsia="es-AR"/>
        </w:rPr>
      </w:pPr>
      <w:r>
        <w:rPr>
          <w:szCs w:val="22"/>
          <w:lang w:eastAsia="es-AR"/>
        </w:rPr>
        <w:t xml:space="preserve">Moreover, it is important to consider the implementation of the monitoring. The workshop fostered discussions on organisational aspects, such as responsibilities and financing. Involving the perspectives of different stakeholders contributes to developing realistic options. In general, monitoring requires sufficient funding over a longer time span. Using synergies with existing </w:t>
      </w:r>
      <w:r>
        <w:rPr>
          <w:szCs w:val="22"/>
          <w:lang w:eastAsia="es-AR"/>
        </w:rPr>
        <w:lastRenderedPageBreak/>
        <w:t xml:space="preserve">monitoring approaches helps to use resources efficiently and to facilitate the implementation of the monitoring system. Furthermore, it was recommended by participants that </w:t>
      </w:r>
      <w:r>
        <w:rPr>
          <w:szCs w:val="22"/>
        </w:rPr>
        <w:t>the monitoring should be embedded in the Antarctic Treaty System</w:t>
      </w:r>
      <w:r>
        <w:rPr>
          <w:szCs w:val="22"/>
          <w:lang w:eastAsia="es-AR"/>
        </w:rPr>
        <w:t xml:space="preserve">, and should involve several stakeholders, such as tourists, tourism operators, national competent authorities and scientists in </w:t>
      </w:r>
      <w:r w:rsidRPr="00616F9A">
        <w:rPr>
          <w:szCs w:val="22"/>
          <w:lang w:eastAsia="es-AR"/>
        </w:rPr>
        <w:t>national Antarctic programs</w:t>
      </w:r>
      <w:r>
        <w:rPr>
          <w:szCs w:val="22"/>
          <w:lang w:eastAsia="es-AR"/>
        </w:rPr>
        <w:t xml:space="preserve">. For the coordination of the monitoring, it is likely the best solution to set up a new management body. </w:t>
      </w:r>
    </w:p>
    <w:p w14:paraId="5BEF18FC" w14:textId="77777777" w:rsidR="005B13C5" w:rsidRPr="00B222D6" w:rsidRDefault="005B13C5" w:rsidP="005B13C5">
      <w:pPr>
        <w:pStyle w:val="ATSHeading2"/>
        <w:spacing w:before="240"/>
        <w:jc w:val="left"/>
        <w:rPr>
          <w:rFonts w:cs="Arial"/>
          <w:szCs w:val="24"/>
        </w:rPr>
      </w:pPr>
      <w:r>
        <w:rPr>
          <w:rFonts w:cs="Arial"/>
          <w:szCs w:val="24"/>
        </w:rPr>
        <w:t>Outlook</w:t>
      </w:r>
    </w:p>
    <w:p w14:paraId="7E9E687D" w14:textId="77777777" w:rsidR="005B13C5" w:rsidRPr="008510DF" w:rsidRDefault="005B13C5" w:rsidP="005B13C5">
      <w:pPr>
        <w:autoSpaceDE w:val="0"/>
        <w:autoSpaceDN w:val="0"/>
        <w:adjustRightInd w:val="0"/>
        <w:spacing w:before="120" w:after="120"/>
        <w:rPr>
          <w:rStyle w:val="Hipervnculo"/>
          <w:b/>
          <w:i/>
          <w:color w:val="auto"/>
          <w:u w:val="none"/>
          <w:lang w:val="en-US" w:eastAsia="es-AR"/>
        </w:rPr>
      </w:pPr>
      <w:r>
        <w:t xml:space="preserve">The draft monitoring concept will be discussed at a second workshop, which will be held online in October 2023. </w:t>
      </w:r>
      <w:r>
        <w:rPr>
          <w:lang w:eastAsia="es-AR"/>
        </w:rPr>
        <w:t xml:space="preserve">This will include the development of criteria for prioritizing the impacts which should be monitored, taking into account existing approaches and methods. </w:t>
      </w:r>
      <w:r w:rsidRPr="003D7EAA">
        <w:t>All parties</w:t>
      </w:r>
      <w:r>
        <w:t>, stakeholders and other interested groups</w:t>
      </w:r>
      <w:r w:rsidRPr="003D7EAA">
        <w:t xml:space="preserve"> are invited to participate in the project.</w:t>
      </w:r>
      <w:r w:rsidRPr="002010CF">
        <w:t xml:space="preserve"> </w:t>
      </w:r>
      <w:r>
        <w:t xml:space="preserve">Participants from the first workshop who agreed to be contacted for the second workshop will automatically receive an invitation. </w:t>
      </w:r>
      <w:r w:rsidRPr="003D7EAA">
        <w:t xml:space="preserve">Further information </w:t>
      </w:r>
      <w:r>
        <w:t>on the workshop will soon</w:t>
      </w:r>
      <w:r w:rsidRPr="003D7EAA">
        <w:t xml:space="preserve"> be </w:t>
      </w:r>
      <w:r>
        <w:t xml:space="preserve">available </w:t>
      </w:r>
      <w:r w:rsidRPr="003D7EAA">
        <w:t>here</w:t>
      </w:r>
      <w:r w:rsidRPr="00220BF3">
        <w:t>:</w:t>
      </w:r>
      <w:r w:rsidRPr="008510DF">
        <w:rPr>
          <w:lang w:val="en-US"/>
        </w:rPr>
        <w:t xml:space="preserve"> </w:t>
      </w:r>
      <w:hyperlink r:id="rId12" w:history="1">
        <w:r w:rsidRPr="008510DF">
          <w:rPr>
            <w:rStyle w:val="Hipervnculo"/>
            <w:lang w:val="en-US"/>
          </w:rPr>
          <w:t>https://tourism-monitoring-antarctica2.fresh-thoughts.eu/</w:t>
        </w:r>
      </w:hyperlink>
      <w:r>
        <w:rPr>
          <w:lang w:val="en-US"/>
        </w:rPr>
        <w:t>.</w:t>
      </w:r>
    </w:p>
    <w:p w14:paraId="1E1B87A9" w14:textId="77777777" w:rsidR="005B13C5" w:rsidRPr="00156263" w:rsidRDefault="005B13C5" w:rsidP="005B13C5">
      <w:pPr>
        <w:pStyle w:val="ATSNormal"/>
      </w:pPr>
    </w:p>
    <w:p w14:paraId="213028CD" w14:textId="77777777" w:rsidR="005B13C5" w:rsidRDefault="005B13C5" w:rsidP="005B13C5">
      <w:pPr>
        <w:spacing w:before="120" w:after="120"/>
        <w:rPr>
          <w:b/>
          <w:szCs w:val="22"/>
          <w:lang w:eastAsia="en-GB"/>
        </w:rPr>
      </w:pPr>
      <w:r>
        <w:rPr>
          <w:b/>
          <w:szCs w:val="22"/>
        </w:rPr>
        <w:br w:type="page"/>
      </w:r>
    </w:p>
    <w:p w14:paraId="4F9A021C" w14:textId="77777777" w:rsidR="005B13C5" w:rsidRPr="00B222D6" w:rsidRDefault="005B13C5" w:rsidP="005B13C5">
      <w:pPr>
        <w:pStyle w:val="ATSHeading2"/>
        <w:spacing w:before="240"/>
        <w:rPr>
          <w:rFonts w:cs="Arial"/>
          <w:szCs w:val="24"/>
        </w:rPr>
      </w:pPr>
      <w:r w:rsidRPr="00B222D6">
        <w:rPr>
          <w:rFonts w:cs="Arial"/>
          <w:szCs w:val="24"/>
        </w:rPr>
        <w:lastRenderedPageBreak/>
        <w:t>References</w:t>
      </w:r>
    </w:p>
    <w:p w14:paraId="624FCA81" w14:textId="77777777" w:rsidR="005B13C5" w:rsidRDefault="005B13C5" w:rsidP="005B13C5">
      <w:pPr>
        <w:pStyle w:val="Textonotapie"/>
        <w:spacing w:before="120"/>
        <w:rPr>
          <w:i/>
          <w:lang w:val="en-US"/>
        </w:rPr>
      </w:pPr>
      <w:r w:rsidRPr="0042067E">
        <w:rPr>
          <w:i/>
          <w:lang w:val="en-US"/>
        </w:rPr>
        <w:t>European Environment Agency (EEA). (1999). Environmental indicators: Typology and overview. Technical report No 25/1999.</w:t>
      </w:r>
    </w:p>
    <w:p w14:paraId="2A18AB01" w14:textId="77777777" w:rsidR="005B13C5" w:rsidRDefault="005B13C5" w:rsidP="005B13C5">
      <w:pPr>
        <w:pStyle w:val="Textonotapie"/>
        <w:spacing w:before="120"/>
        <w:rPr>
          <w:i/>
          <w:lang w:val="en-US"/>
        </w:rPr>
      </w:pPr>
      <w:r w:rsidRPr="00473FB4">
        <w:rPr>
          <w:i/>
          <w:lang w:val="en-US"/>
        </w:rPr>
        <w:t xml:space="preserve">Hughes, K. S. &amp; Convey, P. (2020). Implications of the COVID-19 pandemic for Antarctica. Antarctic Science, 32(6), 426–439. </w:t>
      </w:r>
      <w:hyperlink r:id="rId13" w:history="1">
        <w:r w:rsidRPr="00F70B72">
          <w:rPr>
            <w:rStyle w:val="Hipervnculo"/>
            <w:i/>
            <w:lang w:val="en-US"/>
          </w:rPr>
          <w:t>https://doi.org/10.1017/s095410202000053x</w:t>
        </w:r>
      </w:hyperlink>
    </w:p>
    <w:p w14:paraId="0F650DAC" w14:textId="77777777" w:rsidR="005B13C5" w:rsidRDefault="005B13C5" w:rsidP="005B13C5">
      <w:pPr>
        <w:pStyle w:val="Textonotapie"/>
        <w:spacing w:before="120"/>
        <w:rPr>
          <w:i/>
          <w:lang w:val="en-US"/>
        </w:rPr>
      </w:pPr>
      <w:r w:rsidRPr="0011703B">
        <w:rPr>
          <w:i/>
          <w:lang w:val="en-US"/>
        </w:rPr>
        <w:t>IAATO. (2022). Report of the International Association of Antarctica Tour Operators 2021-22. Information Paper for the XLIV Antarctic Treaty Consultative Meeting.</w:t>
      </w:r>
    </w:p>
    <w:p w14:paraId="32CA3DD3" w14:textId="77777777" w:rsidR="005B13C5" w:rsidRDefault="005B13C5" w:rsidP="005B13C5">
      <w:pPr>
        <w:pStyle w:val="Textonotapie"/>
        <w:spacing w:before="120"/>
        <w:rPr>
          <w:i/>
          <w:lang w:val="de-DE"/>
        </w:rPr>
      </w:pPr>
      <w:r w:rsidRPr="00330263">
        <w:rPr>
          <w:i/>
          <w:lang w:val="en-US"/>
        </w:rPr>
        <w:t xml:space="preserve">Mayer, M., Lange, B., Lucke, K., Schuster, M., von Juterzenka, K., Reinthaler, H.-P. (2017). </w:t>
      </w:r>
      <w:r w:rsidRPr="00633817">
        <w:rPr>
          <w:i/>
          <w:lang w:val="de-DE"/>
        </w:rPr>
        <w:t xml:space="preserve">Nutzung aktueller Erkenntnisse aus der Polarforschung für die Antarktis-Umweltschutzaufgaben- UBA-Texte 76/2017. </w:t>
      </w:r>
    </w:p>
    <w:p w14:paraId="13B2A64A" w14:textId="77777777" w:rsidR="005B13C5" w:rsidRDefault="005B13C5" w:rsidP="005B13C5">
      <w:pPr>
        <w:pStyle w:val="Textonotapie"/>
        <w:spacing w:before="120"/>
        <w:rPr>
          <w:i/>
          <w:lang w:val="en-US"/>
        </w:rPr>
      </w:pPr>
      <w:r w:rsidRPr="005B13C5">
        <w:rPr>
          <w:i/>
          <w:lang w:val="de-DE"/>
        </w:rPr>
        <w:t xml:space="preserve">Trathan, P. N., García-Borboroglu, P., Boersma, D., Bost, C.-A., Crawford, R. J. M., Crossin, G. T., Cuthbert, R. J., Dann, P., Davis, L. S., De La Puente, S., Ellenberg, U., Lynch, H. J., Mattern, T., Pütz, K., Seddon, P. J., Trivelpiece, W., &amp; Wienecke, B. (2015). </w:t>
      </w:r>
      <w:r w:rsidRPr="005E5ADD">
        <w:rPr>
          <w:i/>
          <w:lang w:val="en-US"/>
        </w:rPr>
        <w:t>Pollution, habitat loss, fishing, and climate change as critical threats to penguins. Conservation Biology: The Journal of the Society for Conservation Biology, 29(1), 31–41. https://doi.org/10.1111/cobi.12349</w:t>
      </w:r>
    </w:p>
    <w:p w14:paraId="47A2282B" w14:textId="77777777" w:rsidR="005B13C5" w:rsidRDefault="005B13C5" w:rsidP="005B13C5">
      <w:pPr>
        <w:pStyle w:val="Textonotapie"/>
        <w:spacing w:before="120"/>
        <w:rPr>
          <w:i/>
          <w:lang w:val="en-US"/>
        </w:rPr>
      </w:pPr>
      <w:r w:rsidRPr="005E7175">
        <w:rPr>
          <w:i/>
          <w:lang w:val="en-US"/>
        </w:rPr>
        <w:t xml:space="preserve">Verbitsky, J. (2018). Ecosystem services and Antarctica: The time has come? Ecosystem Services, 29, 381–394. </w:t>
      </w:r>
      <w:hyperlink r:id="rId14" w:history="1">
        <w:r w:rsidRPr="00F70B72">
          <w:rPr>
            <w:rStyle w:val="Hipervnculo"/>
            <w:i/>
            <w:lang w:val="en-US"/>
          </w:rPr>
          <w:t>https://doi.org/10.1016/j.ecoser.2017.10.015</w:t>
        </w:r>
      </w:hyperlink>
    </w:p>
    <w:p w14:paraId="32EBD7CF" w14:textId="77777777" w:rsidR="005B13C5" w:rsidRPr="00330263" w:rsidRDefault="005B13C5" w:rsidP="005B13C5">
      <w:pPr>
        <w:pStyle w:val="Textonotapie"/>
        <w:spacing w:before="120"/>
        <w:rPr>
          <w:i/>
          <w:lang w:val="en-US"/>
        </w:rPr>
      </w:pPr>
      <w:r w:rsidRPr="00330263">
        <w:rPr>
          <w:i/>
          <w:lang w:val="en-US"/>
        </w:rPr>
        <w:t xml:space="preserve">Vöneky, S., Wisehart, D. (2016). </w:t>
      </w:r>
      <w:r w:rsidRPr="00F56C64">
        <w:rPr>
          <w:i/>
          <w:lang w:val="de-DE"/>
        </w:rPr>
        <w:t xml:space="preserve">Analyse und Weiterentwicklung vorhandener rechtlicher Instrumente – Handlungsbedarf zur Anpassung an die aktuellen Entwicklungen des Tourismus in der Antarktis. </w:t>
      </w:r>
      <w:r w:rsidRPr="00330263">
        <w:rPr>
          <w:i/>
          <w:lang w:val="en-US"/>
        </w:rPr>
        <w:t>UBA-Texte 05/2016.</w:t>
      </w:r>
    </w:p>
    <w:p w14:paraId="1CC2E00A" w14:textId="77777777" w:rsidR="005B13C5" w:rsidRPr="0042067E" w:rsidRDefault="005B13C5" w:rsidP="005B13C5">
      <w:pPr>
        <w:pStyle w:val="Textonotapie"/>
        <w:spacing w:before="120"/>
        <w:rPr>
          <w:i/>
          <w:lang w:val="en-US"/>
        </w:rPr>
      </w:pPr>
      <w:r w:rsidRPr="00330263">
        <w:rPr>
          <w:i/>
          <w:lang w:val="en-US"/>
        </w:rPr>
        <w:t xml:space="preserve">Walton, D. W. H., &amp; Shears, J. (1994). The Need for Environmental Monitoring in Antarctica: Baselines, Environmental Impact Assessments, Accidents and Footprints. </w:t>
      </w:r>
      <w:r w:rsidRPr="0042067E">
        <w:rPr>
          <w:i/>
          <w:lang w:val="en-US"/>
        </w:rPr>
        <w:t xml:space="preserve">International Journal of Environmental Analytical Chemistry, 55(1-4), 77–90. </w:t>
      </w:r>
      <w:hyperlink r:id="rId15" w:history="1">
        <w:r w:rsidRPr="0042067E">
          <w:rPr>
            <w:i/>
            <w:lang w:val="en-US"/>
          </w:rPr>
          <w:t>https://doi.org/10.1080/03067319408026210</w:t>
        </w:r>
      </w:hyperlink>
      <w:r w:rsidRPr="0042067E">
        <w:rPr>
          <w:i/>
          <w:lang w:val="en-US"/>
        </w:rPr>
        <w:t xml:space="preserve">  </w:t>
      </w:r>
      <w:hyperlink r:id="rId16" w:history="1">
        <w:r>
          <w:rPr>
            <w:rStyle w:val="Hipervnculo"/>
          </w:rPr>
          <w:t>https://www.umweltbundesamt.de/publikationen/nutzung-aktueller-erkenntnisse-aus-der</w:t>
        </w:r>
      </w:hyperlink>
    </w:p>
    <w:p w14:paraId="36575D8D" w14:textId="77777777" w:rsidR="005B13C5" w:rsidRPr="005B13C5" w:rsidRDefault="005B13C5" w:rsidP="00952E9F">
      <w:pPr>
        <w:rPr>
          <w:lang w:val="en-US"/>
        </w:rPr>
      </w:pPr>
    </w:p>
    <w:sectPr w:rsidR="005B13C5" w:rsidRPr="005B13C5"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DC71" w14:textId="77777777" w:rsidR="00000000" w:rsidRDefault="005B13C5">
      <w:r>
        <w:separator/>
      </w:r>
    </w:p>
  </w:endnote>
  <w:endnote w:type="continuationSeparator" w:id="0">
    <w:p w14:paraId="3F85EE78" w14:textId="77777777" w:rsidR="00000000" w:rsidRDefault="005B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9DD3" w14:textId="77777777" w:rsidR="00FA0B9F" w:rsidRDefault="005B13C5" w:rsidP="00CF5C82">
    <w:pPr>
      <w:framePr w:wrap="around" w:vAnchor="text" w:hAnchor="margin" w:xAlign="right" w:y="1"/>
    </w:pPr>
    <w:r>
      <w:fldChar w:fldCharType="begin"/>
    </w:r>
    <w:r>
      <w:instrText xml:space="preserve">PAGE  </w:instrText>
    </w:r>
    <w:r>
      <w:fldChar w:fldCharType="separate"/>
    </w:r>
    <w:r>
      <w:fldChar w:fldCharType="end"/>
    </w:r>
  </w:p>
  <w:p w14:paraId="1899531D" w14:textId="77777777" w:rsidR="00FA0B9F" w:rsidRDefault="005B13C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347B" w14:textId="77777777" w:rsidR="00FA0B9F" w:rsidRDefault="005B13C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7AB458C" w14:textId="033FA017" w:rsidR="00FA0B9F" w:rsidRDefault="005B13C5" w:rsidP="005B13C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6CAF" w14:textId="77777777" w:rsidR="00E311C9" w:rsidRDefault="005B13C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B3F6225" w14:textId="77777777" w:rsidR="00E311C9" w:rsidRDefault="005B13C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507E" w14:textId="77777777" w:rsidR="00000000" w:rsidRDefault="005B13C5">
      <w:r>
        <w:separator/>
      </w:r>
    </w:p>
  </w:footnote>
  <w:footnote w:type="continuationSeparator" w:id="0">
    <w:p w14:paraId="37CF403E" w14:textId="77777777" w:rsidR="00000000" w:rsidRDefault="005B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A07837" w14:paraId="4953F5A6" w14:textId="77777777" w:rsidTr="002E12EC">
      <w:trPr>
        <w:trHeight w:val="344"/>
        <w:jc w:val="center"/>
      </w:trPr>
      <w:tc>
        <w:tcPr>
          <w:tcW w:w="5495" w:type="dxa"/>
        </w:tcPr>
        <w:p w14:paraId="5D82A230" w14:textId="77777777" w:rsidR="00DB7C09" w:rsidRDefault="005B13C5" w:rsidP="00F968D4"/>
      </w:tc>
      <w:tc>
        <w:tcPr>
          <w:tcW w:w="4253" w:type="dxa"/>
          <w:gridSpan w:val="2"/>
        </w:tcPr>
        <w:p w14:paraId="7794E1D4" w14:textId="77777777" w:rsidR="00DB7C09" w:rsidRPr="00BD47E4" w:rsidRDefault="005B13C5" w:rsidP="002A07BC">
          <w:pPr>
            <w:jc w:val="right"/>
            <w:rPr>
              <w:b/>
              <w:sz w:val="32"/>
              <w:szCs w:val="32"/>
            </w:rPr>
          </w:pPr>
          <w:bookmarkStart w:id="2" w:name="type"/>
          <w:r w:rsidRPr="00BD47E4">
            <w:rPr>
              <w:b/>
              <w:sz w:val="32"/>
              <w:szCs w:val="32"/>
            </w:rPr>
            <w:t>IP</w:t>
          </w:r>
          <w:bookmarkEnd w:id="2"/>
        </w:p>
      </w:tc>
      <w:tc>
        <w:tcPr>
          <w:tcW w:w="1524" w:type="dxa"/>
          <w:gridSpan w:val="2"/>
        </w:tcPr>
        <w:p w14:paraId="25A86C6A" w14:textId="77777777" w:rsidR="00DB7C09" w:rsidRPr="00BD47E4" w:rsidRDefault="005B13C5" w:rsidP="00DB7C09">
          <w:pPr>
            <w:rPr>
              <w:b/>
              <w:sz w:val="32"/>
              <w:szCs w:val="32"/>
            </w:rPr>
          </w:pPr>
          <w:bookmarkStart w:id="3" w:name="number"/>
          <w:r w:rsidRPr="00BD47E4">
            <w:rPr>
              <w:b/>
              <w:sz w:val="32"/>
              <w:szCs w:val="32"/>
            </w:rPr>
            <w:t>62</w:t>
          </w:r>
          <w:bookmarkEnd w:id="3"/>
        </w:p>
      </w:tc>
    </w:tr>
    <w:tr w:rsidR="00A07837" w14:paraId="4576560A" w14:textId="77777777" w:rsidTr="002E12EC">
      <w:trPr>
        <w:trHeight w:val="2165"/>
        <w:jc w:val="center"/>
      </w:trPr>
      <w:tc>
        <w:tcPr>
          <w:tcW w:w="5495" w:type="dxa"/>
        </w:tcPr>
        <w:p w14:paraId="3503C4A9" w14:textId="77777777" w:rsidR="00490760" w:rsidRPr="00EE4D48" w:rsidRDefault="005B13C5" w:rsidP="002A07BC">
          <w:pPr>
            <w:rPr>
              <w:b/>
              <w:sz w:val="28"/>
              <w:szCs w:val="28"/>
            </w:rPr>
          </w:pPr>
          <w:r>
            <w:rPr>
              <w:noProof/>
            </w:rPr>
            <w:drawing>
              <wp:inline distT="0" distB="0" distL="0" distR="0" wp14:anchorId="279F5541" wp14:editId="26966CB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263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C9C5BB0" w14:textId="77777777" w:rsidR="00490760" w:rsidRPr="00FE5146" w:rsidRDefault="005B13C5" w:rsidP="00490760">
          <w:pPr>
            <w:jc w:val="right"/>
            <w:rPr>
              <w:sz w:val="144"/>
              <w:szCs w:val="144"/>
            </w:rPr>
          </w:pPr>
          <w:r w:rsidRPr="00FE5146">
            <w:rPr>
              <w:sz w:val="144"/>
              <w:szCs w:val="144"/>
            </w:rPr>
            <w:t>ENG</w:t>
          </w:r>
        </w:p>
      </w:tc>
    </w:tr>
    <w:tr w:rsidR="00A07837" w14:paraId="26C2B27A" w14:textId="77777777" w:rsidTr="002E12EC">
      <w:trPr>
        <w:trHeight w:val="409"/>
        <w:jc w:val="center"/>
      </w:trPr>
      <w:tc>
        <w:tcPr>
          <w:tcW w:w="8500" w:type="dxa"/>
          <w:gridSpan w:val="2"/>
        </w:tcPr>
        <w:p w14:paraId="67CF9512" w14:textId="77777777" w:rsidR="00BD47E4" w:rsidRDefault="005B13C5" w:rsidP="002C30DA">
          <w:pPr>
            <w:jc w:val="right"/>
          </w:pPr>
          <w:r>
            <w:t>Agenda Item:</w:t>
          </w:r>
        </w:p>
      </w:tc>
      <w:tc>
        <w:tcPr>
          <w:tcW w:w="2382" w:type="dxa"/>
          <w:gridSpan w:val="2"/>
        </w:tcPr>
        <w:p w14:paraId="2196D2C5" w14:textId="77777777" w:rsidR="00BD47E4" w:rsidRDefault="005B13C5" w:rsidP="002C30DA">
          <w:pPr>
            <w:jc w:val="right"/>
          </w:pPr>
          <w:bookmarkStart w:id="4" w:name="agenda"/>
          <w:r>
            <w:t>ATCM 17, CEP 11</w:t>
          </w:r>
          <w:bookmarkEnd w:id="4"/>
        </w:p>
      </w:tc>
      <w:tc>
        <w:tcPr>
          <w:tcW w:w="390" w:type="dxa"/>
        </w:tcPr>
        <w:p w14:paraId="32209361" w14:textId="77777777" w:rsidR="00BD47E4" w:rsidRDefault="005B13C5" w:rsidP="00387A65">
          <w:pPr>
            <w:jc w:val="right"/>
          </w:pPr>
        </w:p>
      </w:tc>
    </w:tr>
    <w:tr w:rsidR="00A07837" w14:paraId="294053CB" w14:textId="77777777" w:rsidTr="002E12EC">
      <w:trPr>
        <w:trHeight w:val="397"/>
        <w:jc w:val="center"/>
      </w:trPr>
      <w:tc>
        <w:tcPr>
          <w:tcW w:w="8500" w:type="dxa"/>
          <w:gridSpan w:val="2"/>
        </w:tcPr>
        <w:p w14:paraId="1645BBAE" w14:textId="77777777" w:rsidR="00BD47E4" w:rsidRDefault="005B13C5" w:rsidP="002C30DA">
          <w:pPr>
            <w:jc w:val="right"/>
          </w:pPr>
          <w:r>
            <w:t>Presented by:</w:t>
          </w:r>
        </w:p>
      </w:tc>
      <w:tc>
        <w:tcPr>
          <w:tcW w:w="2382" w:type="dxa"/>
          <w:gridSpan w:val="2"/>
        </w:tcPr>
        <w:p w14:paraId="0C3DAF06" w14:textId="77777777" w:rsidR="00BD47E4" w:rsidRDefault="005B13C5" w:rsidP="002C30DA">
          <w:pPr>
            <w:jc w:val="right"/>
          </w:pPr>
          <w:bookmarkStart w:id="5" w:name="party"/>
          <w:r>
            <w:t>Germany</w:t>
          </w:r>
          <w:bookmarkEnd w:id="5"/>
        </w:p>
      </w:tc>
      <w:tc>
        <w:tcPr>
          <w:tcW w:w="390" w:type="dxa"/>
        </w:tcPr>
        <w:p w14:paraId="35701E1F" w14:textId="77777777" w:rsidR="00BD47E4" w:rsidRDefault="005B13C5" w:rsidP="00387A65">
          <w:pPr>
            <w:jc w:val="right"/>
          </w:pPr>
        </w:p>
      </w:tc>
    </w:tr>
    <w:tr w:rsidR="00A07837" w14:paraId="5BB1F8AF" w14:textId="77777777" w:rsidTr="002E12EC">
      <w:trPr>
        <w:trHeight w:val="409"/>
        <w:jc w:val="center"/>
      </w:trPr>
      <w:tc>
        <w:tcPr>
          <w:tcW w:w="8500" w:type="dxa"/>
          <w:gridSpan w:val="2"/>
        </w:tcPr>
        <w:p w14:paraId="23DB65FE" w14:textId="77777777" w:rsidR="00BD47E4" w:rsidRDefault="005B13C5" w:rsidP="002C30DA">
          <w:pPr>
            <w:jc w:val="right"/>
          </w:pPr>
          <w:r>
            <w:t>Original:</w:t>
          </w:r>
        </w:p>
      </w:tc>
      <w:tc>
        <w:tcPr>
          <w:tcW w:w="2382" w:type="dxa"/>
          <w:gridSpan w:val="2"/>
        </w:tcPr>
        <w:p w14:paraId="32E4938C" w14:textId="77777777" w:rsidR="00BD47E4" w:rsidRDefault="005B13C5" w:rsidP="002C30DA">
          <w:pPr>
            <w:jc w:val="right"/>
          </w:pPr>
          <w:bookmarkStart w:id="6" w:name="language"/>
          <w:r>
            <w:t>English</w:t>
          </w:r>
          <w:bookmarkEnd w:id="6"/>
        </w:p>
      </w:tc>
      <w:tc>
        <w:tcPr>
          <w:tcW w:w="390" w:type="dxa"/>
        </w:tcPr>
        <w:p w14:paraId="05FD2646" w14:textId="77777777" w:rsidR="00BD47E4" w:rsidRDefault="005B13C5" w:rsidP="00387A65">
          <w:pPr>
            <w:jc w:val="right"/>
          </w:pPr>
        </w:p>
      </w:tc>
    </w:tr>
    <w:tr w:rsidR="00A07837" w14:paraId="050EEE7B" w14:textId="77777777" w:rsidTr="002E12EC">
      <w:trPr>
        <w:trHeight w:val="409"/>
        <w:jc w:val="center"/>
      </w:trPr>
      <w:tc>
        <w:tcPr>
          <w:tcW w:w="8500" w:type="dxa"/>
          <w:gridSpan w:val="2"/>
        </w:tcPr>
        <w:p w14:paraId="559E46B0" w14:textId="77777777" w:rsidR="0097629D" w:rsidRDefault="005B13C5" w:rsidP="002C30DA">
          <w:pPr>
            <w:jc w:val="right"/>
          </w:pPr>
          <w:r>
            <w:t>Submitted:</w:t>
          </w:r>
        </w:p>
      </w:tc>
      <w:tc>
        <w:tcPr>
          <w:tcW w:w="2382" w:type="dxa"/>
          <w:gridSpan w:val="2"/>
        </w:tcPr>
        <w:p w14:paraId="340AA41B" w14:textId="77777777" w:rsidR="0097629D" w:rsidRDefault="005B13C5" w:rsidP="0097629D">
          <w:pPr>
            <w:jc w:val="right"/>
          </w:pPr>
          <w:bookmarkStart w:id="7" w:name="date_submission"/>
          <w:r>
            <w:t>25 Apr 2023</w:t>
          </w:r>
          <w:bookmarkEnd w:id="7"/>
        </w:p>
      </w:tc>
      <w:tc>
        <w:tcPr>
          <w:tcW w:w="390" w:type="dxa"/>
        </w:tcPr>
        <w:p w14:paraId="1746754E" w14:textId="77777777" w:rsidR="0097629D" w:rsidRDefault="005B13C5" w:rsidP="00387A65">
          <w:pPr>
            <w:jc w:val="right"/>
          </w:pPr>
        </w:p>
      </w:tc>
    </w:tr>
  </w:tbl>
  <w:p w14:paraId="28DFA08E" w14:textId="77777777" w:rsidR="00AE5DD0" w:rsidRDefault="005B13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07837" w14:paraId="0C0CA52D" w14:textId="77777777">
      <w:trPr>
        <w:trHeight w:val="354"/>
        <w:jc w:val="center"/>
      </w:trPr>
      <w:tc>
        <w:tcPr>
          <w:tcW w:w="9694" w:type="dxa"/>
        </w:tcPr>
        <w:p w14:paraId="5E67F4EB" w14:textId="23A98E20" w:rsidR="00AE5DD0" w:rsidRPr="00BD47E4" w:rsidRDefault="005B13C5" w:rsidP="00C26F2D">
          <w:pPr>
            <w:jc w:val="right"/>
            <w:rPr>
              <w:b/>
              <w:sz w:val="32"/>
              <w:szCs w:val="32"/>
            </w:rPr>
          </w:pPr>
          <w:r>
            <w:rPr>
              <w:b/>
              <w:sz w:val="32"/>
              <w:szCs w:val="32"/>
            </w:rPr>
            <w:t>IP</w:t>
          </w:r>
        </w:p>
      </w:tc>
      <w:tc>
        <w:tcPr>
          <w:tcW w:w="1332" w:type="dxa"/>
        </w:tcPr>
        <w:p w14:paraId="552BCAB7" w14:textId="4FEDA78E" w:rsidR="00AE5DD0" w:rsidRPr="00BD47E4" w:rsidRDefault="005B13C5" w:rsidP="00080F4C">
          <w:pPr>
            <w:rPr>
              <w:b/>
              <w:sz w:val="32"/>
              <w:szCs w:val="32"/>
            </w:rPr>
          </w:pPr>
          <w:r>
            <w:rPr>
              <w:b/>
              <w:sz w:val="32"/>
              <w:szCs w:val="32"/>
            </w:rPr>
            <w:t>62</w:t>
          </w:r>
        </w:p>
      </w:tc>
    </w:tr>
  </w:tbl>
  <w:p w14:paraId="5C2968E4" w14:textId="77777777" w:rsidR="00AE5DD0" w:rsidRDefault="005B13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DDAF9C6">
      <w:start w:val="1"/>
      <w:numFmt w:val="bullet"/>
      <w:pStyle w:val="ATSBullet1"/>
      <w:lvlText w:val=""/>
      <w:lvlJc w:val="left"/>
      <w:pPr>
        <w:tabs>
          <w:tab w:val="num" w:pos="360"/>
        </w:tabs>
        <w:ind w:left="360" w:hanging="360"/>
      </w:pPr>
      <w:rPr>
        <w:rFonts w:ascii="Symbol" w:hAnsi="Symbol" w:hint="default"/>
        <w:color w:val="auto"/>
      </w:rPr>
    </w:lvl>
    <w:lvl w:ilvl="1" w:tplc="A97ECBF0" w:tentative="1">
      <w:start w:val="1"/>
      <w:numFmt w:val="bullet"/>
      <w:lvlText w:val="o"/>
      <w:lvlJc w:val="left"/>
      <w:pPr>
        <w:tabs>
          <w:tab w:val="num" w:pos="1440"/>
        </w:tabs>
        <w:ind w:left="1440" w:hanging="360"/>
      </w:pPr>
      <w:rPr>
        <w:rFonts w:ascii="Courier New" w:hAnsi="Courier New" w:cs="Courier New" w:hint="default"/>
      </w:rPr>
    </w:lvl>
    <w:lvl w:ilvl="2" w:tplc="3F169914" w:tentative="1">
      <w:start w:val="1"/>
      <w:numFmt w:val="bullet"/>
      <w:lvlText w:val=""/>
      <w:lvlJc w:val="left"/>
      <w:pPr>
        <w:tabs>
          <w:tab w:val="num" w:pos="2160"/>
        </w:tabs>
        <w:ind w:left="2160" w:hanging="360"/>
      </w:pPr>
      <w:rPr>
        <w:rFonts w:ascii="Wingdings" w:hAnsi="Wingdings" w:hint="default"/>
      </w:rPr>
    </w:lvl>
    <w:lvl w:ilvl="3" w:tplc="14C8B906" w:tentative="1">
      <w:start w:val="1"/>
      <w:numFmt w:val="bullet"/>
      <w:lvlText w:val=""/>
      <w:lvlJc w:val="left"/>
      <w:pPr>
        <w:tabs>
          <w:tab w:val="num" w:pos="2880"/>
        </w:tabs>
        <w:ind w:left="2880" w:hanging="360"/>
      </w:pPr>
      <w:rPr>
        <w:rFonts w:ascii="Symbol" w:hAnsi="Symbol" w:hint="default"/>
      </w:rPr>
    </w:lvl>
    <w:lvl w:ilvl="4" w:tplc="B524BD30" w:tentative="1">
      <w:start w:val="1"/>
      <w:numFmt w:val="bullet"/>
      <w:lvlText w:val="o"/>
      <w:lvlJc w:val="left"/>
      <w:pPr>
        <w:tabs>
          <w:tab w:val="num" w:pos="3600"/>
        </w:tabs>
        <w:ind w:left="3600" w:hanging="360"/>
      </w:pPr>
      <w:rPr>
        <w:rFonts w:ascii="Courier New" w:hAnsi="Courier New" w:cs="Courier New" w:hint="default"/>
      </w:rPr>
    </w:lvl>
    <w:lvl w:ilvl="5" w:tplc="5450E95C" w:tentative="1">
      <w:start w:val="1"/>
      <w:numFmt w:val="bullet"/>
      <w:lvlText w:val=""/>
      <w:lvlJc w:val="left"/>
      <w:pPr>
        <w:tabs>
          <w:tab w:val="num" w:pos="4320"/>
        </w:tabs>
        <w:ind w:left="4320" w:hanging="360"/>
      </w:pPr>
      <w:rPr>
        <w:rFonts w:ascii="Wingdings" w:hAnsi="Wingdings" w:hint="default"/>
      </w:rPr>
    </w:lvl>
    <w:lvl w:ilvl="6" w:tplc="0C08FFA6" w:tentative="1">
      <w:start w:val="1"/>
      <w:numFmt w:val="bullet"/>
      <w:lvlText w:val=""/>
      <w:lvlJc w:val="left"/>
      <w:pPr>
        <w:tabs>
          <w:tab w:val="num" w:pos="5040"/>
        </w:tabs>
        <w:ind w:left="5040" w:hanging="360"/>
      </w:pPr>
      <w:rPr>
        <w:rFonts w:ascii="Symbol" w:hAnsi="Symbol" w:hint="default"/>
      </w:rPr>
    </w:lvl>
    <w:lvl w:ilvl="7" w:tplc="160650A2" w:tentative="1">
      <w:start w:val="1"/>
      <w:numFmt w:val="bullet"/>
      <w:lvlText w:val="o"/>
      <w:lvlJc w:val="left"/>
      <w:pPr>
        <w:tabs>
          <w:tab w:val="num" w:pos="5760"/>
        </w:tabs>
        <w:ind w:left="5760" w:hanging="360"/>
      </w:pPr>
      <w:rPr>
        <w:rFonts w:ascii="Courier New" w:hAnsi="Courier New" w:cs="Courier New" w:hint="default"/>
      </w:rPr>
    </w:lvl>
    <w:lvl w:ilvl="8" w:tplc="CD7CB0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2363A72">
      <w:start w:val="1"/>
      <w:numFmt w:val="decimal"/>
      <w:lvlText w:val="%1)"/>
      <w:lvlJc w:val="left"/>
      <w:pPr>
        <w:tabs>
          <w:tab w:val="num" w:pos="340"/>
        </w:tabs>
        <w:ind w:left="340" w:hanging="340"/>
      </w:pPr>
      <w:rPr>
        <w:rFonts w:hint="default"/>
      </w:rPr>
    </w:lvl>
    <w:lvl w:ilvl="1" w:tplc="B9440CDE" w:tentative="1">
      <w:start w:val="1"/>
      <w:numFmt w:val="lowerLetter"/>
      <w:lvlText w:val="%2."/>
      <w:lvlJc w:val="left"/>
      <w:pPr>
        <w:tabs>
          <w:tab w:val="num" w:pos="1440"/>
        </w:tabs>
        <w:ind w:left="1440" w:hanging="360"/>
      </w:pPr>
    </w:lvl>
    <w:lvl w:ilvl="2" w:tplc="E7146E54" w:tentative="1">
      <w:start w:val="1"/>
      <w:numFmt w:val="lowerRoman"/>
      <w:lvlText w:val="%3."/>
      <w:lvlJc w:val="right"/>
      <w:pPr>
        <w:tabs>
          <w:tab w:val="num" w:pos="2160"/>
        </w:tabs>
        <w:ind w:left="2160" w:hanging="180"/>
      </w:pPr>
    </w:lvl>
    <w:lvl w:ilvl="3" w:tplc="118C7190" w:tentative="1">
      <w:start w:val="1"/>
      <w:numFmt w:val="decimal"/>
      <w:lvlText w:val="%4."/>
      <w:lvlJc w:val="left"/>
      <w:pPr>
        <w:tabs>
          <w:tab w:val="num" w:pos="2880"/>
        </w:tabs>
        <w:ind w:left="2880" w:hanging="360"/>
      </w:pPr>
    </w:lvl>
    <w:lvl w:ilvl="4" w:tplc="45F8CF70" w:tentative="1">
      <w:start w:val="1"/>
      <w:numFmt w:val="lowerLetter"/>
      <w:lvlText w:val="%5."/>
      <w:lvlJc w:val="left"/>
      <w:pPr>
        <w:tabs>
          <w:tab w:val="num" w:pos="3600"/>
        </w:tabs>
        <w:ind w:left="3600" w:hanging="360"/>
      </w:pPr>
    </w:lvl>
    <w:lvl w:ilvl="5" w:tplc="B2E6C334" w:tentative="1">
      <w:start w:val="1"/>
      <w:numFmt w:val="lowerRoman"/>
      <w:lvlText w:val="%6."/>
      <w:lvlJc w:val="right"/>
      <w:pPr>
        <w:tabs>
          <w:tab w:val="num" w:pos="4320"/>
        </w:tabs>
        <w:ind w:left="4320" w:hanging="180"/>
      </w:pPr>
    </w:lvl>
    <w:lvl w:ilvl="6" w:tplc="1CA64D4A" w:tentative="1">
      <w:start w:val="1"/>
      <w:numFmt w:val="decimal"/>
      <w:lvlText w:val="%7."/>
      <w:lvlJc w:val="left"/>
      <w:pPr>
        <w:tabs>
          <w:tab w:val="num" w:pos="5040"/>
        </w:tabs>
        <w:ind w:left="5040" w:hanging="360"/>
      </w:pPr>
    </w:lvl>
    <w:lvl w:ilvl="7" w:tplc="71CC308E" w:tentative="1">
      <w:start w:val="1"/>
      <w:numFmt w:val="lowerLetter"/>
      <w:lvlText w:val="%8."/>
      <w:lvlJc w:val="left"/>
      <w:pPr>
        <w:tabs>
          <w:tab w:val="num" w:pos="5760"/>
        </w:tabs>
        <w:ind w:left="5760" w:hanging="360"/>
      </w:pPr>
    </w:lvl>
    <w:lvl w:ilvl="8" w:tplc="47ECA1A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9089496">
      <w:start w:val="1"/>
      <w:numFmt w:val="decimal"/>
      <w:lvlText w:val="%1."/>
      <w:lvlJc w:val="left"/>
      <w:pPr>
        <w:tabs>
          <w:tab w:val="num" w:pos="1057"/>
        </w:tabs>
        <w:ind w:left="1057" w:hanging="360"/>
      </w:pPr>
      <w:rPr>
        <w:rFonts w:hint="default"/>
      </w:rPr>
    </w:lvl>
    <w:lvl w:ilvl="1" w:tplc="D6AE56D6" w:tentative="1">
      <w:start w:val="1"/>
      <w:numFmt w:val="lowerLetter"/>
      <w:lvlText w:val="%2."/>
      <w:lvlJc w:val="left"/>
      <w:pPr>
        <w:tabs>
          <w:tab w:val="num" w:pos="2137"/>
        </w:tabs>
        <w:ind w:left="2137" w:hanging="360"/>
      </w:pPr>
    </w:lvl>
    <w:lvl w:ilvl="2" w:tplc="A8926FC2" w:tentative="1">
      <w:start w:val="1"/>
      <w:numFmt w:val="lowerRoman"/>
      <w:lvlText w:val="%3."/>
      <w:lvlJc w:val="right"/>
      <w:pPr>
        <w:tabs>
          <w:tab w:val="num" w:pos="2857"/>
        </w:tabs>
        <w:ind w:left="2857" w:hanging="180"/>
      </w:pPr>
    </w:lvl>
    <w:lvl w:ilvl="3" w:tplc="D51E813A" w:tentative="1">
      <w:start w:val="1"/>
      <w:numFmt w:val="decimal"/>
      <w:lvlText w:val="%4."/>
      <w:lvlJc w:val="left"/>
      <w:pPr>
        <w:tabs>
          <w:tab w:val="num" w:pos="3577"/>
        </w:tabs>
        <w:ind w:left="3577" w:hanging="360"/>
      </w:pPr>
    </w:lvl>
    <w:lvl w:ilvl="4" w:tplc="10841998" w:tentative="1">
      <w:start w:val="1"/>
      <w:numFmt w:val="lowerLetter"/>
      <w:lvlText w:val="%5."/>
      <w:lvlJc w:val="left"/>
      <w:pPr>
        <w:tabs>
          <w:tab w:val="num" w:pos="4297"/>
        </w:tabs>
        <w:ind w:left="4297" w:hanging="360"/>
      </w:pPr>
    </w:lvl>
    <w:lvl w:ilvl="5" w:tplc="5E10DF76" w:tentative="1">
      <w:start w:val="1"/>
      <w:numFmt w:val="lowerRoman"/>
      <w:lvlText w:val="%6."/>
      <w:lvlJc w:val="right"/>
      <w:pPr>
        <w:tabs>
          <w:tab w:val="num" w:pos="5017"/>
        </w:tabs>
        <w:ind w:left="5017" w:hanging="180"/>
      </w:pPr>
    </w:lvl>
    <w:lvl w:ilvl="6" w:tplc="685ABEBA" w:tentative="1">
      <w:start w:val="1"/>
      <w:numFmt w:val="decimal"/>
      <w:lvlText w:val="%7."/>
      <w:lvlJc w:val="left"/>
      <w:pPr>
        <w:tabs>
          <w:tab w:val="num" w:pos="5737"/>
        </w:tabs>
        <w:ind w:left="5737" w:hanging="360"/>
      </w:pPr>
    </w:lvl>
    <w:lvl w:ilvl="7" w:tplc="595816D6" w:tentative="1">
      <w:start w:val="1"/>
      <w:numFmt w:val="lowerLetter"/>
      <w:lvlText w:val="%8."/>
      <w:lvlJc w:val="left"/>
      <w:pPr>
        <w:tabs>
          <w:tab w:val="num" w:pos="6457"/>
        </w:tabs>
        <w:ind w:left="6457" w:hanging="360"/>
      </w:pPr>
    </w:lvl>
    <w:lvl w:ilvl="8" w:tplc="78F8521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72070BE">
      <w:start w:val="1"/>
      <w:numFmt w:val="decimal"/>
      <w:pStyle w:val="ATSNumber1"/>
      <w:lvlText w:val="%1)"/>
      <w:lvlJc w:val="left"/>
      <w:pPr>
        <w:tabs>
          <w:tab w:val="num" w:pos="720"/>
        </w:tabs>
        <w:ind w:left="720" w:hanging="360"/>
      </w:pPr>
    </w:lvl>
    <w:lvl w:ilvl="1" w:tplc="A3E4FCE0" w:tentative="1">
      <w:start w:val="1"/>
      <w:numFmt w:val="lowerLetter"/>
      <w:lvlText w:val="%2."/>
      <w:lvlJc w:val="left"/>
      <w:pPr>
        <w:tabs>
          <w:tab w:val="num" w:pos="1440"/>
        </w:tabs>
        <w:ind w:left="1440" w:hanging="360"/>
      </w:pPr>
    </w:lvl>
    <w:lvl w:ilvl="2" w:tplc="A0AA32E4" w:tentative="1">
      <w:start w:val="1"/>
      <w:numFmt w:val="lowerRoman"/>
      <w:lvlText w:val="%3."/>
      <w:lvlJc w:val="right"/>
      <w:pPr>
        <w:tabs>
          <w:tab w:val="num" w:pos="2160"/>
        </w:tabs>
        <w:ind w:left="2160" w:hanging="180"/>
      </w:pPr>
    </w:lvl>
    <w:lvl w:ilvl="3" w:tplc="E536E772" w:tentative="1">
      <w:start w:val="1"/>
      <w:numFmt w:val="decimal"/>
      <w:lvlText w:val="%4."/>
      <w:lvlJc w:val="left"/>
      <w:pPr>
        <w:tabs>
          <w:tab w:val="num" w:pos="2880"/>
        </w:tabs>
        <w:ind w:left="2880" w:hanging="360"/>
      </w:pPr>
    </w:lvl>
    <w:lvl w:ilvl="4" w:tplc="BF128ADA" w:tentative="1">
      <w:start w:val="1"/>
      <w:numFmt w:val="lowerLetter"/>
      <w:lvlText w:val="%5."/>
      <w:lvlJc w:val="left"/>
      <w:pPr>
        <w:tabs>
          <w:tab w:val="num" w:pos="3600"/>
        </w:tabs>
        <w:ind w:left="3600" w:hanging="360"/>
      </w:pPr>
    </w:lvl>
    <w:lvl w:ilvl="5" w:tplc="64A69BDE" w:tentative="1">
      <w:start w:val="1"/>
      <w:numFmt w:val="lowerRoman"/>
      <w:lvlText w:val="%6."/>
      <w:lvlJc w:val="right"/>
      <w:pPr>
        <w:tabs>
          <w:tab w:val="num" w:pos="4320"/>
        </w:tabs>
        <w:ind w:left="4320" w:hanging="180"/>
      </w:pPr>
    </w:lvl>
    <w:lvl w:ilvl="6" w:tplc="031A361A" w:tentative="1">
      <w:start w:val="1"/>
      <w:numFmt w:val="decimal"/>
      <w:lvlText w:val="%7."/>
      <w:lvlJc w:val="left"/>
      <w:pPr>
        <w:tabs>
          <w:tab w:val="num" w:pos="5040"/>
        </w:tabs>
        <w:ind w:left="5040" w:hanging="360"/>
      </w:pPr>
    </w:lvl>
    <w:lvl w:ilvl="7" w:tplc="E9969ECC" w:tentative="1">
      <w:start w:val="1"/>
      <w:numFmt w:val="lowerLetter"/>
      <w:lvlText w:val="%8."/>
      <w:lvlJc w:val="left"/>
      <w:pPr>
        <w:tabs>
          <w:tab w:val="num" w:pos="5760"/>
        </w:tabs>
        <w:ind w:left="5760" w:hanging="360"/>
      </w:pPr>
    </w:lvl>
    <w:lvl w:ilvl="8" w:tplc="8D66EE7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2ACEF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3500776" w:tentative="1">
      <w:start w:val="1"/>
      <w:numFmt w:val="bullet"/>
      <w:lvlText w:val="o"/>
      <w:lvlJc w:val="left"/>
      <w:pPr>
        <w:tabs>
          <w:tab w:val="num" w:pos="2517"/>
        </w:tabs>
        <w:ind w:left="2517" w:hanging="360"/>
      </w:pPr>
      <w:rPr>
        <w:rFonts w:ascii="Courier New" w:hAnsi="Courier New" w:cs="Courier New" w:hint="default"/>
      </w:rPr>
    </w:lvl>
    <w:lvl w:ilvl="2" w:tplc="B7444EFC" w:tentative="1">
      <w:start w:val="1"/>
      <w:numFmt w:val="bullet"/>
      <w:lvlText w:val=""/>
      <w:lvlJc w:val="left"/>
      <w:pPr>
        <w:tabs>
          <w:tab w:val="num" w:pos="3237"/>
        </w:tabs>
        <w:ind w:left="3237" w:hanging="360"/>
      </w:pPr>
      <w:rPr>
        <w:rFonts w:ascii="Wingdings" w:hAnsi="Wingdings" w:hint="default"/>
      </w:rPr>
    </w:lvl>
    <w:lvl w:ilvl="3" w:tplc="73F89188" w:tentative="1">
      <w:start w:val="1"/>
      <w:numFmt w:val="bullet"/>
      <w:lvlText w:val=""/>
      <w:lvlJc w:val="left"/>
      <w:pPr>
        <w:tabs>
          <w:tab w:val="num" w:pos="3957"/>
        </w:tabs>
        <w:ind w:left="3957" w:hanging="360"/>
      </w:pPr>
      <w:rPr>
        <w:rFonts w:ascii="Symbol" w:hAnsi="Symbol" w:hint="default"/>
      </w:rPr>
    </w:lvl>
    <w:lvl w:ilvl="4" w:tplc="BCD4BADE" w:tentative="1">
      <w:start w:val="1"/>
      <w:numFmt w:val="bullet"/>
      <w:lvlText w:val="o"/>
      <w:lvlJc w:val="left"/>
      <w:pPr>
        <w:tabs>
          <w:tab w:val="num" w:pos="4677"/>
        </w:tabs>
        <w:ind w:left="4677" w:hanging="360"/>
      </w:pPr>
      <w:rPr>
        <w:rFonts w:ascii="Courier New" w:hAnsi="Courier New" w:cs="Courier New" w:hint="default"/>
      </w:rPr>
    </w:lvl>
    <w:lvl w:ilvl="5" w:tplc="69322AB4" w:tentative="1">
      <w:start w:val="1"/>
      <w:numFmt w:val="bullet"/>
      <w:lvlText w:val=""/>
      <w:lvlJc w:val="left"/>
      <w:pPr>
        <w:tabs>
          <w:tab w:val="num" w:pos="5397"/>
        </w:tabs>
        <w:ind w:left="5397" w:hanging="360"/>
      </w:pPr>
      <w:rPr>
        <w:rFonts w:ascii="Wingdings" w:hAnsi="Wingdings" w:hint="default"/>
      </w:rPr>
    </w:lvl>
    <w:lvl w:ilvl="6" w:tplc="C434AFE2" w:tentative="1">
      <w:start w:val="1"/>
      <w:numFmt w:val="bullet"/>
      <w:lvlText w:val=""/>
      <w:lvlJc w:val="left"/>
      <w:pPr>
        <w:tabs>
          <w:tab w:val="num" w:pos="6117"/>
        </w:tabs>
        <w:ind w:left="6117" w:hanging="360"/>
      </w:pPr>
      <w:rPr>
        <w:rFonts w:ascii="Symbol" w:hAnsi="Symbol" w:hint="default"/>
      </w:rPr>
    </w:lvl>
    <w:lvl w:ilvl="7" w:tplc="1932F0F0" w:tentative="1">
      <w:start w:val="1"/>
      <w:numFmt w:val="bullet"/>
      <w:lvlText w:val="o"/>
      <w:lvlJc w:val="left"/>
      <w:pPr>
        <w:tabs>
          <w:tab w:val="num" w:pos="6837"/>
        </w:tabs>
        <w:ind w:left="6837" w:hanging="360"/>
      </w:pPr>
      <w:rPr>
        <w:rFonts w:ascii="Courier New" w:hAnsi="Courier New" w:cs="Courier New" w:hint="default"/>
      </w:rPr>
    </w:lvl>
    <w:lvl w:ilvl="8" w:tplc="BB16BF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562ACA0">
      <w:start w:val="1"/>
      <w:numFmt w:val="decimal"/>
      <w:pStyle w:val="ATSNumber2"/>
      <w:lvlText w:val="%1."/>
      <w:lvlJc w:val="left"/>
      <w:pPr>
        <w:tabs>
          <w:tab w:val="num" w:pos="720"/>
        </w:tabs>
        <w:ind w:left="720" w:hanging="360"/>
      </w:pPr>
      <w:rPr>
        <w:rFonts w:hint="default"/>
      </w:rPr>
    </w:lvl>
    <w:lvl w:ilvl="1" w:tplc="244A8D40" w:tentative="1">
      <w:start w:val="1"/>
      <w:numFmt w:val="lowerLetter"/>
      <w:lvlText w:val="%2."/>
      <w:lvlJc w:val="left"/>
      <w:pPr>
        <w:tabs>
          <w:tab w:val="num" w:pos="1440"/>
        </w:tabs>
        <w:ind w:left="1440" w:hanging="360"/>
      </w:pPr>
    </w:lvl>
    <w:lvl w:ilvl="2" w:tplc="5E44D182" w:tentative="1">
      <w:start w:val="1"/>
      <w:numFmt w:val="lowerRoman"/>
      <w:lvlText w:val="%3."/>
      <w:lvlJc w:val="right"/>
      <w:pPr>
        <w:tabs>
          <w:tab w:val="num" w:pos="2160"/>
        </w:tabs>
        <w:ind w:left="2160" w:hanging="180"/>
      </w:pPr>
    </w:lvl>
    <w:lvl w:ilvl="3" w:tplc="29B8DA00" w:tentative="1">
      <w:start w:val="1"/>
      <w:numFmt w:val="decimal"/>
      <w:lvlText w:val="%4."/>
      <w:lvlJc w:val="left"/>
      <w:pPr>
        <w:tabs>
          <w:tab w:val="num" w:pos="2880"/>
        </w:tabs>
        <w:ind w:left="2880" w:hanging="360"/>
      </w:pPr>
    </w:lvl>
    <w:lvl w:ilvl="4" w:tplc="DE1C7394" w:tentative="1">
      <w:start w:val="1"/>
      <w:numFmt w:val="lowerLetter"/>
      <w:lvlText w:val="%5."/>
      <w:lvlJc w:val="left"/>
      <w:pPr>
        <w:tabs>
          <w:tab w:val="num" w:pos="3600"/>
        </w:tabs>
        <w:ind w:left="3600" w:hanging="360"/>
      </w:pPr>
    </w:lvl>
    <w:lvl w:ilvl="5" w:tplc="7B64205E" w:tentative="1">
      <w:start w:val="1"/>
      <w:numFmt w:val="lowerRoman"/>
      <w:lvlText w:val="%6."/>
      <w:lvlJc w:val="right"/>
      <w:pPr>
        <w:tabs>
          <w:tab w:val="num" w:pos="4320"/>
        </w:tabs>
        <w:ind w:left="4320" w:hanging="180"/>
      </w:pPr>
    </w:lvl>
    <w:lvl w:ilvl="6" w:tplc="2E7A64BC" w:tentative="1">
      <w:start w:val="1"/>
      <w:numFmt w:val="decimal"/>
      <w:lvlText w:val="%7."/>
      <w:lvlJc w:val="left"/>
      <w:pPr>
        <w:tabs>
          <w:tab w:val="num" w:pos="5040"/>
        </w:tabs>
        <w:ind w:left="5040" w:hanging="360"/>
      </w:pPr>
    </w:lvl>
    <w:lvl w:ilvl="7" w:tplc="DDCEAE34" w:tentative="1">
      <w:start w:val="1"/>
      <w:numFmt w:val="lowerLetter"/>
      <w:lvlText w:val="%8."/>
      <w:lvlJc w:val="left"/>
      <w:pPr>
        <w:tabs>
          <w:tab w:val="num" w:pos="5760"/>
        </w:tabs>
        <w:ind w:left="5760" w:hanging="360"/>
      </w:pPr>
    </w:lvl>
    <w:lvl w:ilvl="8" w:tplc="7B060B1E" w:tentative="1">
      <w:start w:val="1"/>
      <w:numFmt w:val="lowerRoman"/>
      <w:lvlText w:val="%9."/>
      <w:lvlJc w:val="right"/>
      <w:pPr>
        <w:tabs>
          <w:tab w:val="num" w:pos="6480"/>
        </w:tabs>
        <w:ind w:left="6480" w:hanging="180"/>
      </w:pPr>
    </w:lvl>
  </w:abstractNum>
  <w:num w:numId="1" w16cid:durableId="146483474">
    <w:abstractNumId w:val="9"/>
  </w:num>
  <w:num w:numId="2" w16cid:durableId="1840463685">
    <w:abstractNumId w:val="7"/>
  </w:num>
  <w:num w:numId="3" w16cid:durableId="243034735">
    <w:abstractNumId w:val="6"/>
  </w:num>
  <w:num w:numId="4" w16cid:durableId="2016875866">
    <w:abstractNumId w:val="5"/>
  </w:num>
  <w:num w:numId="5" w16cid:durableId="1530681873">
    <w:abstractNumId w:val="4"/>
  </w:num>
  <w:num w:numId="6" w16cid:durableId="979043266">
    <w:abstractNumId w:val="8"/>
  </w:num>
  <w:num w:numId="7" w16cid:durableId="833957433">
    <w:abstractNumId w:val="3"/>
  </w:num>
  <w:num w:numId="8" w16cid:durableId="892275694">
    <w:abstractNumId w:val="2"/>
  </w:num>
  <w:num w:numId="9" w16cid:durableId="516239214">
    <w:abstractNumId w:val="1"/>
  </w:num>
  <w:num w:numId="10" w16cid:durableId="60373264">
    <w:abstractNumId w:val="0"/>
  </w:num>
  <w:num w:numId="11" w16cid:durableId="861165457">
    <w:abstractNumId w:val="11"/>
  </w:num>
  <w:num w:numId="12" w16cid:durableId="140193217">
    <w:abstractNumId w:val="15"/>
  </w:num>
  <w:num w:numId="13" w16cid:durableId="443228034">
    <w:abstractNumId w:val="14"/>
  </w:num>
  <w:num w:numId="14" w16cid:durableId="1003240592">
    <w:abstractNumId w:val="12"/>
  </w:num>
  <w:num w:numId="15" w16cid:durableId="1126965151">
    <w:abstractNumId w:val="13"/>
  </w:num>
  <w:num w:numId="16" w16cid:durableId="641230835">
    <w:abstractNumId w:val="10"/>
  </w:num>
  <w:num w:numId="17" w16cid:durableId="958530780">
    <w:abstractNumId w:val="11"/>
  </w:num>
  <w:num w:numId="18" w16cid:durableId="1541360625">
    <w:abstractNumId w:val="15"/>
  </w:num>
  <w:num w:numId="19" w16cid:durableId="140660741">
    <w:abstractNumId w:val="14"/>
  </w:num>
  <w:num w:numId="20" w16cid:durableId="224487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37"/>
    <w:rsid w:val="005B13C5"/>
    <w:rsid w:val="00A078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3D31E"/>
  <w15:chartTrackingRefBased/>
  <w15:docId w15:val="{8D6284C7-84E4-48AF-82FB-C6ACC5B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B13C5"/>
    <w:rPr>
      <w:rFonts w:ascii="Arial" w:hAnsi="Arial"/>
      <w:b/>
      <w:i/>
      <w:sz w:val="24"/>
      <w:szCs w:val="22"/>
      <w:lang w:val="en-GB" w:eastAsia="en-GB"/>
    </w:rPr>
  </w:style>
  <w:style w:type="character" w:customStyle="1" w:styleId="TextonotapieCar">
    <w:name w:val="Texto nota pie Car"/>
    <w:basedOn w:val="Fuentedeprrafopredeter"/>
    <w:link w:val="Textonotapie"/>
    <w:uiPriority w:val="99"/>
    <w:rsid w:val="005B13C5"/>
    <w:rPr>
      <w:sz w:val="22"/>
      <w:szCs w:val="22"/>
      <w:lang w:val="en-GB" w:eastAsia="en-US"/>
    </w:rPr>
  </w:style>
  <w:style w:type="paragraph" w:styleId="Descripcin">
    <w:name w:val="caption"/>
    <w:basedOn w:val="Normal"/>
    <w:next w:val="Normal"/>
    <w:unhideWhenUsed/>
    <w:qFormat/>
    <w:rsid w:val="005B13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7/s095410202000053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urism-monitoring-antarctica2.fresh-thoughts.e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umweltbundesamt.de/publikationen/nutzung-aktueller-erkenntnisse-aus-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80/03067319408026210"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ecoser.2017.10.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1319</Words>
  <Characters>8254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2023-04-25T17:00:00Z</dcterms:modified>
</cp:coreProperties>
</file>