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65D2" w14:textId="77777777" w:rsidR="00C26F2D" w:rsidRPr="00BF077B" w:rsidRDefault="000E172B" w:rsidP="00BF077B">
      <w:pPr>
        <w:pStyle w:val="ATSNormal"/>
        <w:rPr>
          <w:rStyle w:val="Ttulodellibro"/>
        </w:rPr>
      </w:pPr>
    </w:p>
    <w:p w14:paraId="5058D2A6" w14:textId="77777777" w:rsidR="002F0A13" w:rsidRDefault="000E172B" w:rsidP="004B4A60">
      <w:pPr>
        <w:rPr>
          <w:b/>
          <w:u w:val="single"/>
          <w:lang w:val="es-ES_tradnl"/>
        </w:rPr>
      </w:pPr>
    </w:p>
    <w:p w14:paraId="7A960E55" w14:textId="77777777" w:rsidR="002F0A13" w:rsidRDefault="000E172B" w:rsidP="004B4A60">
      <w:pPr>
        <w:rPr>
          <w:b/>
          <w:u w:val="single"/>
          <w:lang w:val="es-ES_tradnl"/>
        </w:rPr>
      </w:pPr>
    </w:p>
    <w:p w14:paraId="69B0BF86" w14:textId="77777777" w:rsidR="002F0A13" w:rsidRDefault="000E172B" w:rsidP="004B4A60">
      <w:pPr>
        <w:rPr>
          <w:b/>
          <w:u w:val="single"/>
          <w:lang w:val="es-ES_tradnl"/>
        </w:rPr>
      </w:pPr>
    </w:p>
    <w:p w14:paraId="3CB06035" w14:textId="77777777" w:rsidR="002F0A13" w:rsidRDefault="000E172B" w:rsidP="004B4A60">
      <w:pPr>
        <w:rPr>
          <w:b/>
          <w:u w:val="single"/>
          <w:lang w:val="es-ES_tradnl"/>
        </w:rPr>
      </w:pPr>
    </w:p>
    <w:p w14:paraId="556793A4" w14:textId="77777777" w:rsidR="00C26F2D" w:rsidRDefault="000E172B" w:rsidP="004B4A60">
      <w:pPr>
        <w:rPr>
          <w:b/>
          <w:u w:val="single"/>
          <w:lang w:val="es-ES_tradnl"/>
        </w:rPr>
      </w:pPr>
    </w:p>
    <w:p w14:paraId="0197D1E0" w14:textId="77777777" w:rsidR="004B4A60" w:rsidRPr="0057246E" w:rsidRDefault="000E172B" w:rsidP="001B789F">
      <w:pPr>
        <w:pStyle w:val="ATSTitle"/>
      </w:pPr>
      <w:bookmarkStart w:id="0" w:name="name"/>
      <w:r>
        <w:t>Antarctic tourism through Ushuaia: Comparative data from fifteen seasons</w:t>
      </w:r>
    </w:p>
    <w:bookmarkEnd w:id="0"/>
    <w:p w14:paraId="385B22F1" w14:textId="77777777" w:rsidR="00C471A1" w:rsidRDefault="00C471A1" w:rsidP="001B789F">
      <w:pPr>
        <w:pStyle w:val="ATSTitle"/>
      </w:pPr>
    </w:p>
    <w:p w14:paraId="1B58439B" w14:textId="77777777" w:rsidR="004B4A60" w:rsidRPr="0057246E" w:rsidRDefault="000E172B" w:rsidP="00F75424">
      <w:pPr>
        <w:jc w:val="center"/>
      </w:pPr>
    </w:p>
    <w:p w14:paraId="24265E43" w14:textId="77777777" w:rsidR="004B4A60" w:rsidRPr="002F0A13" w:rsidRDefault="000E172B" w:rsidP="002F0A13"/>
    <w:p w14:paraId="6EFAF8B8" w14:textId="77777777" w:rsidR="004B4A60" w:rsidRDefault="000E172B" w:rsidP="00F75424">
      <w:pPr>
        <w:jc w:val="center"/>
      </w:pPr>
      <w:bookmarkStart w:id="1" w:name="memo"/>
      <w:r w:rsidRPr="00724FFB">
        <w:t>English version provided by the author</w:t>
      </w:r>
      <w:bookmarkEnd w:id="1"/>
    </w:p>
    <w:p w14:paraId="2D249684" w14:textId="77777777" w:rsidR="0097629D" w:rsidRDefault="000E172B" w:rsidP="00F75424">
      <w:pPr>
        <w:jc w:val="center"/>
      </w:pPr>
    </w:p>
    <w:p w14:paraId="6FAF208A" w14:textId="77777777" w:rsidR="0097629D" w:rsidRDefault="000E172B" w:rsidP="00F75424">
      <w:pPr>
        <w:jc w:val="center"/>
      </w:pPr>
    </w:p>
    <w:p w14:paraId="2C803F20" w14:textId="77777777" w:rsidR="0097629D" w:rsidRDefault="000E172B" w:rsidP="00F75424">
      <w:pPr>
        <w:jc w:val="center"/>
      </w:pPr>
    </w:p>
    <w:p w14:paraId="4F02852B" w14:textId="77777777" w:rsidR="0097629D" w:rsidRPr="00C26F2D" w:rsidRDefault="000E172B" w:rsidP="00F75424">
      <w:pPr>
        <w:jc w:val="center"/>
      </w:pPr>
    </w:p>
    <w:p w14:paraId="2EBB9498" w14:textId="77777777" w:rsidR="004B4A60" w:rsidRPr="0057246E" w:rsidRDefault="000E172B" w:rsidP="004B4A60"/>
    <w:p w14:paraId="6D405A1E" w14:textId="77777777" w:rsidR="00C26F2D" w:rsidRDefault="000E172B"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6955A8A" w14:textId="64DA27D1" w:rsidR="000E172B" w:rsidRPr="000E172B" w:rsidRDefault="000E172B" w:rsidP="000E172B">
      <w:pPr>
        <w:pStyle w:val="ATSHeading1"/>
        <w:rPr>
          <w:lang w:val="en-US"/>
        </w:rPr>
      </w:pPr>
      <w:r w:rsidRPr="008F7303">
        <w:rPr>
          <w:lang w:val="en-US"/>
        </w:rPr>
        <w:lastRenderedPageBreak/>
        <w:t>Antarctic tourism through Ushuaia</w:t>
      </w:r>
      <w:r>
        <w:rPr>
          <w:lang w:val="en-US"/>
        </w:rPr>
        <w:t>:</w:t>
      </w:r>
      <w:r w:rsidRPr="008F7303">
        <w:rPr>
          <w:lang w:val="en-US"/>
        </w:rPr>
        <w:t xml:space="preserve"> </w:t>
      </w:r>
      <w:r>
        <w:rPr>
          <w:lang w:val="en-US"/>
        </w:rPr>
        <w:t>Comparative data from</w:t>
      </w:r>
      <w:r w:rsidRPr="008F7303">
        <w:rPr>
          <w:lang w:val="en-US"/>
        </w:rPr>
        <w:t xml:space="preserve"> fifteen seasons</w:t>
      </w:r>
    </w:p>
    <w:p w14:paraId="0ABF3F12" w14:textId="77777777" w:rsidR="000E172B" w:rsidRPr="00274E3B" w:rsidRDefault="000E172B" w:rsidP="000E172B">
      <w:pPr>
        <w:pStyle w:val="ATSHeading1"/>
        <w:rPr>
          <w:rFonts w:cs="Arial"/>
          <w:sz w:val="24"/>
        </w:rPr>
      </w:pPr>
      <w:r w:rsidRPr="00274E3B">
        <w:rPr>
          <w:rFonts w:cs="Arial"/>
          <w:bCs/>
          <w:i/>
          <w:color w:val="000000"/>
          <w:sz w:val="24"/>
          <w:lang w:eastAsia="es-AR"/>
        </w:rPr>
        <w:t xml:space="preserve">Information paper submitted by </w:t>
      </w:r>
      <w:proofErr w:type="gramStart"/>
      <w:r w:rsidRPr="00274E3B">
        <w:rPr>
          <w:rFonts w:cs="Arial"/>
          <w:bCs/>
          <w:i/>
          <w:color w:val="000000"/>
          <w:sz w:val="24"/>
          <w:lang w:eastAsia="es-AR"/>
        </w:rPr>
        <w:t>Argentina</w:t>
      </w:r>
      <w:proofErr w:type="gramEnd"/>
    </w:p>
    <w:p w14:paraId="65E34E55" w14:textId="77777777" w:rsidR="000E172B" w:rsidRPr="00DE77E5" w:rsidRDefault="000E172B" w:rsidP="000E172B">
      <w:pPr>
        <w:pStyle w:val="ATSHeading2"/>
      </w:pPr>
      <w:r w:rsidRPr="00DE77E5">
        <w:t>Sum</w:t>
      </w:r>
      <w:r>
        <w:t>mary</w:t>
      </w:r>
    </w:p>
    <w:p w14:paraId="5C4106F1" w14:textId="77777777" w:rsidR="000E172B" w:rsidRDefault="000E172B" w:rsidP="000E172B">
      <w:pPr>
        <w:rPr>
          <w:b/>
          <w:bCs/>
        </w:rPr>
      </w:pPr>
    </w:p>
    <w:p w14:paraId="45B43340" w14:textId="77777777" w:rsidR="000E172B" w:rsidRDefault="000E172B" w:rsidP="000E172B">
      <w:pPr>
        <w:jc w:val="both"/>
        <w:rPr>
          <w:bCs/>
        </w:rPr>
      </w:pPr>
      <w:r>
        <w:rPr>
          <w:bCs/>
        </w:rPr>
        <w:t>This document presents a comparison of</w:t>
      </w:r>
      <w:r w:rsidRPr="00B82B88">
        <w:rPr>
          <w:bCs/>
        </w:rPr>
        <w:t xml:space="preserve"> different aspects of tourist flows </w:t>
      </w:r>
      <w:r>
        <w:rPr>
          <w:bCs/>
        </w:rPr>
        <w:t>to</w:t>
      </w:r>
      <w:r w:rsidRPr="00B82B88">
        <w:rPr>
          <w:bCs/>
        </w:rPr>
        <w:t xml:space="preserve"> Antarctica </w:t>
      </w:r>
      <w:r>
        <w:rPr>
          <w:bCs/>
        </w:rPr>
        <w:t>via</w:t>
      </w:r>
      <w:r w:rsidRPr="00B82B88">
        <w:rPr>
          <w:bCs/>
        </w:rPr>
        <w:t xml:space="preserve"> the port of Ushuaia</w:t>
      </w:r>
      <w:r>
        <w:rPr>
          <w:bCs/>
        </w:rPr>
        <w:t>,</w:t>
      </w:r>
      <w:r w:rsidRPr="00B82B88">
        <w:rPr>
          <w:bCs/>
        </w:rPr>
        <w:t xml:space="preserve"> from summer season 2008/2009 to the last season, 2022/2023</w:t>
      </w:r>
      <w:r>
        <w:rPr>
          <w:bCs/>
        </w:rPr>
        <w:t>, b</w:t>
      </w:r>
      <w:r w:rsidRPr="00B82B88">
        <w:rPr>
          <w:bCs/>
        </w:rPr>
        <w:t xml:space="preserve">ased on the data provided by Argentina to the ATCM for fifteen years </w:t>
      </w:r>
      <w:r>
        <w:rPr>
          <w:bCs/>
        </w:rPr>
        <w:t>[</w:t>
      </w:r>
      <w:r w:rsidRPr="00B82B88">
        <w:rPr>
          <w:bCs/>
        </w:rPr>
        <w:t>IP 119 (2009), IP 129 (2010), IP 20 (2011), IP 88 (2012), IP 86 (2013)</w:t>
      </w:r>
      <w:r>
        <w:rPr>
          <w:bCs/>
        </w:rPr>
        <w:t xml:space="preserve">, IP 84 (2014), IP 126 (2015), </w:t>
      </w:r>
      <w:r w:rsidRPr="00B82B88">
        <w:rPr>
          <w:bCs/>
        </w:rPr>
        <w:t>IP 108 (2016), IP 137 (2017), IP 63 (2018), IP 63 (2018), IP 84 (2019), IP 111 (2022) and IP 106 (2023)</w:t>
      </w:r>
      <w:r>
        <w:rPr>
          <w:bCs/>
        </w:rPr>
        <w:t>].</w:t>
      </w:r>
    </w:p>
    <w:p w14:paraId="2D1F0713" w14:textId="77777777" w:rsidR="000E172B" w:rsidRDefault="000E172B" w:rsidP="000E172B">
      <w:pPr>
        <w:jc w:val="both"/>
        <w:rPr>
          <w:bCs/>
        </w:rPr>
      </w:pPr>
    </w:p>
    <w:p w14:paraId="1A5F422A" w14:textId="77777777" w:rsidR="000E172B" w:rsidRPr="0031044A" w:rsidRDefault="000E172B" w:rsidP="000E172B">
      <w:pPr>
        <w:jc w:val="both"/>
        <w:rPr>
          <w:rFonts w:ascii="Arial" w:hAnsi="Arial"/>
          <w:b/>
          <w:i/>
          <w:sz w:val="24"/>
          <w:szCs w:val="22"/>
          <w:lang w:eastAsia="en-GB"/>
        </w:rPr>
      </w:pPr>
      <w:r w:rsidRPr="0031044A">
        <w:rPr>
          <w:rFonts w:ascii="Arial" w:hAnsi="Arial"/>
          <w:b/>
          <w:i/>
          <w:sz w:val="24"/>
          <w:szCs w:val="22"/>
          <w:lang w:eastAsia="en-GB"/>
        </w:rPr>
        <w:t xml:space="preserve">Number of passengers that visited </w:t>
      </w:r>
      <w:proofErr w:type="gramStart"/>
      <w:r w:rsidRPr="0031044A">
        <w:rPr>
          <w:rFonts w:ascii="Arial" w:hAnsi="Arial"/>
          <w:b/>
          <w:i/>
          <w:sz w:val="24"/>
          <w:szCs w:val="22"/>
          <w:lang w:eastAsia="en-GB"/>
        </w:rPr>
        <w:t>Antarctica</w:t>
      </w:r>
      <w:proofErr w:type="gramEnd"/>
    </w:p>
    <w:p w14:paraId="537A0C10" w14:textId="77777777" w:rsidR="000E172B" w:rsidRDefault="000E172B" w:rsidP="000E172B">
      <w:pPr>
        <w:jc w:val="both"/>
        <w:rPr>
          <w:bCs/>
        </w:rPr>
      </w:pPr>
    </w:p>
    <w:p w14:paraId="0C2DB49B" w14:textId="77777777" w:rsidR="000E172B" w:rsidRDefault="000E172B" w:rsidP="000E172B">
      <w:pPr>
        <w:jc w:val="both"/>
        <w:rPr>
          <w:bCs/>
        </w:rPr>
      </w:pPr>
      <w:r>
        <w:rPr>
          <w:bCs/>
        </w:rPr>
        <w:t>T</w:t>
      </w:r>
      <w:r w:rsidRPr="00B82B88">
        <w:rPr>
          <w:bCs/>
        </w:rPr>
        <w:t xml:space="preserve">he number of passengers to Antarctica </w:t>
      </w:r>
      <w:r>
        <w:rPr>
          <w:bCs/>
        </w:rPr>
        <w:t>via</w:t>
      </w:r>
      <w:r w:rsidRPr="00B82B88">
        <w:rPr>
          <w:bCs/>
        </w:rPr>
        <w:t xml:space="preserve"> the port of Us</w:t>
      </w:r>
      <w:r>
        <w:rPr>
          <w:bCs/>
        </w:rPr>
        <w:t>huaia show different variations along t</w:t>
      </w:r>
      <w:r w:rsidRPr="00B82B88">
        <w:rPr>
          <w:bCs/>
        </w:rPr>
        <w:t>he</w:t>
      </w:r>
      <w:r>
        <w:rPr>
          <w:bCs/>
        </w:rPr>
        <w:t xml:space="preserve"> fifteen seasons that were </w:t>
      </w:r>
      <w:proofErr w:type="spellStart"/>
      <w:r>
        <w:rPr>
          <w:bCs/>
        </w:rPr>
        <w:t>analised</w:t>
      </w:r>
      <w:proofErr w:type="spellEnd"/>
      <w:r>
        <w:rPr>
          <w:bCs/>
        </w:rPr>
        <w:t xml:space="preserve">. </w:t>
      </w:r>
      <w:r w:rsidRPr="00B82B88">
        <w:rPr>
          <w:bCs/>
        </w:rPr>
        <w:t xml:space="preserve"> </w:t>
      </w:r>
      <w:r>
        <w:rPr>
          <w:bCs/>
        </w:rPr>
        <w:t xml:space="preserve">First thing to note is </w:t>
      </w:r>
      <w:r w:rsidRPr="00B82B88">
        <w:rPr>
          <w:bCs/>
        </w:rPr>
        <w:t xml:space="preserve">the </w:t>
      </w:r>
      <w:r>
        <w:rPr>
          <w:bCs/>
        </w:rPr>
        <w:t xml:space="preserve">significant </w:t>
      </w:r>
      <w:r w:rsidRPr="00B82B88">
        <w:rPr>
          <w:bCs/>
        </w:rPr>
        <w:t>decrease of 27 % in the number of passengers for the 2011/2012 season</w:t>
      </w:r>
      <w:r>
        <w:rPr>
          <w:bCs/>
        </w:rPr>
        <w:t>,</w:t>
      </w:r>
      <w:r w:rsidRPr="00B82B88">
        <w:rPr>
          <w:bCs/>
        </w:rPr>
        <w:t xml:space="preserve"> compared to the previous one. However, in the following seasons th</w:t>
      </w:r>
      <w:r>
        <w:rPr>
          <w:bCs/>
        </w:rPr>
        <w:t>e number of passengers increased and continued</w:t>
      </w:r>
      <w:r w:rsidRPr="00B82B88">
        <w:rPr>
          <w:bCs/>
        </w:rPr>
        <w:t xml:space="preserve"> to grow until the outbreak of the COVID-19 pandemic in 2020/2021. In the 2</w:t>
      </w:r>
      <w:r>
        <w:rPr>
          <w:bCs/>
        </w:rPr>
        <w:t>021/2022 season, activity started</w:t>
      </w:r>
      <w:r w:rsidRPr="00B82B88">
        <w:rPr>
          <w:bCs/>
        </w:rPr>
        <w:t xml:space="preserve"> to recover with few voyages</w:t>
      </w:r>
      <w:r>
        <w:rPr>
          <w:bCs/>
        </w:rPr>
        <w:t xml:space="preserve">, </w:t>
      </w:r>
      <w:r w:rsidRPr="00B82B88">
        <w:rPr>
          <w:bCs/>
        </w:rPr>
        <w:t>reach</w:t>
      </w:r>
      <w:r>
        <w:rPr>
          <w:bCs/>
        </w:rPr>
        <w:t>ing</w:t>
      </w:r>
      <w:r w:rsidRPr="00B82B88">
        <w:rPr>
          <w:bCs/>
        </w:rPr>
        <w:t xml:space="preserve"> the highest </w:t>
      </w:r>
      <w:r>
        <w:rPr>
          <w:bCs/>
        </w:rPr>
        <w:t>figures</w:t>
      </w:r>
      <w:r w:rsidRPr="00B82B88">
        <w:rPr>
          <w:bCs/>
        </w:rPr>
        <w:t xml:space="preserve"> in the history of Antarctic tourism in the last 2022/2023 season. Figure 1 shows the evolution of tourist flows and the number of voyages over the </w:t>
      </w:r>
      <w:r>
        <w:rPr>
          <w:bCs/>
        </w:rPr>
        <w:t>past</w:t>
      </w:r>
      <w:r w:rsidRPr="00B82B88">
        <w:rPr>
          <w:bCs/>
        </w:rPr>
        <w:t xml:space="preserve"> fifteen years (see Figure 1).</w:t>
      </w:r>
    </w:p>
    <w:p w14:paraId="50765C46" w14:textId="77777777" w:rsidR="000E172B" w:rsidRDefault="000E172B" w:rsidP="000E172B">
      <w:pPr>
        <w:rPr>
          <w:bCs/>
        </w:rPr>
      </w:pPr>
    </w:p>
    <w:p w14:paraId="67BECB95" w14:textId="77777777" w:rsidR="000E172B" w:rsidRPr="0031044A" w:rsidRDefault="000E172B" w:rsidP="000E172B">
      <w:pPr>
        <w:jc w:val="both"/>
        <w:rPr>
          <w:b/>
          <w:bCs/>
        </w:rPr>
      </w:pPr>
      <w:r w:rsidRPr="0031044A">
        <w:rPr>
          <w:b/>
          <w:bCs/>
        </w:rPr>
        <w:t>Figure 1 - Total number of passengers and voyages through the port of Ushuaia per season</w:t>
      </w:r>
    </w:p>
    <w:p w14:paraId="1D951163" w14:textId="77777777" w:rsidR="000E172B" w:rsidRDefault="000E172B" w:rsidP="000E172B">
      <w:pPr>
        <w:jc w:val="both"/>
        <w:rPr>
          <w:bCs/>
        </w:rPr>
      </w:pPr>
    </w:p>
    <w:p w14:paraId="7AC8B8E9" w14:textId="77777777" w:rsidR="000E172B" w:rsidRDefault="000E172B" w:rsidP="000E172B">
      <w:pPr>
        <w:jc w:val="both"/>
        <w:rPr>
          <w:bCs/>
        </w:rPr>
      </w:pPr>
      <w:r>
        <w:rPr>
          <w:noProof/>
          <w:szCs w:val="22"/>
          <w:lang w:val="es-AR"/>
        </w:rPr>
        <w:drawing>
          <wp:inline distT="0" distB="0" distL="0" distR="0" wp14:anchorId="01433719" wp14:editId="0AA56671">
            <wp:extent cx="5311140" cy="3411109"/>
            <wp:effectExtent l="12700" t="12700" r="10160" b="1841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6396" cy="3414485"/>
                    </a:xfrm>
                    <a:prstGeom prst="rect">
                      <a:avLst/>
                    </a:prstGeom>
                    <a:ln>
                      <a:solidFill>
                        <a:prstClr val="black"/>
                      </a:solidFill>
                    </a:ln>
                  </pic:spPr>
                </pic:pic>
              </a:graphicData>
            </a:graphic>
          </wp:inline>
        </w:drawing>
      </w:r>
    </w:p>
    <w:p w14:paraId="016ABA76" w14:textId="77777777" w:rsidR="000E172B" w:rsidRDefault="000E172B" w:rsidP="000E172B">
      <w:pPr>
        <w:jc w:val="both"/>
        <w:rPr>
          <w:bCs/>
        </w:rPr>
      </w:pPr>
    </w:p>
    <w:p w14:paraId="767FDF0F" w14:textId="77777777" w:rsidR="000E172B" w:rsidRPr="000E172B" w:rsidRDefault="000E172B" w:rsidP="000E172B">
      <w:pPr>
        <w:spacing w:after="240"/>
        <w:jc w:val="center"/>
        <w:rPr>
          <w:i/>
          <w:iCs/>
          <w:sz w:val="18"/>
          <w:szCs w:val="18"/>
          <w:lang w:val="es-AR" w:eastAsia="es-AR"/>
        </w:rPr>
      </w:pPr>
      <w:proofErr w:type="spellStart"/>
      <w:r w:rsidRPr="000E172B">
        <w:rPr>
          <w:i/>
          <w:iCs/>
          <w:sz w:val="18"/>
          <w:szCs w:val="18"/>
          <w:lang w:val="es-AR" w:eastAsia="es-AR"/>
        </w:rPr>
        <w:t>Source</w:t>
      </w:r>
      <w:proofErr w:type="spellEnd"/>
      <w:r w:rsidRPr="000E172B">
        <w:rPr>
          <w:i/>
          <w:iCs/>
          <w:sz w:val="18"/>
          <w:szCs w:val="18"/>
          <w:lang w:val="es-AR" w:eastAsia="es-AR"/>
        </w:rPr>
        <w:t>: Universidad Nacional de Tierra del Fuego, Antártida e Islas del Atlántico Sur (UNTDF)</w:t>
      </w:r>
    </w:p>
    <w:p w14:paraId="229D4A5F" w14:textId="77777777" w:rsidR="000E172B" w:rsidRPr="00B82B88" w:rsidRDefault="000E172B" w:rsidP="000E172B">
      <w:pPr>
        <w:jc w:val="both"/>
        <w:rPr>
          <w:bCs/>
        </w:rPr>
      </w:pPr>
      <w:r>
        <w:rPr>
          <w:bCs/>
        </w:rPr>
        <w:t>Even though this I</w:t>
      </w:r>
      <w:r w:rsidRPr="00B82B88">
        <w:rPr>
          <w:bCs/>
        </w:rPr>
        <w:t xml:space="preserve">nformation </w:t>
      </w:r>
      <w:r>
        <w:rPr>
          <w:bCs/>
        </w:rPr>
        <w:t>P</w:t>
      </w:r>
      <w:r w:rsidRPr="00B82B88">
        <w:rPr>
          <w:bCs/>
        </w:rPr>
        <w:t>aper deals</w:t>
      </w:r>
      <w:r>
        <w:rPr>
          <w:bCs/>
        </w:rPr>
        <w:t xml:space="preserve"> with the comparison of the past fifteen</w:t>
      </w:r>
      <w:r w:rsidRPr="00B82B88">
        <w:rPr>
          <w:bCs/>
        </w:rPr>
        <w:t xml:space="preserve"> seasons, it should be noted that the 2007/2008 season showed a peak of 44,605 passengers who visited </w:t>
      </w:r>
      <w:r w:rsidRPr="00B82B88">
        <w:rPr>
          <w:bCs/>
        </w:rPr>
        <w:lastRenderedPageBreak/>
        <w:t>Antarctica through the port of Ushuaia</w:t>
      </w:r>
      <w:r>
        <w:rPr>
          <w:rStyle w:val="Refdenotaalpie"/>
          <w:bCs/>
        </w:rPr>
        <w:footnoteReference w:id="1"/>
      </w:r>
      <w:r w:rsidRPr="00B82B88">
        <w:rPr>
          <w:bCs/>
        </w:rPr>
        <w:t xml:space="preserve">, </w:t>
      </w:r>
      <w:r>
        <w:rPr>
          <w:bCs/>
        </w:rPr>
        <w:t>number that was</w:t>
      </w:r>
      <w:r w:rsidRPr="00B82B88">
        <w:rPr>
          <w:bCs/>
        </w:rPr>
        <w:t xml:space="preserve"> only </w:t>
      </w:r>
      <w:r>
        <w:rPr>
          <w:bCs/>
        </w:rPr>
        <w:t xml:space="preserve">reached again </w:t>
      </w:r>
      <w:r w:rsidRPr="00B82B88">
        <w:rPr>
          <w:bCs/>
        </w:rPr>
        <w:t>ten years later, in the 2017/2018 season</w:t>
      </w:r>
      <w:r>
        <w:rPr>
          <w:bCs/>
        </w:rPr>
        <w:t>, when</w:t>
      </w:r>
      <w:r w:rsidRPr="00B82B88">
        <w:rPr>
          <w:bCs/>
        </w:rPr>
        <w:t xml:space="preserve"> a total of 43,000 passengers </w:t>
      </w:r>
      <w:r>
        <w:rPr>
          <w:bCs/>
        </w:rPr>
        <w:t>made the journey</w:t>
      </w:r>
      <w:r w:rsidRPr="00B82B88">
        <w:rPr>
          <w:bCs/>
        </w:rPr>
        <w:t>. In part, the decrease that occurred after the 2007/2008 season was due to the international financial crisis.</w:t>
      </w:r>
    </w:p>
    <w:p w14:paraId="073AF090" w14:textId="77777777" w:rsidR="000E172B" w:rsidRPr="00B82B88" w:rsidRDefault="000E172B" w:rsidP="000E172B">
      <w:pPr>
        <w:jc w:val="both"/>
        <w:rPr>
          <w:bCs/>
        </w:rPr>
      </w:pPr>
    </w:p>
    <w:p w14:paraId="7B2B73D0" w14:textId="77777777" w:rsidR="000E172B" w:rsidRDefault="000E172B" w:rsidP="000E172B">
      <w:pPr>
        <w:jc w:val="both"/>
        <w:rPr>
          <w:bCs/>
        </w:rPr>
      </w:pPr>
      <w:r w:rsidRPr="00B82B88">
        <w:rPr>
          <w:bCs/>
        </w:rPr>
        <w:t>A significant difference appears in the ratio between the number of visi</w:t>
      </w:r>
      <w:r>
        <w:rPr>
          <w:bCs/>
        </w:rPr>
        <w:t>tors aboard vessels that carry</w:t>
      </w:r>
      <w:r w:rsidRPr="00B82B88">
        <w:rPr>
          <w:bCs/>
        </w:rPr>
        <w:t xml:space="preserve"> more than 500 passengers and those that carr</w:t>
      </w:r>
      <w:r>
        <w:rPr>
          <w:bCs/>
        </w:rPr>
        <w:t>y</w:t>
      </w:r>
      <w:r w:rsidRPr="00B82B88">
        <w:rPr>
          <w:bCs/>
        </w:rPr>
        <w:t xml:space="preserve"> up to 500. The number of passengers </w:t>
      </w:r>
      <w:r>
        <w:rPr>
          <w:bCs/>
        </w:rPr>
        <w:t>aboard</w:t>
      </w:r>
      <w:r w:rsidRPr="00B82B88">
        <w:rPr>
          <w:bCs/>
        </w:rPr>
        <w:t xml:space="preserve"> the largest ships, which do not land but only navigate Antarctic waters, has remained practically constant from the 2008/2009 to 2010/2011 season</w:t>
      </w:r>
      <w:r>
        <w:rPr>
          <w:bCs/>
        </w:rPr>
        <w:t>s</w:t>
      </w:r>
      <w:r w:rsidRPr="00B82B88">
        <w:rPr>
          <w:bCs/>
        </w:rPr>
        <w:t xml:space="preserve">, only to drop notably in the following season. This decrease </w:t>
      </w:r>
      <w:r>
        <w:rPr>
          <w:bCs/>
        </w:rPr>
        <w:t>began with</w:t>
      </w:r>
      <w:r w:rsidRPr="00B82B88">
        <w:rPr>
          <w:bCs/>
        </w:rPr>
        <w:t xml:space="preserve"> the amendment</w:t>
      </w:r>
      <w:r>
        <w:rPr>
          <w:bCs/>
        </w:rPr>
        <w:t>s</w:t>
      </w:r>
      <w:r w:rsidRPr="00B82B88">
        <w:rPr>
          <w:bCs/>
        </w:rPr>
        <w:t xml:space="preserve"> to Annex 1</w:t>
      </w:r>
      <w:r>
        <w:rPr>
          <w:bCs/>
        </w:rPr>
        <w:t xml:space="preserve"> of the</w:t>
      </w:r>
      <w:r w:rsidRPr="00B82B88">
        <w:rPr>
          <w:bCs/>
        </w:rPr>
        <w:t xml:space="preserve"> MARPOL (IMO)</w:t>
      </w:r>
      <w:r>
        <w:rPr>
          <w:bCs/>
        </w:rPr>
        <w:t xml:space="preserve"> Convention</w:t>
      </w:r>
      <w:r w:rsidRPr="00B82B88">
        <w:rPr>
          <w:bCs/>
        </w:rPr>
        <w:t xml:space="preserve"> </w:t>
      </w:r>
      <w:r>
        <w:rPr>
          <w:bCs/>
        </w:rPr>
        <w:t xml:space="preserve">which </w:t>
      </w:r>
      <w:r w:rsidRPr="00B82B88">
        <w:rPr>
          <w:bCs/>
        </w:rPr>
        <w:t>entered in force in August 2011</w:t>
      </w:r>
      <w:r>
        <w:rPr>
          <w:bCs/>
        </w:rPr>
        <w:t>, b</w:t>
      </w:r>
      <w:r w:rsidRPr="00B82B88">
        <w:rPr>
          <w:bCs/>
        </w:rPr>
        <w:t>ann</w:t>
      </w:r>
      <w:r>
        <w:rPr>
          <w:bCs/>
        </w:rPr>
        <w:t>ing the use and transport of heavy fuel s</w:t>
      </w:r>
      <w:r w:rsidRPr="00B82B88">
        <w:rPr>
          <w:bCs/>
        </w:rPr>
        <w:t>outh of the 60º S</w:t>
      </w:r>
      <w:r>
        <w:rPr>
          <w:bCs/>
        </w:rPr>
        <w:t xml:space="preserve"> degrees</w:t>
      </w:r>
      <w:r w:rsidRPr="00B82B88">
        <w:rPr>
          <w:bCs/>
        </w:rPr>
        <w:t xml:space="preserve">, </w:t>
      </w:r>
      <w:r>
        <w:rPr>
          <w:bCs/>
        </w:rPr>
        <w:t xml:space="preserve">thus </w:t>
      </w:r>
      <w:r w:rsidRPr="00B82B88">
        <w:rPr>
          <w:bCs/>
        </w:rPr>
        <w:t xml:space="preserve">affecting large vessels, which </w:t>
      </w:r>
      <w:r>
        <w:rPr>
          <w:bCs/>
        </w:rPr>
        <w:t>activity dropped</w:t>
      </w:r>
      <w:r w:rsidRPr="00B82B88">
        <w:rPr>
          <w:bCs/>
        </w:rPr>
        <w:t xml:space="preserve"> 75% compared to the previous season. However, for the following season (2012/2013), the number of passenger</w:t>
      </w:r>
      <w:r>
        <w:rPr>
          <w:bCs/>
        </w:rPr>
        <w:t>s aboard large vessels increased, and steadily grew</w:t>
      </w:r>
      <w:r w:rsidRPr="00B82B88">
        <w:rPr>
          <w:bCs/>
        </w:rPr>
        <w:t xml:space="preserve"> </w:t>
      </w:r>
      <w:r>
        <w:rPr>
          <w:bCs/>
        </w:rPr>
        <w:t>until</w:t>
      </w:r>
      <w:r w:rsidRPr="00B82B88">
        <w:rPr>
          <w:bCs/>
        </w:rPr>
        <w:t xml:space="preserve"> the 2019/2020 season. This type of vessels did not make any voyages to the Antarctic Treaty Area for two seasons due to the pandemic (2020/2021 and 2021/2022),</w:t>
      </w:r>
      <w:r>
        <w:rPr>
          <w:bCs/>
        </w:rPr>
        <w:t xml:space="preserve"> but their activity recovered</w:t>
      </w:r>
      <w:r w:rsidRPr="00B82B88">
        <w:rPr>
          <w:bCs/>
        </w:rPr>
        <w:t xml:space="preserve"> in the 2022/2023 season, demonstrating a relevant increase both in the number of passengers </w:t>
      </w:r>
      <w:r>
        <w:rPr>
          <w:bCs/>
        </w:rPr>
        <w:t>on board</w:t>
      </w:r>
      <w:r w:rsidRPr="00B82B88">
        <w:rPr>
          <w:bCs/>
        </w:rPr>
        <w:t xml:space="preserve"> and in the number of voyages (see Figure 2).</w:t>
      </w:r>
    </w:p>
    <w:p w14:paraId="4D06F8E9" w14:textId="77777777" w:rsidR="000E172B" w:rsidRDefault="000E172B" w:rsidP="000E172B">
      <w:pPr>
        <w:jc w:val="both"/>
        <w:rPr>
          <w:bCs/>
        </w:rPr>
      </w:pPr>
    </w:p>
    <w:p w14:paraId="1F87D059" w14:textId="77777777" w:rsidR="000E172B" w:rsidRPr="008812D1" w:rsidRDefault="000E172B" w:rsidP="000E172B">
      <w:pPr>
        <w:jc w:val="both"/>
        <w:rPr>
          <w:b/>
          <w:bCs/>
        </w:rPr>
      </w:pPr>
      <w:r w:rsidRPr="008812D1">
        <w:rPr>
          <w:b/>
          <w:bCs/>
        </w:rPr>
        <w:t xml:space="preserve">Figure 2 - Visitors aboard vessels that carry more than 500 passengers and number of voyages made through the port of Ushuaia per </w:t>
      </w:r>
      <w:proofErr w:type="gramStart"/>
      <w:r w:rsidRPr="008812D1">
        <w:rPr>
          <w:b/>
          <w:bCs/>
        </w:rPr>
        <w:t>season</w:t>
      </w:r>
      <w:proofErr w:type="gramEnd"/>
      <w:r w:rsidRPr="008812D1">
        <w:rPr>
          <w:b/>
          <w:bCs/>
        </w:rPr>
        <w:t xml:space="preserve"> </w:t>
      </w:r>
    </w:p>
    <w:p w14:paraId="3850A7AC" w14:textId="77777777" w:rsidR="000E172B" w:rsidRDefault="000E172B" w:rsidP="000E172B">
      <w:pPr>
        <w:jc w:val="both"/>
        <w:rPr>
          <w:bCs/>
        </w:rPr>
      </w:pPr>
    </w:p>
    <w:p w14:paraId="093D33F3" w14:textId="77777777" w:rsidR="000E172B" w:rsidRDefault="000E172B" w:rsidP="000E172B">
      <w:pPr>
        <w:jc w:val="both"/>
        <w:rPr>
          <w:bCs/>
        </w:rPr>
      </w:pPr>
    </w:p>
    <w:p w14:paraId="0BFEA92D" w14:textId="77777777" w:rsidR="000E172B" w:rsidRPr="00FF577A" w:rsidRDefault="000E172B" w:rsidP="000E172B">
      <w:pPr>
        <w:jc w:val="both"/>
        <w:rPr>
          <w:bCs/>
        </w:rPr>
      </w:pPr>
      <w:r>
        <w:rPr>
          <w:noProof/>
          <w:szCs w:val="22"/>
          <w:lang w:val="es-AR"/>
        </w:rPr>
        <w:drawing>
          <wp:inline distT="0" distB="0" distL="0" distR="0" wp14:anchorId="0657C4E9" wp14:editId="7029E509">
            <wp:extent cx="5303520" cy="3337560"/>
            <wp:effectExtent l="12700" t="12700" r="17780" b="1524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5003" cy="3338493"/>
                    </a:xfrm>
                    <a:prstGeom prst="rect">
                      <a:avLst/>
                    </a:prstGeom>
                    <a:ln>
                      <a:solidFill>
                        <a:prstClr val="black"/>
                      </a:solidFill>
                    </a:ln>
                  </pic:spPr>
                </pic:pic>
              </a:graphicData>
            </a:graphic>
          </wp:inline>
        </w:drawing>
      </w:r>
    </w:p>
    <w:p w14:paraId="43ACEA28" w14:textId="77777777" w:rsidR="000E172B" w:rsidRPr="000E172B" w:rsidRDefault="000E172B" w:rsidP="000E172B">
      <w:pPr>
        <w:jc w:val="both"/>
        <w:rPr>
          <w:bCs/>
          <w:lang w:val="es-AR"/>
        </w:rPr>
      </w:pPr>
      <w:r w:rsidRPr="000E172B">
        <w:rPr>
          <w:bCs/>
          <w:lang w:val="es-AR"/>
        </w:rPr>
        <w:t xml:space="preserve"> </w:t>
      </w:r>
    </w:p>
    <w:p w14:paraId="5B9FCCF5" w14:textId="77777777" w:rsidR="000E172B" w:rsidRPr="000E172B" w:rsidRDefault="000E172B" w:rsidP="000E172B">
      <w:pPr>
        <w:jc w:val="both"/>
        <w:rPr>
          <w:bCs/>
          <w:i/>
          <w:sz w:val="18"/>
          <w:szCs w:val="18"/>
          <w:lang w:val="es-AR"/>
        </w:rPr>
      </w:pPr>
      <w:proofErr w:type="spellStart"/>
      <w:r w:rsidRPr="000E172B">
        <w:rPr>
          <w:bCs/>
          <w:i/>
          <w:sz w:val="18"/>
          <w:szCs w:val="18"/>
          <w:lang w:val="es-AR"/>
        </w:rPr>
        <w:t>Source</w:t>
      </w:r>
      <w:proofErr w:type="spellEnd"/>
      <w:r w:rsidRPr="000E172B">
        <w:rPr>
          <w:bCs/>
          <w:i/>
          <w:sz w:val="18"/>
          <w:szCs w:val="18"/>
          <w:lang w:val="es-AR"/>
        </w:rPr>
        <w:t>: Universidad Nacional de Tierra del Fuego, Antártida e Islas del Atlántico Sur (UNTDF)</w:t>
      </w:r>
    </w:p>
    <w:p w14:paraId="1C86B756" w14:textId="77777777" w:rsidR="000E172B" w:rsidRPr="000E172B" w:rsidRDefault="000E172B" w:rsidP="000E172B">
      <w:pPr>
        <w:jc w:val="both"/>
        <w:rPr>
          <w:bCs/>
          <w:lang w:val="es-AR"/>
        </w:rPr>
      </w:pPr>
    </w:p>
    <w:p w14:paraId="77341A08" w14:textId="77777777" w:rsidR="000E172B" w:rsidRDefault="000E172B" w:rsidP="000E172B">
      <w:pPr>
        <w:jc w:val="both"/>
        <w:rPr>
          <w:bCs/>
        </w:rPr>
      </w:pPr>
      <w:r w:rsidRPr="00FF577A">
        <w:rPr>
          <w:bCs/>
        </w:rPr>
        <w:t xml:space="preserve">Vessels </w:t>
      </w:r>
      <w:r>
        <w:rPr>
          <w:bCs/>
        </w:rPr>
        <w:t>carrying</w:t>
      </w:r>
      <w:r w:rsidRPr="00FF577A">
        <w:rPr>
          <w:bCs/>
        </w:rPr>
        <w:t xml:space="preserve"> up to 500 passengers show</w:t>
      </w:r>
      <w:r>
        <w:rPr>
          <w:bCs/>
        </w:rPr>
        <w:t>ed</w:t>
      </w:r>
      <w:r w:rsidRPr="00FF577A">
        <w:rPr>
          <w:bCs/>
        </w:rPr>
        <w:t xml:space="preserve"> more moderate fluctuations, with a gradual decrease in the 2009/2010 and 2010/2011 seasons, beginning a relatively constant increase until the 2020/2021 season when there was no movement at all. In the 2021/2022 season a total of 17,265 visitors were registered, a 65.3% decrease </w:t>
      </w:r>
      <w:r>
        <w:rPr>
          <w:bCs/>
        </w:rPr>
        <w:t xml:space="preserve">compared to the 2019/2020 season. </w:t>
      </w:r>
      <w:r w:rsidRPr="00FF577A">
        <w:rPr>
          <w:bCs/>
        </w:rPr>
        <w:t xml:space="preserve">Figure 3 </w:t>
      </w:r>
      <w:r>
        <w:rPr>
          <w:bCs/>
        </w:rPr>
        <w:t>shows the</w:t>
      </w:r>
      <w:r w:rsidRPr="00FF577A">
        <w:rPr>
          <w:bCs/>
        </w:rPr>
        <w:t xml:space="preserve"> number of visitors and voyages made by </w:t>
      </w:r>
      <w:r>
        <w:rPr>
          <w:bCs/>
        </w:rPr>
        <w:t>said</w:t>
      </w:r>
      <w:r w:rsidRPr="00FF577A">
        <w:rPr>
          <w:bCs/>
        </w:rPr>
        <w:t xml:space="preserve"> vessels </w:t>
      </w:r>
      <w:r>
        <w:rPr>
          <w:bCs/>
        </w:rPr>
        <w:t>during</w:t>
      </w:r>
      <w:r w:rsidRPr="00FF577A">
        <w:rPr>
          <w:bCs/>
        </w:rPr>
        <w:t xml:space="preserve"> the period</w:t>
      </w:r>
      <w:r>
        <w:rPr>
          <w:bCs/>
        </w:rPr>
        <w:t xml:space="preserve"> of analysis</w:t>
      </w:r>
      <w:r w:rsidRPr="00FF577A">
        <w:rPr>
          <w:bCs/>
        </w:rPr>
        <w:t>.</w:t>
      </w:r>
    </w:p>
    <w:p w14:paraId="24D7A32A" w14:textId="77777777" w:rsidR="000E172B" w:rsidRDefault="000E172B" w:rsidP="000E172B">
      <w:pPr>
        <w:jc w:val="both"/>
        <w:rPr>
          <w:bCs/>
        </w:rPr>
      </w:pPr>
    </w:p>
    <w:p w14:paraId="7F9B3847" w14:textId="77777777" w:rsidR="000E172B" w:rsidRPr="0031044A" w:rsidRDefault="000E172B" w:rsidP="000E172B">
      <w:pPr>
        <w:jc w:val="both"/>
        <w:rPr>
          <w:b/>
          <w:bCs/>
        </w:rPr>
      </w:pPr>
      <w:r w:rsidRPr="0031044A">
        <w:rPr>
          <w:b/>
          <w:bCs/>
        </w:rPr>
        <w:t xml:space="preserve">Figure 3 - Visitors aboard vessels that carry up to 500 passengers and number of voyages made through the port of Ushuaia per </w:t>
      </w:r>
      <w:proofErr w:type="gramStart"/>
      <w:r w:rsidRPr="0031044A">
        <w:rPr>
          <w:b/>
          <w:bCs/>
        </w:rPr>
        <w:t>season</w:t>
      </w:r>
      <w:proofErr w:type="gramEnd"/>
    </w:p>
    <w:p w14:paraId="00CAFA93" w14:textId="77777777" w:rsidR="000E172B" w:rsidRDefault="000E172B" w:rsidP="000E172B">
      <w:pPr>
        <w:jc w:val="both"/>
        <w:rPr>
          <w:bCs/>
        </w:rPr>
      </w:pPr>
    </w:p>
    <w:p w14:paraId="05FB99C5" w14:textId="77777777" w:rsidR="000E172B" w:rsidRDefault="000E172B" w:rsidP="000E172B">
      <w:pPr>
        <w:jc w:val="both"/>
        <w:rPr>
          <w:bCs/>
        </w:rPr>
      </w:pPr>
      <w:r>
        <w:rPr>
          <w:b/>
          <w:noProof/>
          <w:lang w:eastAsia="es-AR"/>
        </w:rPr>
        <w:lastRenderedPageBreak/>
        <w:drawing>
          <wp:inline distT="0" distB="0" distL="0" distR="0" wp14:anchorId="12449048" wp14:editId="6B5FDBB7">
            <wp:extent cx="5303520" cy="3792772"/>
            <wp:effectExtent l="12700" t="12700" r="17780" b="1778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6193" cy="3794683"/>
                    </a:xfrm>
                    <a:prstGeom prst="rect">
                      <a:avLst/>
                    </a:prstGeom>
                    <a:ln>
                      <a:solidFill>
                        <a:prstClr val="black"/>
                      </a:solidFill>
                    </a:ln>
                  </pic:spPr>
                </pic:pic>
              </a:graphicData>
            </a:graphic>
          </wp:inline>
        </w:drawing>
      </w:r>
    </w:p>
    <w:p w14:paraId="2046CF2B" w14:textId="77777777" w:rsidR="000E172B" w:rsidRDefault="000E172B" w:rsidP="000E172B">
      <w:pPr>
        <w:jc w:val="both"/>
        <w:rPr>
          <w:bCs/>
        </w:rPr>
      </w:pPr>
    </w:p>
    <w:p w14:paraId="57867739" w14:textId="77777777" w:rsidR="000E172B" w:rsidRPr="000E172B" w:rsidRDefault="000E172B" w:rsidP="000E172B">
      <w:pPr>
        <w:spacing w:after="240"/>
        <w:jc w:val="center"/>
        <w:rPr>
          <w:i/>
          <w:iCs/>
          <w:sz w:val="18"/>
          <w:szCs w:val="18"/>
          <w:lang w:val="es-AR" w:eastAsia="es-AR"/>
        </w:rPr>
      </w:pPr>
      <w:proofErr w:type="spellStart"/>
      <w:r w:rsidRPr="000E172B">
        <w:rPr>
          <w:i/>
          <w:iCs/>
          <w:sz w:val="18"/>
          <w:szCs w:val="18"/>
          <w:lang w:val="es-AR" w:eastAsia="es-AR"/>
        </w:rPr>
        <w:t>Source</w:t>
      </w:r>
      <w:proofErr w:type="spellEnd"/>
      <w:r w:rsidRPr="000E172B">
        <w:rPr>
          <w:i/>
          <w:iCs/>
          <w:sz w:val="18"/>
          <w:szCs w:val="18"/>
          <w:lang w:val="es-AR" w:eastAsia="es-AR"/>
        </w:rPr>
        <w:t>: Universidad Nacional de Tierra del Fuego, Antártida e Islas del Atlántico Sur (UNTDF)</w:t>
      </w:r>
    </w:p>
    <w:p w14:paraId="5C98B503" w14:textId="77777777" w:rsidR="000E172B" w:rsidRPr="000E172B" w:rsidRDefault="000E172B" w:rsidP="000E172B">
      <w:pPr>
        <w:jc w:val="both"/>
        <w:rPr>
          <w:bCs/>
          <w:lang w:val="es-AR"/>
        </w:rPr>
      </w:pPr>
    </w:p>
    <w:p w14:paraId="69651A71" w14:textId="77777777" w:rsidR="000E172B" w:rsidRPr="0031044A" w:rsidRDefault="000E172B" w:rsidP="000E172B">
      <w:pPr>
        <w:jc w:val="both"/>
        <w:rPr>
          <w:rFonts w:ascii="Arial" w:hAnsi="Arial"/>
          <w:b/>
          <w:i/>
          <w:sz w:val="24"/>
          <w:szCs w:val="22"/>
          <w:lang w:eastAsia="en-GB"/>
        </w:rPr>
      </w:pPr>
      <w:r w:rsidRPr="0031044A">
        <w:rPr>
          <w:rFonts w:ascii="Arial" w:hAnsi="Arial"/>
          <w:b/>
          <w:i/>
          <w:sz w:val="24"/>
          <w:szCs w:val="22"/>
          <w:lang w:eastAsia="en-GB"/>
        </w:rPr>
        <w:t xml:space="preserve">Number of vessels that travelled to </w:t>
      </w:r>
      <w:proofErr w:type="gramStart"/>
      <w:r w:rsidRPr="0031044A">
        <w:rPr>
          <w:rFonts w:ascii="Arial" w:hAnsi="Arial"/>
          <w:b/>
          <w:i/>
          <w:sz w:val="24"/>
          <w:szCs w:val="22"/>
          <w:lang w:eastAsia="en-GB"/>
        </w:rPr>
        <w:t>Antarctica</w:t>
      </w:r>
      <w:proofErr w:type="gramEnd"/>
    </w:p>
    <w:p w14:paraId="66B43F89" w14:textId="77777777" w:rsidR="000E172B" w:rsidRDefault="000E172B" w:rsidP="000E172B">
      <w:pPr>
        <w:jc w:val="both"/>
        <w:rPr>
          <w:bCs/>
        </w:rPr>
      </w:pPr>
    </w:p>
    <w:p w14:paraId="2BF6467C" w14:textId="77777777" w:rsidR="000E172B" w:rsidRPr="008812D1" w:rsidRDefault="000E172B" w:rsidP="000E172B">
      <w:pPr>
        <w:jc w:val="both"/>
        <w:rPr>
          <w:bCs/>
        </w:rPr>
      </w:pPr>
      <w:r w:rsidRPr="008812D1">
        <w:rPr>
          <w:bCs/>
        </w:rPr>
        <w:t xml:space="preserve">Although the number of vessels varies each season, fluctuation can be observed until the 2014/2015 season, </w:t>
      </w:r>
      <w:r>
        <w:rPr>
          <w:bCs/>
        </w:rPr>
        <w:t xml:space="preserve">as </w:t>
      </w:r>
      <w:r w:rsidRPr="008812D1">
        <w:rPr>
          <w:bCs/>
        </w:rPr>
        <w:t xml:space="preserve">from the 2015/2016 season onwards there is a </w:t>
      </w:r>
      <w:r>
        <w:rPr>
          <w:bCs/>
        </w:rPr>
        <w:t xml:space="preserve">constant </w:t>
      </w:r>
      <w:r w:rsidRPr="008812D1">
        <w:rPr>
          <w:bCs/>
        </w:rPr>
        <w:t>growth in the numbe</w:t>
      </w:r>
      <w:r>
        <w:rPr>
          <w:bCs/>
        </w:rPr>
        <w:t>r of vessels that make landings (except for the Covid pandemic).</w:t>
      </w:r>
    </w:p>
    <w:p w14:paraId="21FAC31D" w14:textId="77777777" w:rsidR="000E172B" w:rsidRDefault="000E172B" w:rsidP="000E172B">
      <w:pPr>
        <w:jc w:val="both"/>
        <w:rPr>
          <w:bCs/>
        </w:rPr>
      </w:pPr>
    </w:p>
    <w:p w14:paraId="2C1BEEA0" w14:textId="77777777" w:rsidR="000E172B" w:rsidRDefault="000E172B" w:rsidP="000E172B">
      <w:pPr>
        <w:jc w:val="both"/>
        <w:rPr>
          <w:bCs/>
        </w:rPr>
      </w:pPr>
      <w:r w:rsidRPr="008812D1">
        <w:rPr>
          <w:bCs/>
        </w:rPr>
        <w:t xml:space="preserve">On the other hand, it is interesting to note that during the last few seasons there has been a change in the shipping fleets, </w:t>
      </w:r>
      <w:r>
        <w:rPr>
          <w:bCs/>
        </w:rPr>
        <w:t xml:space="preserve">as </w:t>
      </w:r>
      <w:r w:rsidRPr="008812D1">
        <w:rPr>
          <w:bCs/>
        </w:rPr>
        <w:t xml:space="preserve">these tend to provide greater capacity, </w:t>
      </w:r>
      <w:r>
        <w:rPr>
          <w:bCs/>
        </w:rPr>
        <w:t xml:space="preserve">thus </w:t>
      </w:r>
      <w:r w:rsidRPr="008812D1">
        <w:rPr>
          <w:bCs/>
        </w:rPr>
        <w:t>allowing an increase in the number of passengers transported.</w:t>
      </w:r>
      <w:r>
        <w:rPr>
          <w:bCs/>
        </w:rPr>
        <w:t xml:space="preserve"> </w:t>
      </w:r>
      <w:r w:rsidRPr="00E5610A">
        <w:rPr>
          <w:bCs/>
        </w:rPr>
        <w:t xml:space="preserve">Some innovations include hybrid power units and battery systems that facilitate navigation without emissions and </w:t>
      </w:r>
      <w:r>
        <w:rPr>
          <w:bCs/>
        </w:rPr>
        <w:t xml:space="preserve">silently </w:t>
      </w:r>
      <w:r w:rsidRPr="00E5610A">
        <w:rPr>
          <w:bCs/>
        </w:rPr>
        <w:t xml:space="preserve">in sensitive areas, solar panels, advanced systems for waste treatment, waste heat recovery systems, anti-icing systems for bridge windows, among others. In addition, some vessels include specific equipment such as helicopters, small submarines and submarine remotely operated vehicles (ROVs). Some vessels may also have hydrophones that </w:t>
      </w:r>
      <w:r>
        <w:rPr>
          <w:bCs/>
        </w:rPr>
        <w:t>can capture the sounds of the</w:t>
      </w:r>
      <w:r w:rsidRPr="00E5610A">
        <w:rPr>
          <w:bCs/>
        </w:rPr>
        <w:t xml:space="preserve"> sea. In this respect, vessels must comply with the requirements derived from the Polar Code on environmental and safety matters that came into force in 2017. Figure 4 shows the number of vessels that operated throughout the different seasons.</w:t>
      </w:r>
    </w:p>
    <w:p w14:paraId="469E47B7" w14:textId="77777777" w:rsidR="000E172B" w:rsidRDefault="000E172B" w:rsidP="000E172B">
      <w:pPr>
        <w:jc w:val="both"/>
        <w:rPr>
          <w:bCs/>
        </w:rPr>
      </w:pPr>
    </w:p>
    <w:p w14:paraId="41321E48" w14:textId="77777777" w:rsidR="000E172B" w:rsidRPr="0031044A" w:rsidRDefault="000E172B" w:rsidP="000E172B">
      <w:pPr>
        <w:jc w:val="both"/>
        <w:rPr>
          <w:b/>
          <w:bCs/>
        </w:rPr>
      </w:pPr>
      <w:r w:rsidRPr="0031044A">
        <w:rPr>
          <w:b/>
          <w:bCs/>
        </w:rPr>
        <w:t xml:space="preserve">Figure 4 - Number of vessels that operated through the port of Ushuaia, according to their </w:t>
      </w:r>
      <w:proofErr w:type="gramStart"/>
      <w:r w:rsidRPr="0031044A">
        <w:rPr>
          <w:b/>
          <w:bCs/>
        </w:rPr>
        <w:t>type</w:t>
      </w:r>
      <w:proofErr w:type="gramEnd"/>
    </w:p>
    <w:p w14:paraId="3AC09217" w14:textId="77777777" w:rsidR="000E172B" w:rsidRDefault="000E172B" w:rsidP="000E172B">
      <w:pPr>
        <w:jc w:val="both"/>
        <w:rPr>
          <w:bCs/>
        </w:rPr>
      </w:pPr>
    </w:p>
    <w:p w14:paraId="08B13F58" w14:textId="77777777" w:rsidR="000E172B" w:rsidRDefault="000E172B" w:rsidP="000E172B">
      <w:pPr>
        <w:jc w:val="both"/>
        <w:rPr>
          <w:bCs/>
        </w:rPr>
      </w:pPr>
      <w:r>
        <w:rPr>
          <w:noProof/>
          <w:szCs w:val="22"/>
          <w:lang w:val="es-AR"/>
        </w:rPr>
        <w:lastRenderedPageBreak/>
        <w:drawing>
          <wp:inline distT="0" distB="0" distL="0" distR="0" wp14:anchorId="577CF936" wp14:editId="70715EA9">
            <wp:extent cx="5136229" cy="4380947"/>
            <wp:effectExtent l="12700" t="12700" r="7620" b="13335"/>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3120" cy="4386825"/>
                    </a:xfrm>
                    <a:prstGeom prst="rect">
                      <a:avLst/>
                    </a:prstGeom>
                    <a:ln>
                      <a:solidFill>
                        <a:prstClr val="black"/>
                      </a:solidFill>
                    </a:ln>
                  </pic:spPr>
                </pic:pic>
              </a:graphicData>
            </a:graphic>
          </wp:inline>
        </w:drawing>
      </w:r>
    </w:p>
    <w:p w14:paraId="12D7D549" w14:textId="77777777" w:rsidR="000E172B" w:rsidRPr="000E172B" w:rsidRDefault="000E172B" w:rsidP="000E172B">
      <w:pPr>
        <w:spacing w:after="240"/>
        <w:jc w:val="center"/>
        <w:rPr>
          <w:i/>
          <w:iCs/>
          <w:sz w:val="18"/>
          <w:szCs w:val="18"/>
          <w:lang w:val="es-AR" w:eastAsia="es-AR"/>
        </w:rPr>
      </w:pPr>
      <w:proofErr w:type="spellStart"/>
      <w:r w:rsidRPr="000E172B">
        <w:rPr>
          <w:i/>
          <w:iCs/>
          <w:sz w:val="18"/>
          <w:szCs w:val="18"/>
          <w:lang w:val="es-AR" w:eastAsia="es-AR"/>
        </w:rPr>
        <w:t>Source</w:t>
      </w:r>
      <w:proofErr w:type="spellEnd"/>
      <w:r w:rsidRPr="000E172B">
        <w:rPr>
          <w:i/>
          <w:iCs/>
          <w:sz w:val="18"/>
          <w:szCs w:val="18"/>
          <w:lang w:val="es-AR" w:eastAsia="es-AR"/>
        </w:rPr>
        <w:t>: Universidad Nacional de Tierra del Fuego, Antártida e Islas del Atlántico Sur (UNTDF)</w:t>
      </w:r>
    </w:p>
    <w:p w14:paraId="7D1DFB7A" w14:textId="77777777" w:rsidR="000E172B" w:rsidRPr="0031044A" w:rsidRDefault="000E172B" w:rsidP="000E172B">
      <w:pPr>
        <w:jc w:val="both"/>
        <w:rPr>
          <w:rFonts w:ascii="Arial" w:hAnsi="Arial"/>
          <w:b/>
          <w:i/>
          <w:sz w:val="24"/>
          <w:szCs w:val="22"/>
          <w:lang w:eastAsia="en-GB"/>
        </w:rPr>
      </w:pPr>
      <w:r w:rsidRPr="0031044A">
        <w:rPr>
          <w:rFonts w:ascii="Arial" w:hAnsi="Arial"/>
          <w:b/>
          <w:i/>
          <w:sz w:val="24"/>
          <w:szCs w:val="22"/>
          <w:lang w:eastAsia="en-GB"/>
        </w:rPr>
        <w:t>Length of the seasons</w:t>
      </w:r>
    </w:p>
    <w:p w14:paraId="02456CBD" w14:textId="77777777" w:rsidR="000E172B" w:rsidRDefault="000E172B" w:rsidP="000E172B">
      <w:pPr>
        <w:jc w:val="both"/>
        <w:rPr>
          <w:bCs/>
        </w:rPr>
      </w:pPr>
    </w:p>
    <w:p w14:paraId="3C69340D" w14:textId="77777777" w:rsidR="000E172B" w:rsidRPr="009314D4" w:rsidRDefault="000E172B" w:rsidP="000E172B">
      <w:pPr>
        <w:jc w:val="both"/>
        <w:rPr>
          <w:bCs/>
        </w:rPr>
      </w:pPr>
      <w:r w:rsidRPr="009314D4">
        <w:rPr>
          <w:bCs/>
        </w:rPr>
        <w:t xml:space="preserve">In general terms, the tourist seasons present a greater extension </w:t>
      </w:r>
      <w:r>
        <w:rPr>
          <w:bCs/>
        </w:rPr>
        <w:t>since</w:t>
      </w:r>
      <w:r w:rsidRPr="009314D4">
        <w:rPr>
          <w:bCs/>
        </w:rPr>
        <w:t xml:space="preserve"> the 2015/2016 season, coinciding with the increase in voyages and passengers, except for the 2008/2009 season which lasted 179 days.</w:t>
      </w:r>
    </w:p>
    <w:p w14:paraId="2AFEA2B4" w14:textId="77777777" w:rsidR="000E172B" w:rsidRDefault="000E172B" w:rsidP="000E172B">
      <w:pPr>
        <w:jc w:val="both"/>
        <w:rPr>
          <w:bCs/>
        </w:rPr>
      </w:pPr>
    </w:p>
    <w:p w14:paraId="05B4A4EB" w14:textId="77777777" w:rsidR="000E172B" w:rsidRPr="009314D4" w:rsidRDefault="000E172B" w:rsidP="000E172B">
      <w:pPr>
        <w:jc w:val="both"/>
        <w:rPr>
          <w:bCs/>
        </w:rPr>
      </w:pPr>
      <w:r w:rsidRPr="009314D4">
        <w:rPr>
          <w:bCs/>
        </w:rPr>
        <w:t>In the first seasons of th</w:t>
      </w:r>
      <w:r>
        <w:rPr>
          <w:bCs/>
        </w:rPr>
        <w:t>e analysed</w:t>
      </w:r>
      <w:r w:rsidRPr="009314D4">
        <w:rPr>
          <w:bCs/>
        </w:rPr>
        <w:t xml:space="preserve"> period, the departure of the icebreaker </w:t>
      </w:r>
      <w:proofErr w:type="spellStart"/>
      <w:r w:rsidRPr="009314D4">
        <w:rPr>
          <w:bCs/>
        </w:rPr>
        <w:t>Kapitan</w:t>
      </w:r>
      <w:proofErr w:type="spellEnd"/>
      <w:r w:rsidRPr="009314D4">
        <w:rPr>
          <w:bCs/>
        </w:rPr>
        <w:t xml:space="preserve"> Khlebnikov </w:t>
      </w:r>
      <w:r>
        <w:rPr>
          <w:bCs/>
        </w:rPr>
        <w:t>marked</w:t>
      </w:r>
      <w:r w:rsidRPr="009314D4">
        <w:rPr>
          <w:bCs/>
        </w:rPr>
        <w:t xml:space="preserve"> the early beginning of voyages in October.</w:t>
      </w:r>
    </w:p>
    <w:p w14:paraId="7E277075" w14:textId="77777777" w:rsidR="000E172B" w:rsidRDefault="000E172B" w:rsidP="000E172B">
      <w:pPr>
        <w:jc w:val="both"/>
        <w:rPr>
          <w:bCs/>
        </w:rPr>
      </w:pPr>
    </w:p>
    <w:p w14:paraId="4A123556" w14:textId="77777777" w:rsidR="000E172B" w:rsidRDefault="000E172B" w:rsidP="000E172B">
      <w:pPr>
        <w:jc w:val="both"/>
        <w:rPr>
          <w:bCs/>
        </w:rPr>
      </w:pPr>
      <w:r w:rsidRPr="009314D4">
        <w:rPr>
          <w:bCs/>
        </w:rPr>
        <w:t xml:space="preserve">Four seasons lasted more than 170 days, with the 2018/2019 season being the longest, </w:t>
      </w:r>
      <w:r>
        <w:rPr>
          <w:bCs/>
        </w:rPr>
        <w:t>as it</w:t>
      </w:r>
      <w:r w:rsidRPr="009314D4">
        <w:rPr>
          <w:bCs/>
        </w:rPr>
        <w:t xml:space="preserve"> extended for 180 days.</w:t>
      </w:r>
    </w:p>
    <w:p w14:paraId="3794EF65" w14:textId="77777777" w:rsidR="000E172B" w:rsidRDefault="000E172B" w:rsidP="000E172B">
      <w:pPr>
        <w:jc w:val="both"/>
        <w:rPr>
          <w:bCs/>
        </w:rPr>
      </w:pPr>
    </w:p>
    <w:p w14:paraId="67B0D6A6" w14:textId="77777777" w:rsidR="000E172B" w:rsidRDefault="000E172B" w:rsidP="000E172B">
      <w:pPr>
        <w:pStyle w:val="Textoindependiente"/>
        <w:jc w:val="both"/>
      </w:pPr>
      <w:r w:rsidRPr="00802415">
        <w:t xml:space="preserve">Based on the consequences </w:t>
      </w:r>
      <w:r>
        <w:t xml:space="preserve">caused by the COVID-19 pandemic, a small dip is observed in the 2019/2020 season compared to the previous one, since some voyages were cancelled by the end of the season. </w:t>
      </w:r>
    </w:p>
    <w:p w14:paraId="062779CC" w14:textId="77777777" w:rsidR="000E172B" w:rsidRDefault="000E172B" w:rsidP="000E172B">
      <w:pPr>
        <w:pStyle w:val="Textoindependiente"/>
        <w:jc w:val="both"/>
      </w:pPr>
    </w:p>
    <w:p w14:paraId="33783245" w14:textId="77777777" w:rsidR="000E172B" w:rsidRDefault="000E172B" w:rsidP="000E172B">
      <w:pPr>
        <w:pStyle w:val="Textoindependiente"/>
        <w:jc w:val="both"/>
        <w:rPr>
          <w:rStyle w:val="y2iqfc"/>
          <w:lang w:val="en"/>
        </w:rPr>
      </w:pPr>
      <w:r>
        <w:t xml:space="preserve">The 2021/2022 season is the shortest, coinciding with the lower flow of tourists </w:t>
      </w:r>
      <w:proofErr w:type="gramStart"/>
      <w:r>
        <w:t>as a result of</w:t>
      </w:r>
      <w:proofErr w:type="gramEnd"/>
      <w:r>
        <w:t xml:space="preserve"> the pandemic. </w:t>
      </w:r>
      <w:r w:rsidRPr="00802415">
        <w:rPr>
          <w:rStyle w:val="y2iqfc"/>
          <w:lang w:val="en"/>
        </w:rPr>
        <w:t xml:space="preserve">Figure 5 </w:t>
      </w:r>
      <w:r>
        <w:rPr>
          <w:rStyle w:val="y2iqfc"/>
          <w:lang w:val="en"/>
        </w:rPr>
        <w:t>presents</w:t>
      </w:r>
      <w:r w:rsidRPr="00802415">
        <w:rPr>
          <w:rStyle w:val="y2iqfc"/>
          <w:lang w:val="en"/>
        </w:rPr>
        <w:t xml:space="preserve"> the extension of </w:t>
      </w:r>
      <w:r>
        <w:rPr>
          <w:rStyle w:val="y2iqfc"/>
          <w:lang w:val="en"/>
        </w:rPr>
        <w:t xml:space="preserve">the </w:t>
      </w:r>
      <w:r w:rsidRPr="00802415">
        <w:rPr>
          <w:rStyle w:val="y2iqfc"/>
          <w:lang w:val="en"/>
        </w:rPr>
        <w:t>tourist seasons for the entire period</w:t>
      </w:r>
      <w:r>
        <w:rPr>
          <w:rStyle w:val="y2iqfc"/>
          <w:lang w:val="en"/>
        </w:rPr>
        <w:t xml:space="preserve"> of analysis.</w:t>
      </w:r>
    </w:p>
    <w:p w14:paraId="252D4C85" w14:textId="77777777" w:rsidR="000E172B" w:rsidRDefault="000E172B" w:rsidP="000E172B">
      <w:pPr>
        <w:pStyle w:val="Textoindependiente"/>
        <w:jc w:val="both"/>
      </w:pPr>
    </w:p>
    <w:p w14:paraId="55DD60C8" w14:textId="77777777" w:rsidR="000E172B" w:rsidRDefault="000E172B" w:rsidP="000E172B">
      <w:pPr>
        <w:pStyle w:val="ATSNormal"/>
        <w:spacing w:before="240"/>
        <w:outlineLvl w:val="0"/>
        <w:rPr>
          <w:b/>
          <w:lang w:val="es-AR"/>
        </w:rPr>
      </w:pPr>
      <w:r>
        <w:rPr>
          <w:b/>
          <w:lang w:val="es-AR"/>
        </w:rPr>
        <w:t xml:space="preserve">Figure 5 - </w:t>
      </w:r>
      <w:proofErr w:type="spellStart"/>
      <w:r>
        <w:rPr>
          <w:b/>
          <w:lang w:val="es-AR"/>
        </w:rPr>
        <w:t>Extension</w:t>
      </w:r>
      <w:proofErr w:type="spellEnd"/>
      <w:r>
        <w:rPr>
          <w:b/>
          <w:lang w:val="es-AR"/>
        </w:rPr>
        <w:t xml:space="preserve"> </w:t>
      </w:r>
      <w:proofErr w:type="spellStart"/>
      <w:r>
        <w:rPr>
          <w:b/>
          <w:lang w:val="es-AR"/>
        </w:rPr>
        <w:t>of</w:t>
      </w:r>
      <w:proofErr w:type="spellEnd"/>
      <w:r>
        <w:rPr>
          <w:b/>
          <w:lang w:val="es-AR"/>
        </w:rPr>
        <w:t xml:space="preserve"> </w:t>
      </w:r>
      <w:proofErr w:type="spellStart"/>
      <w:r>
        <w:rPr>
          <w:b/>
          <w:lang w:val="es-AR"/>
        </w:rPr>
        <w:t>tourist</w:t>
      </w:r>
      <w:proofErr w:type="spellEnd"/>
      <w:r>
        <w:rPr>
          <w:b/>
          <w:lang w:val="es-AR"/>
        </w:rPr>
        <w:t xml:space="preserve"> </w:t>
      </w:r>
      <w:proofErr w:type="spellStart"/>
      <w:r>
        <w:rPr>
          <w:b/>
          <w:lang w:val="es-AR"/>
        </w:rPr>
        <w:t>seasons</w:t>
      </w:r>
      <w:proofErr w:type="spellEnd"/>
    </w:p>
    <w:p w14:paraId="28D6CA06" w14:textId="77777777" w:rsidR="000E172B" w:rsidRDefault="000E172B" w:rsidP="000E172B">
      <w:pPr>
        <w:pStyle w:val="Textoindependiente"/>
      </w:pPr>
      <w:r>
        <w:rPr>
          <w:b/>
          <w:noProof/>
          <w:lang w:val="es-AR" w:eastAsia="es-AR"/>
        </w:rPr>
        <w:lastRenderedPageBreak/>
        <w:drawing>
          <wp:inline distT="0" distB="0" distL="0" distR="0" wp14:anchorId="484975A0" wp14:editId="45325B42">
            <wp:extent cx="5400300" cy="4277802"/>
            <wp:effectExtent l="12700" t="12700" r="10160" b="1524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3507" cy="4280342"/>
                    </a:xfrm>
                    <a:prstGeom prst="rect">
                      <a:avLst/>
                    </a:prstGeom>
                    <a:ln>
                      <a:solidFill>
                        <a:prstClr val="black"/>
                      </a:solidFill>
                    </a:ln>
                  </pic:spPr>
                </pic:pic>
              </a:graphicData>
            </a:graphic>
          </wp:inline>
        </w:drawing>
      </w:r>
    </w:p>
    <w:p w14:paraId="53111B33" w14:textId="77777777" w:rsidR="000E172B" w:rsidRPr="000E172B" w:rsidRDefault="000E172B" w:rsidP="000E172B">
      <w:pPr>
        <w:spacing w:after="240"/>
        <w:jc w:val="center"/>
        <w:rPr>
          <w:i/>
          <w:iCs/>
          <w:sz w:val="18"/>
          <w:szCs w:val="18"/>
          <w:lang w:val="es-AR" w:eastAsia="es-AR"/>
        </w:rPr>
      </w:pPr>
      <w:proofErr w:type="spellStart"/>
      <w:r w:rsidRPr="000E172B">
        <w:rPr>
          <w:i/>
          <w:iCs/>
          <w:sz w:val="18"/>
          <w:szCs w:val="18"/>
          <w:lang w:val="es-AR" w:eastAsia="es-AR"/>
        </w:rPr>
        <w:t>Source</w:t>
      </w:r>
      <w:proofErr w:type="spellEnd"/>
      <w:r w:rsidRPr="000E172B">
        <w:rPr>
          <w:i/>
          <w:iCs/>
          <w:sz w:val="18"/>
          <w:szCs w:val="18"/>
          <w:lang w:val="es-AR" w:eastAsia="es-AR"/>
        </w:rPr>
        <w:t>: Universidad Nacional de Tierra del Fuego, Antártida e Islas del Atlántico Sur (UNTDF)</w:t>
      </w:r>
    </w:p>
    <w:p w14:paraId="524D5742" w14:textId="77777777" w:rsidR="000E172B" w:rsidRPr="000E172B" w:rsidRDefault="000E172B" w:rsidP="000E172B">
      <w:pPr>
        <w:pStyle w:val="Textoindependiente"/>
        <w:rPr>
          <w:lang w:val="es-AR"/>
        </w:rPr>
      </w:pPr>
    </w:p>
    <w:p w14:paraId="7C194FBF" w14:textId="77777777" w:rsidR="000E172B" w:rsidRPr="000E172B" w:rsidRDefault="000E172B" w:rsidP="000E172B">
      <w:pPr>
        <w:jc w:val="both"/>
        <w:rPr>
          <w:bCs/>
          <w:lang w:val="es-AR"/>
        </w:rPr>
      </w:pPr>
    </w:p>
    <w:p w14:paraId="72154B3E" w14:textId="77777777" w:rsidR="000E172B" w:rsidRPr="000E172B" w:rsidRDefault="000E172B" w:rsidP="000E172B">
      <w:pPr>
        <w:jc w:val="both"/>
        <w:rPr>
          <w:bCs/>
          <w:lang w:val="es-AR"/>
        </w:rPr>
      </w:pPr>
    </w:p>
    <w:p w14:paraId="35F48947" w14:textId="77777777" w:rsidR="000E172B" w:rsidRPr="000E172B" w:rsidRDefault="000E172B" w:rsidP="000E172B">
      <w:pPr>
        <w:jc w:val="both"/>
        <w:rPr>
          <w:bCs/>
          <w:lang w:val="es-AR"/>
        </w:rPr>
      </w:pPr>
    </w:p>
    <w:p w14:paraId="67DF9453" w14:textId="77777777" w:rsidR="000E172B" w:rsidRPr="000E172B" w:rsidRDefault="000E172B" w:rsidP="00952E9F">
      <w:pPr>
        <w:rPr>
          <w:lang w:val="es-AR"/>
        </w:rPr>
      </w:pPr>
    </w:p>
    <w:sectPr w:rsidR="000E172B" w:rsidRPr="000E172B"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53F1" w14:textId="77777777" w:rsidR="00000000" w:rsidRDefault="000E172B">
      <w:r>
        <w:separator/>
      </w:r>
    </w:p>
  </w:endnote>
  <w:endnote w:type="continuationSeparator" w:id="0">
    <w:p w14:paraId="144CA694" w14:textId="77777777" w:rsidR="00000000" w:rsidRDefault="000E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4507F" w14:textId="77777777" w:rsidR="00FA0B9F" w:rsidRDefault="000E172B" w:rsidP="00CF5C82">
    <w:pPr>
      <w:framePr w:wrap="around" w:vAnchor="text" w:hAnchor="margin" w:xAlign="right" w:y="1"/>
    </w:pPr>
    <w:r>
      <w:fldChar w:fldCharType="begin"/>
    </w:r>
    <w:r>
      <w:instrText xml:space="preserve">PAGE  </w:instrText>
    </w:r>
    <w:r>
      <w:fldChar w:fldCharType="separate"/>
    </w:r>
    <w:r>
      <w:fldChar w:fldCharType="end"/>
    </w:r>
  </w:p>
  <w:p w14:paraId="5E20E0BE" w14:textId="77777777" w:rsidR="00FA0B9F" w:rsidRDefault="000E172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F94F" w14:textId="77777777" w:rsidR="00FA0B9F" w:rsidRDefault="000E172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C5B36D9" w14:textId="4C33C3E5" w:rsidR="00FA0B9F" w:rsidRDefault="000E172B" w:rsidP="000E172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0D82" w14:textId="77777777" w:rsidR="00E311C9" w:rsidRDefault="000E172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5DADA84" w14:textId="77777777" w:rsidR="00E311C9" w:rsidRDefault="000E172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949D" w14:textId="77777777" w:rsidR="00000000" w:rsidRDefault="000E172B">
      <w:r>
        <w:separator/>
      </w:r>
    </w:p>
  </w:footnote>
  <w:footnote w:type="continuationSeparator" w:id="0">
    <w:p w14:paraId="04350539" w14:textId="77777777" w:rsidR="00000000" w:rsidRDefault="000E172B">
      <w:r>
        <w:continuationSeparator/>
      </w:r>
    </w:p>
  </w:footnote>
  <w:footnote w:id="1">
    <w:p w14:paraId="37E3CE8A" w14:textId="77777777" w:rsidR="000E172B" w:rsidRPr="000E172B" w:rsidRDefault="000E172B" w:rsidP="000E172B">
      <w:pPr>
        <w:pStyle w:val="Textonotapie"/>
        <w:rPr>
          <w:sz w:val="20"/>
          <w:szCs w:val="20"/>
        </w:rPr>
      </w:pPr>
      <w:r w:rsidRPr="008812D1">
        <w:rPr>
          <w:rStyle w:val="Refdenotaalpie"/>
          <w:sz w:val="20"/>
          <w:szCs w:val="20"/>
        </w:rPr>
        <w:footnoteRef/>
      </w:r>
      <w:r w:rsidRPr="008812D1">
        <w:rPr>
          <w:sz w:val="20"/>
          <w:szCs w:val="20"/>
        </w:rPr>
        <w:t xml:space="preserve"> The IP 16</w:t>
      </w:r>
      <w:r>
        <w:rPr>
          <w:sz w:val="20"/>
          <w:szCs w:val="20"/>
        </w:rPr>
        <w:t>0 (2017) submitted by Argentina</w:t>
      </w:r>
      <w:r w:rsidRPr="008812D1">
        <w:rPr>
          <w:sz w:val="20"/>
          <w:szCs w:val="20"/>
        </w:rPr>
        <w:t xml:space="preserve"> presents a synthesis of the movement of Antarctic maritime tourism through the port of Ushuaia over 60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471A1" w14:paraId="247F3BD2" w14:textId="77777777" w:rsidTr="002E12EC">
      <w:trPr>
        <w:trHeight w:val="344"/>
        <w:jc w:val="center"/>
      </w:trPr>
      <w:tc>
        <w:tcPr>
          <w:tcW w:w="5495" w:type="dxa"/>
        </w:tcPr>
        <w:p w14:paraId="5E39DF2F" w14:textId="77777777" w:rsidR="00DB7C09" w:rsidRDefault="000E172B" w:rsidP="00F968D4"/>
      </w:tc>
      <w:tc>
        <w:tcPr>
          <w:tcW w:w="4253" w:type="dxa"/>
          <w:gridSpan w:val="2"/>
        </w:tcPr>
        <w:p w14:paraId="6D33F433" w14:textId="77777777" w:rsidR="00DB7C09" w:rsidRPr="00BD47E4" w:rsidRDefault="000E172B" w:rsidP="002A07BC">
          <w:pPr>
            <w:jc w:val="right"/>
            <w:rPr>
              <w:b/>
              <w:sz w:val="32"/>
              <w:szCs w:val="32"/>
            </w:rPr>
          </w:pPr>
          <w:bookmarkStart w:id="2" w:name="type"/>
          <w:r w:rsidRPr="00BD47E4">
            <w:rPr>
              <w:b/>
              <w:sz w:val="32"/>
              <w:szCs w:val="32"/>
            </w:rPr>
            <w:t>IP</w:t>
          </w:r>
          <w:bookmarkEnd w:id="2"/>
        </w:p>
      </w:tc>
      <w:tc>
        <w:tcPr>
          <w:tcW w:w="1524" w:type="dxa"/>
          <w:gridSpan w:val="2"/>
        </w:tcPr>
        <w:p w14:paraId="7D2C3878" w14:textId="77777777" w:rsidR="00DB7C09" w:rsidRPr="00BD47E4" w:rsidRDefault="000E172B" w:rsidP="00DB7C09">
          <w:pPr>
            <w:rPr>
              <w:b/>
              <w:sz w:val="32"/>
              <w:szCs w:val="32"/>
            </w:rPr>
          </w:pPr>
          <w:bookmarkStart w:id="3" w:name="number"/>
          <w:r w:rsidRPr="00BD47E4">
            <w:rPr>
              <w:b/>
              <w:sz w:val="32"/>
              <w:szCs w:val="32"/>
            </w:rPr>
            <w:t>109</w:t>
          </w:r>
          <w:bookmarkEnd w:id="3"/>
        </w:p>
      </w:tc>
    </w:tr>
    <w:tr w:rsidR="00C471A1" w14:paraId="76276796" w14:textId="77777777" w:rsidTr="002E12EC">
      <w:trPr>
        <w:trHeight w:val="2165"/>
        <w:jc w:val="center"/>
      </w:trPr>
      <w:tc>
        <w:tcPr>
          <w:tcW w:w="5495" w:type="dxa"/>
        </w:tcPr>
        <w:p w14:paraId="4026B43E" w14:textId="77777777" w:rsidR="00490760" w:rsidRPr="00EE4D48" w:rsidRDefault="000E172B" w:rsidP="002A07BC">
          <w:pPr>
            <w:rPr>
              <w:b/>
              <w:sz w:val="28"/>
              <w:szCs w:val="28"/>
            </w:rPr>
          </w:pPr>
          <w:r>
            <w:rPr>
              <w:noProof/>
            </w:rPr>
            <w:drawing>
              <wp:inline distT="0" distB="0" distL="0" distR="0" wp14:anchorId="3D5D3E6E" wp14:editId="3D30D3B5">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495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7DD76E8" w14:textId="77777777" w:rsidR="00490760" w:rsidRPr="00FE5146" w:rsidRDefault="000E172B" w:rsidP="00490760">
          <w:pPr>
            <w:jc w:val="right"/>
            <w:rPr>
              <w:sz w:val="144"/>
              <w:szCs w:val="144"/>
            </w:rPr>
          </w:pPr>
          <w:r w:rsidRPr="00FE5146">
            <w:rPr>
              <w:sz w:val="144"/>
              <w:szCs w:val="144"/>
            </w:rPr>
            <w:t>ENG</w:t>
          </w:r>
        </w:p>
      </w:tc>
    </w:tr>
    <w:tr w:rsidR="00C471A1" w14:paraId="5CBA9A0D" w14:textId="77777777" w:rsidTr="002E12EC">
      <w:trPr>
        <w:trHeight w:val="409"/>
        <w:jc w:val="center"/>
      </w:trPr>
      <w:tc>
        <w:tcPr>
          <w:tcW w:w="8500" w:type="dxa"/>
          <w:gridSpan w:val="2"/>
        </w:tcPr>
        <w:p w14:paraId="60BDE65E" w14:textId="77777777" w:rsidR="00BD47E4" w:rsidRDefault="000E172B" w:rsidP="002C30DA">
          <w:pPr>
            <w:jc w:val="right"/>
          </w:pPr>
          <w:r>
            <w:t>Agenda Item:</w:t>
          </w:r>
        </w:p>
      </w:tc>
      <w:tc>
        <w:tcPr>
          <w:tcW w:w="2382" w:type="dxa"/>
          <w:gridSpan w:val="2"/>
        </w:tcPr>
        <w:p w14:paraId="703B8E2B" w14:textId="77777777" w:rsidR="00BD47E4" w:rsidRDefault="000E172B" w:rsidP="002C30DA">
          <w:pPr>
            <w:jc w:val="right"/>
          </w:pPr>
          <w:bookmarkStart w:id="4" w:name="agenda"/>
          <w:r>
            <w:t>ATCM 17</w:t>
          </w:r>
          <w:bookmarkEnd w:id="4"/>
        </w:p>
      </w:tc>
      <w:tc>
        <w:tcPr>
          <w:tcW w:w="390" w:type="dxa"/>
        </w:tcPr>
        <w:p w14:paraId="37CA08A6" w14:textId="77777777" w:rsidR="00BD47E4" w:rsidRDefault="000E172B" w:rsidP="00387A65">
          <w:pPr>
            <w:jc w:val="right"/>
          </w:pPr>
        </w:p>
      </w:tc>
    </w:tr>
    <w:tr w:rsidR="00C471A1" w14:paraId="6F3795EC" w14:textId="77777777" w:rsidTr="002E12EC">
      <w:trPr>
        <w:trHeight w:val="397"/>
        <w:jc w:val="center"/>
      </w:trPr>
      <w:tc>
        <w:tcPr>
          <w:tcW w:w="8500" w:type="dxa"/>
          <w:gridSpan w:val="2"/>
        </w:tcPr>
        <w:p w14:paraId="7DB4C514" w14:textId="77777777" w:rsidR="00BD47E4" w:rsidRDefault="000E172B" w:rsidP="002C30DA">
          <w:pPr>
            <w:jc w:val="right"/>
          </w:pPr>
          <w:r>
            <w:t>Presented by:</w:t>
          </w:r>
        </w:p>
      </w:tc>
      <w:tc>
        <w:tcPr>
          <w:tcW w:w="2382" w:type="dxa"/>
          <w:gridSpan w:val="2"/>
        </w:tcPr>
        <w:p w14:paraId="1AF980BC" w14:textId="77777777" w:rsidR="00BD47E4" w:rsidRDefault="000E172B" w:rsidP="002C30DA">
          <w:pPr>
            <w:jc w:val="right"/>
          </w:pPr>
          <w:bookmarkStart w:id="5" w:name="party"/>
          <w:r>
            <w:t>Argentina</w:t>
          </w:r>
          <w:bookmarkEnd w:id="5"/>
        </w:p>
      </w:tc>
      <w:tc>
        <w:tcPr>
          <w:tcW w:w="390" w:type="dxa"/>
        </w:tcPr>
        <w:p w14:paraId="70CC787F" w14:textId="77777777" w:rsidR="00BD47E4" w:rsidRDefault="000E172B" w:rsidP="00387A65">
          <w:pPr>
            <w:jc w:val="right"/>
          </w:pPr>
        </w:p>
      </w:tc>
    </w:tr>
    <w:tr w:rsidR="00C471A1" w14:paraId="0192B054" w14:textId="77777777" w:rsidTr="002E12EC">
      <w:trPr>
        <w:trHeight w:val="409"/>
        <w:jc w:val="center"/>
      </w:trPr>
      <w:tc>
        <w:tcPr>
          <w:tcW w:w="8500" w:type="dxa"/>
          <w:gridSpan w:val="2"/>
        </w:tcPr>
        <w:p w14:paraId="427F6D41" w14:textId="77777777" w:rsidR="00BD47E4" w:rsidRDefault="000E172B" w:rsidP="002C30DA">
          <w:pPr>
            <w:jc w:val="right"/>
          </w:pPr>
          <w:r>
            <w:t>Original:</w:t>
          </w:r>
        </w:p>
      </w:tc>
      <w:tc>
        <w:tcPr>
          <w:tcW w:w="2382" w:type="dxa"/>
          <w:gridSpan w:val="2"/>
        </w:tcPr>
        <w:p w14:paraId="2D8F2D75" w14:textId="77777777" w:rsidR="00BD47E4" w:rsidRDefault="000E172B" w:rsidP="002C30DA">
          <w:pPr>
            <w:jc w:val="right"/>
          </w:pPr>
          <w:bookmarkStart w:id="6" w:name="language"/>
          <w:r>
            <w:t>Spanish</w:t>
          </w:r>
          <w:bookmarkEnd w:id="6"/>
        </w:p>
      </w:tc>
      <w:tc>
        <w:tcPr>
          <w:tcW w:w="390" w:type="dxa"/>
        </w:tcPr>
        <w:p w14:paraId="68CFA8FC" w14:textId="77777777" w:rsidR="00BD47E4" w:rsidRDefault="000E172B" w:rsidP="00387A65">
          <w:pPr>
            <w:jc w:val="right"/>
          </w:pPr>
        </w:p>
      </w:tc>
    </w:tr>
    <w:tr w:rsidR="00C471A1" w14:paraId="58F08959" w14:textId="77777777" w:rsidTr="002E12EC">
      <w:trPr>
        <w:trHeight w:val="409"/>
        <w:jc w:val="center"/>
      </w:trPr>
      <w:tc>
        <w:tcPr>
          <w:tcW w:w="8500" w:type="dxa"/>
          <w:gridSpan w:val="2"/>
        </w:tcPr>
        <w:p w14:paraId="738345C1" w14:textId="77777777" w:rsidR="0097629D" w:rsidRDefault="000E172B" w:rsidP="002C30DA">
          <w:pPr>
            <w:jc w:val="right"/>
          </w:pPr>
          <w:r>
            <w:t>Submitted:</w:t>
          </w:r>
        </w:p>
      </w:tc>
      <w:tc>
        <w:tcPr>
          <w:tcW w:w="2382" w:type="dxa"/>
          <w:gridSpan w:val="2"/>
        </w:tcPr>
        <w:p w14:paraId="0E17E2A5" w14:textId="77777777" w:rsidR="0097629D" w:rsidRDefault="000E172B" w:rsidP="0097629D">
          <w:pPr>
            <w:jc w:val="right"/>
          </w:pPr>
          <w:bookmarkStart w:id="7" w:name="date_submission"/>
          <w:r>
            <w:t xml:space="preserve">28 Apr </w:t>
          </w:r>
          <w:r>
            <w:t>2023</w:t>
          </w:r>
          <w:bookmarkEnd w:id="7"/>
        </w:p>
      </w:tc>
      <w:tc>
        <w:tcPr>
          <w:tcW w:w="390" w:type="dxa"/>
        </w:tcPr>
        <w:p w14:paraId="455E97C0" w14:textId="77777777" w:rsidR="0097629D" w:rsidRDefault="000E172B" w:rsidP="00387A65">
          <w:pPr>
            <w:jc w:val="right"/>
          </w:pPr>
        </w:p>
      </w:tc>
    </w:tr>
  </w:tbl>
  <w:p w14:paraId="1ED20B0D" w14:textId="77777777" w:rsidR="00AE5DD0" w:rsidRDefault="000E17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358" w:type="dxa"/>
      <w:jc w:val="center"/>
      <w:tblLook w:val="01E0" w:firstRow="1" w:lastRow="1" w:firstColumn="1" w:lastColumn="1" w:noHBand="0" w:noVBand="0"/>
    </w:tblPr>
    <w:tblGrid>
      <w:gridCol w:w="9694"/>
      <w:gridCol w:w="1332"/>
      <w:gridCol w:w="1332"/>
    </w:tblGrid>
    <w:tr w:rsidR="000E172B" w14:paraId="70758BA8" w14:textId="0AD973D5" w:rsidTr="000E172B">
      <w:trPr>
        <w:trHeight w:val="354"/>
        <w:jc w:val="center"/>
      </w:trPr>
      <w:tc>
        <w:tcPr>
          <w:tcW w:w="9694" w:type="dxa"/>
        </w:tcPr>
        <w:p w14:paraId="07AAF626" w14:textId="78509382" w:rsidR="000E172B" w:rsidRPr="00BD47E4" w:rsidRDefault="000E172B" w:rsidP="00C26F2D">
          <w:pPr>
            <w:jc w:val="right"/>
            <w:rPr>
              <w:b/>
              <w:sz w:val="32"/>
              <w:szCs w:val="32"/>
            </w:rPr>
          </w:pPr>
          <w:r>
            <w:rPr>
              <w:b/>
              <w:sz w:val="32"/>
              <w:szCs w:val="32"/>
            </w:rPr>
            <w:t>IP</w:t>
          </w:r>
        </w:p>
      </w:tc>
      <w:tc>
        <w:tcPr>
          <w:tcW w:w="1332" w:type="dxa"/>
        </w:tcPr>
        <w:p w14:paraId="44B1B4E5" w14:textId="565ABD99" w:rsidR="000E172B" w:rsidRPr="00BD47E4" w:rsidRDefault="000E172B" w:rsidP="00080F4C">
          <w:pPr>
            <w:rPr>
              <w:b/>
              <w:sz w:val="32"/>
              <w:szCs w:val="32"/>
            </w:rPr>
          </w:pPr>
          <w:r>
            <w:rPr>
              <w:b/>
              <w:sz w:val="32"/>
              <w:szCs w:val="32"/>
            </w:rPr>
            <w:t>109</w:t>
          </w:r>
        </w:p>
      </w:tc>
      <w:tc>
        <w:tcPr>
          <w:tcW w:w="1332" w:type="dxa"/>
        </w:tcPr>
        <w:p w14:paraId="533D78D0" w14:textId="77777777" w:rsidR="000E172B" w:rsidRDefault="000E172B" w:rsidP="00080F4C">
          <w:pPr>
            <w:rPr>
              <w:b/>
              <w:sz w:val="32"/>
              <w:szCs w:val="32"/>
            </w:rPr>
          </w:pPr>
        </w:p>
      </w:tc>
    </w:tr>
  </w:tbl>
  <w:p w14:paraId="687B9D65" w14:textId="77777777" w:rsidR="00AE5DD0" w:rsidRDefault="000E17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5945B7E">
      <w:start w:val="1"/>
      <w:numFmt w:val="bullet"/>
      <w:pStyle w:val="ATSBullet1"/>
      <w:lvlText w:val=""/>
      <w:lvlJc w:val="left"/>
      <w:pPr>
        <w:tabs>
          <w:tab w:val="num" w:pos="360"/>
        </w:tabs>
        <w:ind w:left="360" w:hanging="360"/>
      </w:pPr>
      <w:rPr>
        <w:rFonts w:ascii="Symbol" w:hAnsi="Symbol" w:hint="default"/>
        <w:color w:val="auto"/>
      </w:rPr>
    </w:lvl>
    <w:lvl w:ilvl="1" w:tplc="56E4FBE4" w:tentative="1">
      <w:start w:val="1"/>
      <w:numFmt w:val="bullet"/>
      <w:lvlText w:val="o"/>
      <w:lvlJc w:val="left"/>
      <w:pPr>
        <w:tabs>
          <w:tab w:val="num" w:pos="1440"/>
        </w:tabs>
        <w:ind w:left="1440" w:hanging="360"/>
      </w:pPr>
      <w:rPr>
        <w:rFonts w:ascii="Courier New" w:hAnsi="Courier New" w:cs="Courier New" w:hint="default"/>
      </w:rPr>
    </w:lvl>
    <w:lvl w:ilvl="2" w:tplc="F14C812C" w:tentative="1">
      <w:start w:val="1"/>
      <w:numFmt w:val="bullet"/>
      <w:lvlText w:val=""/>
      <w:lvlJc w:val="left"/>
      <w:pPr>
        <w:tabs>
          <w:tab w:val="num" w:pos="2160"/>
        </w:tabs>
        <w:ind w:left="2160" w:hanging="360"/>
      </w:pPr>
      <w:rPr>
        <w:rFonts w:ascii="Wingdings" w:hAnsi="Wingdings" w:hint="default"/>
      </w:rPr>
    </w:lvl>
    <w:lvl w:ilvl="3" w:tplc="F7AE7E50" w:tentative="1">
      <w:start w:val="1"/>
      <w:numFmt w:val="bullet"/>
      <w:lvlText w:val=""/>
      <w:lvlJc w:val="left"/>
      <w:pPr>
        <w:tabs>
          <w:tab w:val="num" w:pos="2880"/>
        </w:tabs>
        <w:ind w:left="2880" w:hanging="360"/>
      </w:pPr>
      <w:rPr>
        <w:rFonts w:ascii="Symbol" w:hAnsi="Symbol" w:hint="default"/>
      </w:rPr>
    </w:lvl>
    <w:lvl w:ilvl="4" w:tplc="2FA8927E" w:tentative="1">
      <w:start w:val="1"/>
      <w:numFmt w:val="bullet"/>
      <w:lvlText w:val="o"/>
      <w:lvlJc w:val="left"/>
      <w:pPr>
        <w:tabs>
          <w:tab w:val="num" w:pos="3600"/>
        </w:tabs>
        <w:ind w:left="3600" w:hanging="360"/>
      </w:pPr>
      <w:rPr>
        <w:rFonts w:ascii="Courier New" w:hAnsi="Courier New" w:cs="Courier New" w:hint="default"/>
      </w:rPr>
    </w:lvl>
    <w:lvl w:ilvl="5" w:tplc="7AAC91E2" w:tentative="1">
      <w:start w:val="1"/>
      <w:numFmt w:val="bullet"/>
      <w:lvlText w:val=""/>
      <w:lvlJc w:val="left"/>
      <w:pPr>
        <w:tabs>
          <w:tab w:val="num" w:pos="4320"/>
        </w:tabs>
        <w:ind w:left="4320" w:hanging="360"/>
      </w:pPr>
      <w:rPr>
        <w:rFonts w:ascii="Wingdings" w:hAnsi="Wingdings" w:hint="default"/>
      </w:rPr>
    </w:lvl>
    <w:lvl w:ilvl="6" w:tplc="1C343DA6" w:tentative="1">
      <w:start w:val="1"/>
      <w:numFmt w:val="bullet"/>
      <w:lvlText w:val=""/>
      <w:lvlJc w:val="left"/>
      <w:pPr>
        <w:tabs>
          <w:tab w:val="num" w:pos="5040"/>
        </w:tabs>
        <w:ind w:left="5040" w:hanging="360"/>
      </w:pPr>
      <w:rPr>
        <w:rFonts w:ascii="Symbol" w:hAnsi="Symbol" w:hint="default"/>
      </w:rPr>
    </w:lvl>
    <w:lvl w:ilvl="7" w:tplc="59D84EEA" w:tentative="1">
      <w:start w:val="1"/>
      <w:numFmt w:val="bullet"/>
      <w:lvlText w:val="o"/>
      <w:lvlJc w:val="left"/>
      <w:pPr>
        <w:tabs>
          <w:tab w:val="num" w:pos="5760"/>
        </w:tabs>
        <w:ind w:left="5760" w:hanging="360"/>
      </w:pPr>
      <w:rPr>
        <w:rFonts w:ascii="Courier New" w:hAnsi="Courier New" w:cs="Courier New" w:hint="default"/>
      </w:rPr>
    </w:lvl>
    <w:lvl w:ilvl="8" w:tplc="DB9EE3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70E86BE">
      <w:start w:val="1"/>
      <w:numFmt w:val="decimal"/>
      <w:lvlText w:val="%1)"/>
      <w:lvlJc w:val="left"/>
      <w:pPr>
        <w:tabs>
          <w:tab w:val="num" w:pos="340"/>
        </w:tabs>
        <w:ind w:left="340" w:hanging="340"/>
      </w:pPr>
      <w:rPr>
        <w:rFonts w:hint="default"/>
      </w:rPr>
    </w:lvl>
    <w:lvl w:ilvl="1" w:tplc="BD3424C0" w:tentative="1">
      <w:start w:val="1"/>
      <w:numFmt w:val="lowerLetter"/>
      <w:lvlText w:val="%2."/>
      <w:lvlJc w:val="left"/>
      <w:pPr>
        <w:tabs>
          <w:tab w:val="num" w:pos="1440"/>
        </w:tabs>
        <w:ind w:left="1440" w:hanging="360"/>
      </w:pPr>
    </w:lvl>
    <w:lvl w:ilvl="2" w:tplc="44783B36" w:tentative="1">
      <w:start w:val="1"/>
      <w:numFmt w:val="lowerRoman"/>
      <w:lvlText w:val="%3."/>
      <w:lvlJc w:val="right"/>
      <w:pPr>
        <w:tabs>
          <w:tab w:val="num" w:pos="2160"/>
        </w:tabs>
        <w:ind w:left="2160" w:hanging="180"/>
      </w:pPr>
    </w:lvl>
    <w:lvl w:ilvl="3" w:tplc="08560E28" w:tentative="1">
      <w:start w:val="1"/>
      <w:numFmt w:val="decimal"/>
      <w:lvlText w:val="%4."/>
      <w:lvlJc w:val="left"/>
      <w:pPr>
        <w:tabs>
          <w:tab w:val="num" w:pos="2880"/>
        </w:tabs>
        <w:ind w:left="2880" w:hanging="360"/>
      </w:pPr>
    </w:lvl>
    <w:lvl w:ilvl="4" w:tplc="9A7C04D0" w:tentative="1">
      <w:start w:val="1"/>
      <w:numFmt w:val="lowerLetter"/>
      <w:lvlText w:val="%5."/>
      <w:lvlJc w:val="left"/>
      <w:pPr>
        <w:tabs>
          <w:tab w:val="num" w:pos="3600"/>
        </w:tabs>
        <w:ind w:left="3600" w:hanging="360"/>
      </w:pPr>
    </w:lvl>
    <w:lvl w:ilvl="5" w:tplc="20A845F0" w:tentative="1">
      <w:start w:val="1"/>
      <w:numFmt w:val="lowerRoman"/>
      <w:lvlText w:val="%6."/>
      <w:lvlJc w:val="right"/>
      <w:pPr>
        <w:tabs>
          <w:tab w:val="num" w:pos="4320"/>
        </w:tabs>
        <w:ind w:left="4320" w:hanging="180"/>
      </w:pPr>
    </w:lvl>
    <w:lvl w:ilvl="6" w:tplc="5D6EDC32" w:tentative="1">
      <w:start w:val="1"/>
      <w:numFmt w:val="decimal"/>
      <w:lvlText w:val="%7."/>
      <w:lvlJc w:val="left"/>
      <w:pPr>
        <w:tabs>
          <w:tab w:val="num" w:pos="5040"/>
        </w:tabs>
        <w:ind w:left="5040" w:hanging="360"/>
      </w:pPr>
    </w:lvl>
    <w:lvl w:ilvl="7" w:tplc="F572C142" w:tentative="1">
      <w:start w:val="1"/>
      <w:numFmt w:val="lowerLetter"/>
      <w:lvlText w:val="%8."/>
      <w:lvlJc w:val="left"/>
      <w:pPr>
        <w:tabs>
          <w:tab w:val="num" w:pos="5760"/>
        </w:tabs>
        <w:ind w:left="5760" w:hanging="360"/>
      </w:pPr>
    </w:lvl>
    <w:lvl w:ilvl="8" w:tplc="BA42EE5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EE00E68">
      <w:start w:val="1"/>
      <w:numFmt w:val="decimal"/>
      <w:lvlText w:val="%1."/>
      <w:lvlJc w:val="left"/>
      <w:pPr>
        <w:tabs>
          <w:tab w:val="num" w:pos="1057"/>
        </w:tabs>
        <w:ind w:left="1057" w:hanging="360"/>
      </w:pPr>
      <w:rPr>
        <w:rFonts w:hint="default"/>
      </w:rPr>
    </w:lvl>
    <w:lvl w:ilvl="1" w:tplc="F92A5D50" w:tentative="1">
      <w:start w:val="1"/>
      <w:numFmt w:val="lowerLetter"/>
      <w:lvlText w:val="%2."/>
      <w:lvlJc w:val="left"/>
      <w:pPr>
        <w:tabs>
          <w:tab w:val="num" w:pos="2137"/>
        </w:tabs>
        <w:ind w:left="2137" w:hanging="360"/>
      </w:pPr>
    </w:lvl>
    <w:lvl w:ilvl="2" w:tplc="1F22B0EA" w:tentative="1">
      <w:start w:val="1"/>
      <w:numFmt w:val="lowerRoman"/>
      <w:lvlText w:val="%3."/>
      <w:lvlJc w:val="right"/>
      <w:pPr>
        <w:tabs>
          <w:tab w:val="num" w:pos="2857"/>
        </w:tabs>
        <w:ind w:left="2857" w:hanging="180"/>
      </w:pPr>
    </w:lvl>
    <w:lvl w:ilvl="3" w:tplc="B1DA8606" w:tentative="1">
      <w:start w:val="1"/>
      <w:numFmt w:val="decimal"/>
      <w:lvlText w:val="%4."/>
      <w:lvlJc w:val="left"/>
      <w:pPr>
        <w:tabs>
          <w:tab w:val="num" w:pos="3577"/>
        </w:tabs>
        <w:ind w:left="3577" w:hanging="360"/>
      </w:pPr>
    </w:lvl>
    <w:lvl w:ilvl="4" w:tplc="F2B46FF4" w:tentative="1">
      <w:start w:val="1"/>
      <w:numFmt w:val="lowerLetter"/>
      <w:lvlText w:val="%5."/>
      <w:lvlJc w:val="left"/>
      <w:pPr>
        <w:tabs>
          <w:tab w:val="num" w:pos="4297"/>
        </w:tabs>
        <w:ind w:left="4297" w:hanging="360"/>
      </w:pPr>
    </w:lvl>
    <w:lvl w:ilvl="5" w:tplc="6F8474F8" w:tentative="1">
      <w:start w:val="1"/>
      <w:numFmt w:val="lowerRoman"/>
      <w:lvlText w:val="%6."/>
      <w:lvlJc w:val="right"/>
      <w:pPr>
        <w:tabs>
          <w:tab w:val="num" w:pos="5017"/>
        </w:tabs>
        <w:ind w:left="5017" w:hanging="180"/>
      </w:pPr>
    </w:lvl>
    <w:lvl w:ilvl="6" w:tplc="B2668CBA" w:tentative="1">
      <w:start w:val="1"/>
      <w:numFmt w:val="decimal"/>
      <w:lvlText w:val="%7."/>
      <w:lvlJc w:val="left"/>
      <w:pPr>
        <w:tabs>
          <w:tab w:val="num" w:pos="5737"/>
        </w:tabs>
        <w:ind w:left="5737" w:hanging="360"/>
      </w:pPr>
    </w:lvl>
    <w:lvl w:ilvl="7" w:tplc="4508B78E" w:tentative="1">
      <w:start w:val="1"/>
      <w:numFmt w:val="lowerLetter"/>
      <w:lvlText w:val="%8."/>
      <w:lvlJc w:val="left"/>
      <w:pPr>
        <w:tabs>
          <w:tab w:val="num" w:pos="6457"/>
        </w:tabs>
        <w:ind w:left="6457" w:hanging="360"/>
      </w:pPr>
    </w:lvl>
    <w:lvl w:ilvl="8" w:tplc="3A88C58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9E07B20">
      <w:start w:val="1"/>
      <w:numFmt w:val="decimal"/>
      <w:pStyle w:val="ATSNumber1"/>
      <w:lvlText w:val="%1)"/>
      <w:lvlJc w:val="left"/>
      <w:pPr>
        <w:tabs>
          <w:tab w:val="num" w:pos="720"/>
        </w:tabs>
        <w:ind w:left="720" w:hanging="360"/>
      </w:pPr>
    </w:lvl>
    <w:lvl w:ilvl="1" w:tplc="DBE0D6C2" w:tentative="1">
      <w:start w:val="1"/>
      <w:numFmt w:val="lowerLetter"/>
      <w:lvlText w:val="%2."/>
      <w:lvlJc w:val="left"/>
      <w:pPr>
        <w:tabs>
          <w:tab w:val="num" w:pos="1440"/>
        </w:tabs>
        <w:ind w:left="1440" w:hanging="360"/>
      </w:pPr>
    </w:lvl>
    <w:lvl w:ilvl="2" w:tplc="910AB1BE" w:tentative="1">
      <w:start w:val="1"/>
      <w:numFmt w:val="lowerRoman"/>
      <w:lvlText w:val="%3."/>
      <w:lvlJc w:val="right"/>
      <w:pPr>
        <w:tabs>
          <w:tab w:val="num" w:pos="2160"/>
        </w:tabs>
        <w:ind w:left="2160" w:hanging="180"/>
      </w:pPr>
    </w:lvl>
    <w:lvl w:ilvl="3" w:tplc="70CA7806" w:tentative="1">
      <w:start w:val="1"/>
      <w:numFmt w:val="decimal"/>
      <w:lvlText w:val="%4."/>
      <w:lvlJc w:val="left"/>
      <w:pPr>
        <w:tabs>
          <w:tab w:val="num" w:pos="2880"/>
        </w:tabs>
        <w:ind w:left="2880" w:hanging="360"/>
      </w:pPr>
    </w:lvl>
    <w:lvl w:ilvl="4" w:tplc="127C885C" w:tentative="1">
      <w:start w:val="1"/>
      <w:numFmt w:val="lowerLetter"/>
      <w:lvlText w:val="%5."/>
      <w:lvlJc w:val="left"/>
      <w:pPr>
        <w:tabs>
          <w:tab w:val="num" w:pos="3600"/>
        </w:tabs>
        <w:ind w:left="3600" w:hanging="360"/>
      </w:pPr>
    </w:lvl>
    <w:lvl w:ilvl="5" w:tplc="A3B00F06" w:tentative="1">
      <w:start w:val="1"/>
      <w:numFmt w:val="lowerRoman"/>
      <w:lvlText w:val="%6."/>
      <w:lvlJc w:val="right"/>
      <w:pPr>
        <w:tabs>
          <w:tab w:val="num" w:pos="4320"/>
        </w:tabs>
        <w:ind w:left="4320" w:hanging="180"/>
      </w:pPr>
    </w:lvl>
    <w:lvl w:ilvl="6" w:tplc="AB2A11D4" w:tentative="1">
      <w:start w:val="1"/>
      <w:numFmt w:val="decimal"/>
      <w:lvlText w:val="%7."/>
      <w:lvlJc w:val="left"/>
      <w:pPr>
        <w:tabs>
          <w:tab w:val="num" w:pos="5040"/>
        </w:tabs>
        <w:ind w:left="5040" w:hanging="360"/>
      </w:pPr>
    </w:lvl>
    <w:lvl w:ilvl="7" w:tplc="69F08DD4" w:tentative="1">
      <w:start w:val="1"/>
      <w:numFmt w:val="lowerLetter"/>
      <w:lvlText w:val="%8."/>
      <w:lvlJc w:val="left"/>
      <w:pPr>
        <w:tabs>
          <w:tab w:val="num" w:pos="5760"/>
        </w:tabs>
        <w:ind w:left="5760" w:hanging="360"/>
      </w:pPr>
    </w:lvl>
    <w:lvl w:ilvl="8" w:tplc="9E966F6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B3CDD9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0283C84" w:tentative="1">
      <w:start w:val="1"/>
      <w:numFmt w:val="bullet"/>
      <w:lvlText w:val="o"/>
      <w:lvlJc w:val="left"/>
      <w:pPr>
        <w:tabs>
          <w:tab w:val="num" w:pos="2517"/>
        </w:tabs>
        <w:ind w:left="2517" w:hanging="360"/>
      </w:pPr>
      <w:rPr>
        <w:rFonts w:ascii="Courier New" w:hAnsi="Courier New" w:cs="Courier New" w:hint="default"/>
      </w:rPr>
    </w:lvl>
    <w:lvl w:ilvl="2" w:tplc="F500B32E" w:tentative="1">
      <w:start w:val="1"/>
      <w:numFmt w:val="bullet"/>
      <w:lvlText w:val=""/>
      <w:lvlJc w:val="left"/>
      <w:pPr>
        <w:tabs>
          <w:tab w:val="num" w:pos="3237"/>
        </w:tabs>
        <w:ind w:left="3237" w:hanging="360"/>
      </w:pPr>
      <w:rPr>
        <w:rFonts w:ascii="Wingdings" w:hAnsi="Wingdings" w:hint="default"/>
      </w:rPr>
    </w:lvl>
    <w:lvl w:ilvl="3" w:tplc="7E26E99C" w:tentative="1">
      <w:start w:val="1"/>
      <w:numFmt w:val="bullet"/>
      <w:lvlText w:val=""/>
      <w:lvlJc w:val="left"/>
      <w:pPr>
        <w:tabs>
          <w:tab w:val="num" w:pos="3957"/>
        </w:tabs>
        <w:ind w:left="3957" w:hanging="360"/>
      </w:pPr>
      <w:rPr>
        <w:rFonts w:ascii="Symbol" w:hAnsi="Symbol" w:hint="default"/>
      </w:rPr>
    </w:lvl>
    <w:lvl w:ilvl="4" w:tplc="C09232C2" w:tentative="1">
      <w:start w:val="1"/>
      <w:numFmt w:val="bullet"/>
      <w:lvlText w:val="o"/>
      <w:lvlJc w:val="left"/>
      <w:pPr>
        <w:tabs>
          <w:tab w:val="num" w:pos="4677"/>
        </w:tabs>
        <w:ind w:left="4677" w:hanging="360"/>
      </w:pPr>
      <w:rPr>
        <w:rFonts w:ascii="Courier New" w:hAnsi="Courier New" w:cs="Courier New" w:hint="default"/>
      </w:rPr>
    </w:lvl>
    <w:lvl w:ilvl="5" w:tplc="B288C228" w:tentative="1">
      <w:start w:val="1"/>
      <w:numFmt w:val="bullet"/>
      <w:lvlText w:val=""/>
      <w:lvlJc w:val="left"/>
      <w:pPr>
        <w:tabs>
          <w:tab w:val="num" w:pos="5397"/>
        </w:tabs>
        <w:ind w:left="5397" w:hanging="360"/>
      </w:pPr>
      <w:rPr>
        <w:rFonts w:ascii="Wingdings" w:hAnsi="Wingdings" w:hint="default"/>
      </w:rPr>
    </w:lvl>
    <w:lvl w:ilvl="6" w:tplc="29145EE8" w:tentative="1">
      <w:start w:val="1"/>
      <w:numFmt w:val="bullet"/>
      <w:lvlText w:val=""/>
      <w:lvlJc w:val="left"/>
      <w:pPr>
        <w:tabs>
          <w:tab w:val="num" w:pos="6117"/>
        </w:tabs>
        <w:ind w:left="6117" w:hanging="360"/>
      </w:pPr>
      <w:rPr>
        <w:rFonts w:ascii="Symbol" w:hAnsi="Symbol" w:hint="default"/>
      </w:rPr>
    </w:lvl>
    <w:lvl w:ilvl="7" w:tplc="7A3E2D7E" w:tentative="1">
      <w:start w:val="1"/>
      <w:numFmt w:val="bullet"/>
      <w:lvlText w:val="o"/>
      <w:lvlJc w:val="left"/>
      <w:pPr>
        <w:tabs>
          <w:tab w:val="num" w:pos="6837"/>
        </w:tabs>
        <w:ind w:left="6837" w:hanging="360"/>
      </w:pPr>
      <w:rPr>
        <w:rFonts w:ascii="Courier New" w:hAnsi="Courier New" w:cs="Courier New" w:hint="default"/>
      </w:rPr>
    </w:lvl>
    <w:lvl w:ilvl="8" w:tplc="9ABA5D9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3C0D7A4">
      <w:start w:val="1"/>
      <w:numFmt w:val="decimal"/>
      <w:pStyle w:val="ATSNumber2"/>
      <w:lvlText w:val="%1."/>
      <w:lvlJc w:val="left"/>
      <w:pPr>
        <w:tabs>
          <w:tab w:val="num" w:pos="720"/>
        </w:tabs>
        <w:ind w:left="720" w:hanging="360"/>
      </w:pPr>
      <w:rPr>
        <w:rFonts w:hint="default"/>
      </w:rPr>
    </w:lvl>
    <w:lvl w:ilvl="1" w:tplc="39BEA122" w:tentative="1">
      <w:start w:val="1"/>
      <w:numFmt w:val="lowerLetter"/>
      <w:lvlText w:val="%2."/>
      <w:lvlJc w:val="left"/>
      <w:pPr>
        <w:tabs>
          <w:tab w:val="num" w:pos="1440"/>
        </w:tabs>
        <w:ind w:left="1440" w:hanging="360"/>
      </w:pPr>
    </w:lvl>
    <w:lvl w:ilvl="2" w:tplc="29BC7CAC" w:tentative="1">
      <w:start w:val="1"/>
      <w:numFmt w:val="lowerRoman"/>
      <w:lvlText w:val="%3."/>
      <w:lvlJc w:val="right"/>
      <w:pPr>
        <w:tabs>
          <w:tab w:val="num" w:pos="2160"/>
        </w:tabs>
        <w:ind w:left="2160" w:hanging="180"/>
      </w:pPr>
    </w:lvl>
    <w:lvl w:ilvl="3" w:tplc="66C8976A" w:tentative="1">
      <w:start w:val="1"/>
      <w:numFmt w:val="decimal"/>
      <w:lvlText w:val="%4."/>
      <w:lvlJc w:val="left"/>
      <w:pPr>
        <w:tabs>
          <w:tab w:val="num" w:pos="2880"/>
        </w:tabs>
        <w:ind w:left="2880" w:hanging="360"/>
      </w:pPr>
    </w:lvl>
    <w:lvl w:ilvl="4" w:tplc="49C0DEDA" w:tentative="1">
      <w:start w:val="1"/>
      <w:numFmt w:val="lowerLetter"/>
      <w:lvlText w:val="%5."/>
      <w:lvlJc w:val="left"/>
      <w:pPr>
        <w:tabs>
          <w:tab w:val="num" w:pos="3600"/>
        </w:tabs>
        <w:ind w:left="3600" w:hanging="360"/>
      </w:pPr>
    </w:lvl>
    <w:lvl w:ilvl="5" w:tplc="EAF077D6" w:tentative="1">
      <w:start w:val="1"/>
      <w:numFmt w:val="lowerRoman"/>
      <w:lvlText w:val="%6."/>
      <w:lvlJc w:val="right"/>
      <w:pPr>
        <w:tabs>
          <w:tab w:val="num" w:pos="4320"/>
        </w:tabs>
        <w:ind w:left="4320" w:hanging="180"/>
      </w:pPr>
    </w:lvl>
    <w:lvl w:ilvl="6" w:tplc="D07016F6" w:tentative="1">
      <w:start w:val="1"/>
      <w:numFmt w:val="decimal"/>
      <w:lvlText w:val="%7."/>
      <w:lvlJc w:val="left"/>
      <w:pPr>
        <w:tabs>
          <w:tab w:val="num" w:pos="5040"/>
        </w:tabs>
        <w:ind w:left="5040" w:hanging="360"/>
      </w:pPr>
    </w:lvl>
    <w:lvl w:ilvl="7" w:tplc="5B6EE58C" w:tentative="1">
      <w:start w:val="1"/>
      <w:numFmt w:val="lowerLetter"/>
      <w:lvlText w:val="%8."/>
      <w:lvlJc w:val="left"/>
      <w:pPr>
        <w:tabs>
          <w:tab w:val="num" w:pos="5760"/>
        </w:tabs>
        <w:ind w:left="5760" w:hanging="360"/>
      </w:pPr>
    </w:lvl>
    <w:lvl w:ilvl="8" w:tplc="D870BDB6" w:tentative="1">
      <w:start w:val="1"/>
      <w:numFmt w:val="lowerRoman"/>
      <w:lvlText w:val="%9."/>
      <w:lvlJc w:val="right"/>
      <w:pPr>
        <w:tabs>
          <w:tab w:val="num" w:pos="6480"/>
        </w:tabs>
        <w:ind w:left="6480" w:hanging="180"/>
      </w:pPr>
    </w:lvl>
  </w:abstractNum>
  <w:num w:numId="1" w16cid:durableId="116458558">
    <w:abstractNumId w:val="9"/>
  </w:num>
  <w:num w:numId="2" w16cid:durableId="533807958">
    <w:abstractNumId w:val="7"/>
  </w:num>
  <w:num w:numId="3" w16cid:durableId="44063268">
    <w:abstractNumId w:val="6"/>
  </w:num>
  <w:num w:numId="4" w16cid:durableId="936786928">
    <w:abstractNumId w:val="5"/>
  </w:num>
  <w:num w:numId="5" w16cid:durableId="1774472765">
    <w:abstractNumId w:val="4"/>
  </w:num>
  <w:num w:numId="6" w16cid:durableId="695889794">
    <w:abstractNumId w:val="8"/>
  </w:num>
  <w:num w:numId="7" w16cid:durableId="279192535">
    <w:abstractNumId w:val="3"/>
  </w:num>
  <w:num w:numId="8" w16cid:durableId="565342148">
    <w:abstractNumId w:val="2"/>
  </w:num>
  <w:num w:numId="9" w16cid:durableId="1433739580">
    <w:abstractNumId w:val="1"/>
  </w:num>
  <w:num w:numId="10" w16cid:durableId="1151868572">
    <w:abstractNumId w:val="0"/>
  </w:num>
  <w:num w:numId="11" w16cid:durableId="665401806">
    <w:abstractNumId w:val="11"/>
  </w:num>
  <w:num w:numId="12" w16cid:durableId="1889880952">
    <w:abstractNumId w:val="15"/>
  </w:num>
  <w:num w:numId="13" w16cid:durableId="1517618335">
    <w:abstractNumId w:val="14"/>
  </w:num>
  <w:num w:numId="14" w16cid:durableId="283076482">
    <w:abstractNumId w:val="12"/>
  </w:num>
  <w:num w:numId="15" w16cid:durableId="2068676538">
    <w:abstractNumId w:val="13"/>
  </w:num>
  <w:num w:numId="16" w16cid:durableId="1685746135">
    <w:abstractNumId w:val="10"/>
  </w:num>
  <w:num w:numId="17" w16cid:durableId="1246301728">
    <w:abstractNumId w:val="11"/>
  </w:num>
  <w:num w:numId="18" w16cid:durableId="74472799">
    <w:abstractNumId w:val="15"/>
  </w:num>
  <w:num w:numId="19" w16cid:durableId="1402827088">
    <w:abstractNumId w:val="14"/>
  </w:num>
  <w:num w:numId="20" w16cid:durableId="3739683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A1"/>
    <w:rsid w:val="000E172B"/>
    <w:rsid w:val="00C471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5CDA3"/>
  <w15:chartTrackingRefBased/>
  <w15:docId w15:val="{032B36CD-9051-4927-A4B0-740229E6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Body Text" w:uiPriority="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0E172B"/>
    <w:rPr>
      <w:rFonts w:ascii="Arial" w:hAnsi="Arial"/>
      <w:b/>
      <w:i/>
      <w:sz w:val="24"/>
      <w:szCs w:val="22"/>
      <w:lang w:val="en-GB" w:eastAsia="en-GB"/>
    </w:rPr>
  </w:style>
  <w:style w:type="paragraph" w:styleId="Textoindependiente">
    <w:name w:val="Body Text"/>
    <w:basedOn w:val="Normal"/>
    <w:link w:val="TextoindependienteCar"/>
    <w:uiPriority w:val="1"/>
    <w:qFormat/>
    <w:rsid w:val="000E172B"/>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0E172B"/>
    <w:rPr>
      <w:sz w:val="22"/>
      <w:szCs w:val="22"/>
      <w:lang w:val="en-US" w:eastAsia="en-US"/>
    </w:rPr>
  </w:style>
  <w:style w:type="character" w:customStyle="1" w:styleId="y2iqfc">
    <w:name w:val="y2iqfc"/>
    <w:basedOn w:val="Fuentedeprrafopredeter"/>
    <w:rsid w:val="000E172B"/>
  </w:style>
  <w:style w:type="character" w:customStyle="1" w:styleId="ATSNormalChar">
    <w:name w:val="ATS Normal Char"/>
    <w:link w:val="ATSNormal"/>
    <w:locked/>
    <w:rsid w:val="000E172B"/>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1067</Words>
  <Characters>5597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2023-05-13T00:32:00Z</dcterms:modified>
</cp:coreProperties>
</file>