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2B993C" w14:textId="77777777" w:rsidR="00C26F2D" w:rsidRPr="00BF077B" w:rsidRDefault="00772910" w:rsidP="00BF077B">
      <w:pPr>
        <w:pStyle w:val="ATSNormal"/>
        <w:rPr>
          <w:rStyle w:val="Ttulodellibro"/>
        </w:rPr>
      </w:pPr>
    </w:p>
    <w:p w14:paraId="10A272A2" w14:textId="77777777" w:rsidR="002F0A13" w:rsidRDefault="00772910" w:rsidP="004B4A60">
      <w:pPr>
        <w:rPr>
          <w:b/>
          <w:u w:val="single"/>
          <w:lang w:val="es-ES_tradnl"/>
        </w:rPr>
      </w:pPr>
    </w:p>
    <w:p w14:paraId="4314708A" w14:textId="77777777" w:rsidR="002F0A13" w:rsidRDefault="00772910" w:rsidP="004B4A60">
      <w:pPr>
        <w:rPr>
          <w:b/>
          <w:u w:val="single"/>
          <w:lang w:val="es-ES_tradnl"/>
        </w:rPr>
      </w:pPr>
    </w:p>
    <w:p w14:paraId="022E471D" w14:textId="77777777" w:rsidR="002F0A13" w:rsidRDefault="00772910" w:rsidP="004B4A60">
      <w:pPr>
        <w:rPr>
          <w:b/>
          <w:u w:val="single"/>
          <w:lang w:val="es-ES_tradnl"/>
        </w:rPr>
      </w:pPr>
    </w:p>
    <w:p w14:paraId="446AC301" w14:textId="77777777" w:rsidR="002F0A13" w:rsidRDefault="00772910" w:rsidP="004B4A60">
      <w:pPr>
        <w:rPr>
          <w:b/>
          <w:u w:val="single"/>
          <w:lang w:val="es-ES_tradnl"/>
        </w:rPr>
      </w:pPr>
    </w:p>
    <w:p w14:paraId="4EC7E24B" w14:textId="77777777" w:rsidR="00C26F2D" w:rsidRDefault="00772910" w:rsidP="004B4A60">
      <w:pPr>
        <w:rPr>
          <w:b/>
          <w:u w:val="single"/>
          <w:lang w:val="es-ES_tradnl"/>
        </w:rPr>
      </w:pPr>
    </w:p>
    <w:p w14:paraId="65413B6C" w14:textId="77777777" w:rsidR="004B4A60" w:rsidRPr="0057246E" w:rsidRDefault="00772910" w:rsidP="001B789F">
      <w:pPr>
        <w:pStyle w:val="ATSTitle"/>
      </w:pPr>
      <w:bookmarkStart w:id="0" w:name="name"/>
      <w:r>
        <w:t>ASOC Report to the ATCM</w:t>
      </w:r>
      <w:bookmarkEnd w:id="0"/>
    </w:p>
    <w:p w14:paraId="129198D2" w14:textId="77777777" w:rsidR="004B4A60" w:rsidRPr="0057246E" w:rsidRDefault="00772910" w:rsidP="00F75424">
      <w:pPr>
        <w:jc w:val="center"/>
      </w:pPr>
    </w:p>
    <w:p w14:paraId="76A06A0E" w14:textId="77777777" w:rsidR="004B4A60" w:rsidRPr="002F0A13" w:rsidRDefault="00772910" w:rsidP="002F0A13"/>
    <w:p w14:paraId="03119D04" w14:textId="77777777" w:rsidR="004B4A60" w:rsidRDefault="00772910" w:rsidP="00F75424">
      <w:pPr>
        <w:jc w:val="center"/>
      </w:pPr>
      <w:bookmarkStart w:id="1" w:name="memo"/>
      <w:bookmarkEnd w:id="1"/>
    </w:p>
    <w:p w14:paraId="55C154BB" w14:textId="77777777" w:rsidR="0097629D" w:rsidRDefault="00772910" w:rsidP="00F75424">
      <w:pPr>
        <w:jc w:val="center"/>
      </w:pPr>
    </w:p>
    <w:p w14:paraId="74DC5F34" w14:textId="77777777" w:rsidR="0097629D" w:rsidRDefault="00772910" w:rsidP="00F75424">
      <w:pPr>
        <w:jc w:val="center"/>
      </w:pPr>
    </w:p>
    <w:p w14:paraId="453D337E" w14:textId="77777777" w:rsidR="0097629D" w:rsidRDefault="00772910" w:rsidP="00F75424">
      <w:pPr>
        <w:jc w:val="center"/>
      </w:pPr>
    </w:p>
    <w:p w14:paraId="57ED4E4D" w14:textId="77777777" w:rsidR="0097629D" w:rsidRPr="00C26F2D" w:rsidRDefault="00772910" w:rsidP="00F75424">
      <w:pPr>
        <w:jc w:val="center"/>
      </w:pPr>
    </w:p>
    <w:p w14:paraId="45E1BE88" w14:textId="77777777" w:rsidR="004B4A60" w:rsidRPr="0057246E" w:rsidRDefault="00772910" w:rsidP="004B4A60"/>
    <w:p w14:paraId="00574A17" w14:textId="77777777" w:rsidR="00C26F2D" w:rsidRDefault="00772910" w:rsidP="00952E9F">
      <w:pPr>
        <w:sectPr w:rsidR="00C26F2D" w:rsidSect="00D5023C">
          <w:headerReference w:type="default" r:id="rId8"/>
          <w:footerReference w:type="even" r:id="rId9"/>
          <w:footerReference w:type="default" r:id="rId10"/>
          <w:pgSz w:w="11907" w:h="16840" w:code="9"/>
          <w:pgMar w:top="1134" w:right="1701" w:bottom="1134" w:left="1701" w:header="709" w:footer="709" w:gutter="0"/>
          <w:cols w:space="708"/>
          <w:docGrid w:linePitch="360"/>
        </w:sectPr>
      </w:pPr>
    </w:p>
    <w:p w14:paraId="2FC2104D" w14:textId="77777777" w:rsidR="004B4A60" w:rsidRDefault="00772910" w:rsidP="00952E9F"/>
    <w:p w14:paraId="07299325" w14:textId="77777777" w:rsidR="00772910" w:rsidRPr="00055D5E" w:rsidRDefault="00772910" w:rsidP="00772910">
      <w:pPr>
        <w:pStyle w:val="ATSHeading1"/>
      </w:pPr>
      <w:r w:rsidRPr="00055D5E">
        <w:t xml:space="preserve">ASOC </w:t>
      </w:r>
      <w:r>
        <w:t>r</w:t>
      </w:r>
      <w:r w:rsidRPr="00055D5E">
        <w:t>eport to the ATCM</w:t>
      </w:r>
    </w:p>
    <w:p w14:paraId="60FE979B" w14:textId="77777777" w:rsidR="00772910" w:rsidRPr="00A10AF1" w:rsidRDefault="00772910" w:rsidP="00772910">
      <w:pPr>
        <w:pStyle w:val="ATSMeasureEmphasis"/>
        <w:jc w:val="center"/>
        <w:rPr>
          <w:i/>
        </w:rPr>
      </w:pPr>
      <w:r w:rsidRPr="00A10AF1">
        <w:t xml:space="preserve">Information Paper submitted by </w:t>
      </w:r>
      <w:proofErr w:type="gramStart"/>
      <w:r w:rsidRPr="00A10AF1">
        <w:t>ASOC</w:t>
      </w:r>
      <w:proofErr w:type="gramEnd"/>
    </w:p>
    <w:p w14:paraId="220AF2BF" w14:textId="77777777" w:rsidR="00772910" w:rsidRPr="00C54C38" w:rsidRDefault="00772910" w:rsidP="00772910">
      <w:pPr>
        <w:pStyle w:val="ATSHeading2"/>
        <w:spacing w:before="120"/>
        <w:rPr>
          <w:rFonts w:cs="Arial"/>
        </w:rPr>
      </w:pPr>
      <w:r w:rsidRPr="00C54C38">
        <w:rPr>
          <w:rFonts w:cs="Arial"/>
        </w:rPr>
        <w:t>Introduction</w:t>
      </w:r>
    </w:p>
    <w:p w14:paraId="190F5046" w14:textId="77777777" w:rsidR="00772910" w:rsidRPr="006B32AA" w:rsidRDefault="00772910" w:rsidP="00772910">
      <w:pPr>
        <w:jc w:val="both"/>
        <w:rPr>
          <w:szCs w:val="22"/>
        </w:rPr>
      </w:pPr>
      <w:r w:rsidRPr="006B32AA">
        <w:rPr>
          <w:szCs w:val="22"/>
        </w:rPr>
        <w:t xml:space="preserve">ASOC is pleased to be attending the XLIV Antarctic Treaty Consultative Meeting. This report briefly describes ASOC’s work over the last year. </w:t>
      </w:r>
    </w:p>
    <w:p w14:paraId="7B873A75" w14:textId="77777777" w:rsidR="00772910" w:rsidRPr="006B32AA" w:rsidRDefault="00772910" w:rsidP="00772910">
      <w:pPr>
        <w:jc w:val="both"/>
        <w:rPr>
          <w:szCs w:val="22"/>
        </w:rPr>
      </w:pPr>
    </w:p>
    <w:p w14:paraId="0DDAA114" w14:textId="77777777" w:rsidR="00772910" w:rsidRPr="006B32AA" w:rsidRDefault="00772910" w:rsidP="00772910">
      <w:pPr>
        <w:jc w:val="both"/>
        <w:rPr>
          <w:szCs w:val="22"/>
        </w:rPr>
      </w:pPr>
      <w:r w:rsidRPr="006B32AA">
        <w:rPr>
          <w:szCs w:val="22"/>
        </w:rPr>
        <w:t xml:space="preserve">ASOC’s Secretariat </w:t>
      </w:r>
      <w:proofErr w:type="gramStart"/>
      <w:r w:rsidRPr="006B32AA">
        <w:rPr>
          <w:szCs w:val="22"/>
        </w:rPr>
        <w:t xml:space="preserve">is </w:t>
      </w:r>
      <w:r>
        <w:rPr>
          <w:szCs w:val="22"/>
        </w:rPr>
        <w:t xml:space="preserve">located </w:t>
      </w:r>
      <w:r w:rsidRPr="006B32AA">
        <w:rPr>
          <w:szCs w:val="22"/>
        </w:rPr>
        <w:t>in</w:t>
      </w:r>
      <w:proofErr w:type="gramEnd"/>
      <w:r w:rsidRPr="006B32AA">
        <w:rPr>
          <w:szCs w:val="22"/>
        </w:rPr>
        <w:t xml:space="preserve"> Washington, DC, USA, and its website is </w:t>
      </w:r>
      <w:hyperlink r:id="rId11" w:history="1">
        <w:r w:rsidRPr="006B32AA">
          <w:rPr>
            <w:szCs w:val="22"/>
          </w:rPr>
          <w:t>https://www.asoc.org</w:t>
        </w:r>
      </w:hyperlink>
      <w:r w:rsidRPr="006B32AA">
        <w:rPr>
          <w:szCs w:val="22"/>
        </w:rPr>
        <w:t>. ASOC has 2</w:t>
      </w:r>
      <w:r>
        <w:rPr>
          <w:szCs w:val="22"/>
        </w:rPr>
        <w:t xml:space="preserve">1 </w:t>
      </w:r>
      <w:r w:rsidRPr="006B32AA">
        <w:rPr>
          <w:szCs w:val="22"/>
        </w:rPr>
        <w:t>member</w:t>
      </w:r>
      <w:r>
        <w:rPr>
          <w:szCs w:val="22"/>
        </w:rPr>
        <w:t xml:space="preserve"> organizations</w:t>
      </w:r>
      <w:r w:rsidRPr="006B32AA">
        <w:rPr>
          <w:szCs w:val="22"/>
        </w:rPr>
        <w:t xml:space="preserve"> </w:t>
      </w:r>
      <w:r>
        <w:rPr>
          <w:szCs w:val="22"/>
        </w:rPr>
        <w:t xml:space="preserve">active in </w:t>
      </w:r>
      <w:r w:rsidRPr="006B32AA">
        <w:rPr>
          <w:szCs w:val="22"/>
        </w:rPr>
        <w:t xml:space="preserve">a wide range of </w:t>
      </w:r>
      <w:r>
        <w:rPr>
          <w:szCs w:val="22"/>
        </w:rPr>
        <w:t xml:space="preserve">Antarctic Treaty </w:t>
      </w:r>
      <w:r w:rsidRPr="006B32AA">
        <w:rPr>
          <w:szCs w:val="22"/>
        </w:rPr>
        <w:t xml:space="preserve">countries who are committed to the preservation of Antarctica as a place for peace and science. We are pleased to report that the </w:t>
      </w:r>
      <w:r>
        <w:rPr>
          <w:szCs w:val="22"/>
        </w:rPr>
        <w:t xml:space="preserve">organizations Animal Welfare Institute (AWI) and </w:t>
      </w:r>
      <w:proofErr w:type="spellStart"/>
      <w:r>
        <w:rPr>
          <w:szCs w:val="22"/>
        </w:rPr>
        <w:t>SeaLegacy</w:t>
      </w:r>
      <w:proofErr w:type="spellEnd"/>
      <w:r>
        <w:rPr>
          <w:szCs w:val="22"/>
        </w:rPr>
        <w:t xml:space="preserve"> have recently joined ASOC.</w:t>
      </w:r>
    </w:p>
    <w:p w14:paraId="17623870" w14:textId="77777777" w:rsidR="00772910" w:rsidRDefault="00772910" w:rsidP="00772910">
      <w:pPr>
        <w:jc w:val="both"/>
        <w:rPr>
          <w:szCs w:val="22"/>
        </w:rPr>
      </w:pPr>
    </w:p>
    <w:p w14:paraId="2E1BCEB2" w14:textId="77777777" w:rsidR="00772910" w:rsidRDefault="00772910" w:rsidP="00772910">
      <w:pPr>
        <w:jc w:val="both"/>
        <w:rPr>
          <w:szCs w:val="22"/>
        </w:rPr>
      </w:pPr>
      <w:r>
        <w:rPr>
          <w:szCs w:val="22"/>
        </w:rPr>
        <w:t xml:space="preserve">During the intersessional period, there were </w:t>
      </w:r>
      <w:proofErr w:type="gramStart"/>
      <w:r>
        <w:rPr>
          <w:szCs w:val="22"/>
        </w:rPr>
        <w:t>a number of</w:t>
      </w:r>
      <w:proofErr w:type="gramEnd"/>
      <w:r>
        <w:rPr>
          <w:szCs w:val="22"/>
        </w:rPr>
        <w:t xml:space="preserve"> important developments in global environmental protection. New targets for protecting 30% of the land and ocean were agreed at the Conference of the Parties of the Convention on Biological Diversity (CBD) in December 2022. This landmark achievement was followed by the adoption of a draft text for a new international </w:t>
      </w:r>
      <w:proofErr w:type="gramStart"/>
      <w:r>
        <w:rPr>
          <w:szCs w:val="22"/>
        </w:rPr>
        <w:t>legally-binding</w:t>
      </w:r>
      <w:proofErr w:type="gramEnd"/>
      <w:r>
        <w:rPr>
          <w:szCs w:val="22"/>
        </w:rPr>
        <w:t xml:space="preserve"> instrument under the U.N. Convention on the Law of the Sea on the conservation and sustainable use of marine biodiversity in areas beyond national jurisdiction (BBNJ treaty). However, these important milestones must be viewed in the context of the accelerating climate crisis. The latest AR6 report from the IPCC provides sobering details on the serious impact that climate change is having on our planet, reinforcing the need for immediate action to reduce climate impacts. </w:t>
      </w:r>
    </w:p>
    <w:p w14:paraId="7BD54A5E" w14:textId="77777777" w:rsidR="00772910" w:rsidRDefault="00772910" w:rsidP="00772910">
      <w:pPr>
        <w:jc w:val="both"/>
        <w:rPr>
          <w:szCs w:val="22"/>
        </w:rPr>
      </w:pPr>
    </w:p>
    <w:p w14:paraId="4092F1D5" w14:textId="77777777" w:rsidR="00772910" w:rsidRDefault="00772910" w:rsidP="00772910">
      <w:pPr>
        <w:jc w:val="both"/>
        <w:rPr>
          <w:szCs w:val="22"/>
        </w:rPr>
      </w:pPr>
      <w:r>
        <w:rPr>
          <w:szCs w:val="22"/>
        </w:rPr>
        <w:t>This year, the ATCM celebrates the 25</w:t>
      </w:r>
      <w:r w:rsidRPr="00030B39">
        <w:rPr>
          <w:szCs w:val="22"/>
          <w:vertAlign w:val="superscript"/>
        </w:rPr>
        <w:t>th</w:t>
      </w:r>
      <w:r>
        <w:rPr>
          <w:szCs w:val="22"/>
        </w:rPr>
        <w:t xml:space="preserve"> anniversary of the entry into force of the Madrid Protocol. The Protocol continues to serve as a reminder of the tremendous accomplishments that can occur when nations set aside their short-term interests in the service of long-term environmental preservation. The Protocol remains relevant today, but ATCPs must continue to implement its tools effectively, including through designating new protected areas to meet global 30% protection targets and through protecting vulnerable species such as the emperor penguin. </w:t>
      </w:r>
    </w:p>
    <w:p w14:paraId="6054519E" w14:textId="77777777" w:rsidR="00772910" w:rsidRPr="006B32AA" w:rsidRDefault="00772910" w:rsidP="00772910">
      <w:pPr>
        <w:jc w:val="both"/>
        <w:rPr>
          <w:szCs w:val="22"/>
        </w:rPr>
      </w:pPr>
    </w:p>
    <w:p w14:paraId="1DCC010D" w14:textId="77777777" w:rsidR="00772910" w:rsidRPr="00C54C38" w:rsidRDefault="00772910" w:rsidP="00772910">
      <w:pPr>
        <w:pStyle w:val="ATSHeading3"/>
        <w:spacing w:before="0" w:after="0"/>
        <w:rPr>
          <w:rFonts w:ascii="Arial" w:hAnsi="Arial" w:cs="Arial"/>
          <w:i/>
          <w:iCs/>
          <w:sz w:val="24"/>
        </w:rPr>
      </w:pPr>
      <w:r w:rsidRPr="00C54C38">
        <w:rPr>
          <w:rFonts w:ascii="Arial" w:hAnsi="Arial" w:cs="Arial"/>
          <w:i/>
          <w:iCs/>
          <w:sz w:val="24"/>
        </w:rPr>
        <w:t xml:space="preserve">Intersessional Activities </w:t>
      </w:r>
    </w:p>
    <w:p w14:paraId="365123B8" w14:textId="77777777" w:rsidR="00772910" w:rsidRDefault="00772910" w:rsidP="00772910">
      <w:pPr>
        <w:jc w:val="center"/>
        <w:rPr>
          <w:b/>
          <w:bCs/>
        </w:rPr>
      </w:pPr>
    </w:p>
    <w:p w14:paraId="61D41512" w14:textId="77777777" w:rsidR="00772910" w:rsidRDefault="00772910" w:rsidP="00772910">
      <w:pPr>
        <w:rPr>
          <w:bCs/>
          <w:lang w:val="en-US"/>
        </w:rPr>
      </w:pPr>
      <w:r>
        <w:rPr>
          <w:bCs/>
          <w:lang w:val="en-US"/>
        </w:rPr>
        <w:t xml:space="preserve">ASOC and its member organizations have been involved in a wide range of activities relevant to Antarctic governance and science during the intersessional period. </w:t>
      </w:r>
    </w:p>
    <w:p w14:paraId="20393B78" w14:textId="77777777" w:rsidR="00772910" w:rsidRPr="00A83670" w:rsidRDefault="00772910" w:rsidP="00772910">
      <w:pPr>
        <w:rPr>
          <w:bCs/>
          <w:lang w:val="en-US"/>
        </w:rPr>
      </w:pPr>
    </w:p>
    <w:p w14:paraId="4EAB1B99" w14:textId="77777777" w:rsidR="00772910" w:rsidRDefault="00772910" w:rsidP="00772910">
      <w:pPr>
        <w:rPr>
          <w:bCs/>
          <w:lang w:val="en-US"/>
        </w:rPr>
      </w:pPr>
      <w:r w:rsidRPr="00A83670">
        <w:rPr>
          <w:bCs/>
          <w:lang w:val="en-US"/>
        </w:rPr>
        <w:t xml:space="preserve">WWF held a workshop on </w:t>
      </w:r>
      <w:r w:rsidRPr="00A83670">
        <w:rPr>
          <w:bCs/>
          <w:i/>
          <w:iCs/>
          <w:lang w:val="en-US"/>
        </w:rPr>
        <w:t>Antarctic governance and China’s participation</w:t>
      </w:r>
      <w:r w:rsidRPr="00A83670">
        <w:rPr>
          <w:bCs/>
          <w:lang w:val="en-US"/>
        </w:rPr>
        <w:t xml:space="preserve"> in Qingdao, China in September 2022. The workshop enabled researchers and government officials to engage on key Antarctic issues.</w:t>
      </w:r>
    </w:p>
    <w:p w14:paraId="154E8E7B" w14:textId="77777777" w:rsidR="00772910" w:rsidRDefault="00772910" w:rsidP="00772910">
      <w:pPr>
        <w:rPr>
          <w:bCs/>
          <w:lang w:val="en-US"/>
        </w:rPr>
      </w:pPr>
    </w:p>
    <w:p w14:paraId="01BCCC9E" w14:textId="77777777" w:rsidR="00772910" w:rsidRPr="001411B2" w:rsidRDefault="00772910" w:rsidP="00772910">
      <w:pPr>
        <w:rPr>
          <w:bCs/>
          <w:lang w:val="en-US"/>
        </w:rPr>
      </w:pPr>
      <w:r w:rsidRPr="001411B2">
        <w:rPr>
          <w:bCs/>
          <w:lang w:val="en-US"/>
        </w:rPr>
        <w:t xml:space="preserve">Pew Bertarelli supported the SCAR Krill Expert Group in hosting its March 2023 virtual workshop on the development of a stock hypothesis for Antarctic </w:t>
      </w:r>
      <w:r>
        <w:rPr>
          <w:bCs/>
          <w:lang w:val="en-US"/>
        </w:rPr>
        <w:t>k</w:t>
      </w:r>
      <w:r w:rsidRPr="001411B2">
        <w:rPr>
          <w:bCs/>
          <w:lang w:val="en-US"/>
        </w:rPr>
        <w:t xml:space="preserve">rill. </w:t>
      </w:r>
      <w:r>
        <w:rPr>
          <w:bCs/>
          <w:lang w:val="en-US"/>
        </w:rPr>
        <w:t xml:space="preserve">Furthermore, </w:t>
      </w:r>
      <w:r w:rsidRPr="001411B2">
        <w:rPr>
          <w:bCs/>
          <w:lang w:val="en-US"/>
        </w:rPr>
        <w:t>Pew Bertarelli worked with ASOC and other partners to launch the first ever World Krill Day on August 11, 2022. Pew activities included a question-and-answer feature with</w:t>
      </w:r>
      <w:r>
        <w:rPr>
          <w:bCs/>
          <w:lang w:val="en-US"/>
        </w:rPr>
        <w:t xml:space="preserve"> krill scientist</w:t>
      </w:r>
      <w:r w:rsidRPr="001411B2">
        <w:rPr>
          <w:bCs/>
          <w:lang w:val="en-US"/>
        </w:rPr>
        <w:t xml:space="preserve"> Dr. Kim Bernard, a quiz about krill, 8 facts about krill, and ample social and traditional media coverage. Pew and ASOC worked together with Citizens Institute for Environmental Studies (CIES) in Korea to hold an education webinar for the first World Krill Day featuring a variety of krill experts. Plans are underway for the next World Krill Day on August 11, 2023.</w:t>
      </w:r>
    </w:p>
    <w:p w14:paraId="43028B43" w14:textId="77777777" w:rsidR="00772910" w:rsidRPr="00A83670" w:rsidRDefault="00772910" w:rsidP="00772910">
      <w:pPr>
        <w:rPr>
          <w:bCs/>
          <w:lang w:val="en-US"/>
        </w:rPr>
      </w:pPr>
    </w:p>
    <w:p w14:paraId="53A55638" w14:textId="77777777" w:rsidR="00772910" w:rsidRDefault="00772910" w:rsidP="00772910">
      <w:pPr>
        <w:pStyle w:val="ATSNormal"/>
        <w:spacing w:before="0" w:after="0"/>
        <w:jc w:val="both"/>
        <w:rPr>
          <w:szCs w:val="22"/>
        </w:rPr>
      </w:pPr>
      <w:r>
        <w:rPr>
          <w:szCs w:val="22"/>
        </w:rPr>
        <w:t>ASOC and several of its members attended the 27</w:t>
      </w:r>
      <w:r w:rsidRPr="00BA22BD">
        <w:rPr>
          <w:szCs w:val="22"/>
          <w:vertAlign w:val="superscript"/>
        </w:rPr>
        <w:t>th</w:t>
      </w:r>
      <w:r>
        <w:rPr>
          <w:szCs w:val="22"/>
        </w:rPr>
        <w:t xml:space="preserve"> Conference of the Parties to the United Nations Framework Convention on Climate Change. ASOC member the International Cryosphere </w:t>
      </w:r>
      <w:r>
        <w:rPr>
          <w:szCs w:val="22"/>
        </w:rPr>
        <w:lastRenderedPageBreak/>
        <w:t xml:space="preserve">Climate Initiative </w:t>
      </w:r>
      <w:r w:rsidRPr="00963FC6">
        <w:rPr>
          <w:szCs w:val="22"/>
        </w:rPr>
        <w:t xml:space="preserve">coordinated the Cryosphere Pavilion, which hosted nearly 20 side events focused on Antarctica and/or the Southern Ocean in relation to climate </w:t>
      </w:r>
      <w:proofErr w:type="gramStart"/>
      <w:r w:rsidRPr="00963FC6">
        <w:rPr>
          <w:szCs w:val="22"/>
        </w:rPr>
        <w:t>change;</w:t>
      </w:r>
      <w:proofErr w:type="gramEnd"/>
      <w:r w:rsidRPr="00963FC6">
        <w:rPr>
          <w:szCs w:val="22"/>
        </w:rPr>
        <w:t xml:space="preserve"> with exhibits for negotiators on ice sheets and sea-level rise as well as impacts on polar ocean fisheries.</w:t>
      </w:r>
    </w:p>
    <w:p w14:paraId="08E97AC3" w14:textId="77777777" w:rsidR="00772910" w:rsidRDefault="00772910" w:rsidP="00772910">
      <w:pPr>
        <w:pStyle w:val="ATSNormal"/>
        <w:spacing w:before="0" w:after="0"/>
        <w:jc w:val="both"/>
        <w:rPr>
          <w:szCs w:val="22"/>
        </w:rPr>
      </w:pPr>
    </w:p>
    <w:p w14:paraId="00174B35" w14:textId="77777777" w:rsidR="00772910" w:rsidRDefault="00772910" w:rsidP="00772910">
      <w:pPr>
        <w:pStyle w:val="ATSNormal"/>
        <w:spacing w:before="0" w:after="0"/>
        <w:jc w:val="both"/>
        <w:rPr>
          <w:szCs w:val="22"/>
        </w:rPr>
      </w:pPr>
      <w:r>
        <w:rPr>
          <w:szCs w:val="22"/>
        </w:rPr>
        <w:t xml:space="preserve">ASOC and its members also participated actively in relevant international meetings during the intersessional period, including the United Nations Ocean Conference, the intergovernmental conferences to develop the BBNJ treaty, and Our Ocean in Panama. ASOC also participated in numerous meetings of the International Maritime Organization, including the Marine Environment Protection and Maritime Safety Committees and </w:t>
      </w:r>
      <w:proofErr w:type="gramStart"/>
      <w:r>
        <w:rPr>
          <w:szCs w:val="22"/>
        </w:rPr>
        <w:t>a number of</w:t>
      </w:r>
      <w:proofErr w:type="gramEnd"/>
      <w:r>
        <w:rPr>
          <w:szCs w:val="22"/>
        </w:rPr>
        <w:t xml:space="preserve"> sub-committees to progress work to improve the implementation of the Polar Code in the polar regions, and to address the loss of plastic fishing gear and update guidance on reducing underwater noise. </w:t>
      </w:r>
    </w:p>
    <w:p w14:paraId="18ACE4DB" w14:textId="77777777" w:rsidR="00772910" w:rsidRDefault="00772910" w:rsidP="00772910">
      <w:pPr>
        <w:pStyle w:val="ATSNormal"/>
        <w:spacing w:before="0" w:after="0"/>
        <w:jc w:val="both"/>
        <w:rPr>
          <w:b/>
          <w:bCs/>
          <w:lang w:val="en-US"/>
        </w:rPr>
      </w:pPr>
      <w:r w:rsidRPr="00A83670">
        <w:rPr>
          <w:b/>
          <w:bCs/>
          <w:lang w:val="en-US"/>
        </w:rPr>
        <w:t> </w:t>
      </w:r>
    </w:p>
    <w:p w14:paraId="3BD46CAB" w14:textId="77777777" w:rsidR="00772910" w:rsidRPr="00030B39" w:rsidRDefault="00772910" w:rsidP="00772910">
      <w:pPr>
        <w:rPr>
          <w:b/>
          <w:bCs/>
          <w:lang w:val="en-US"/>
        </w:rPr>
      </w:pPr>
      <w:r>
        <w:rPr>
          <w:szCs w:val="22"/>
          <w:lang w:val="en-US"/>
        </w:rPr>
        <w:t>ASOC participates as stakeholder</w:t>
      </w:r>
      <w:r>
        <w:rPr>
          <w:szCs w:val="22"/>
        </w:rPr>
        <w:t>/</w:t>
      </w:r>
      <w:r>
        <w:rPr>
          <w:szCs w:val="22"/>
          <w:lang w:val="en-US"/>
        </w:rPr>
        <w:t xml:space="preserve">partner in SCAR’s </w:t>
      </w:r>
      <w:proofErr w:type="spellStart"/>
      <w:r>
        <w:rPr>
          <w:szCs w:val="22"/>
          <w:lang w:val="en-US"/>
        </w:rPr>
        <w:t>AntICON</w:t>
      </w:r>
      <w:proofErr w:type="spellEnd"/>
      <w:r>
        <w:rPr>
          <w:szCs w:val="22"/>
          <w:lang w:val="en-US"/>
        </w:rPr>
        <w:t xml:space="preserve"> (Integrated Science to Inform Antarctic and Southern Ocean Conservation), in several international tourism research projects coordinated by the Netherlands Polar Program (ATCM XLV/BG 02), and in various educational activities, including the 2023 edition of the Appel des </w:t>
      </w:r>
      <w:proofErr w:type="spellStart"/>
      <w:r w:rsidRPr="00955C92">
        <w:rPr>
          <w:szCs w:val="22"/>
          <w:lang w:val="en-US"/>
        </w:rPr>
        <w:t>Pôles</w:t>
      </w:r>
      <w:proofErr w:type="spellEnd"/>
      <w:r>
        <w:rPr>
          <w:szCs w:val="22"/>
          <w:lang w:val="en-US"/>
        </w:rPr>
        <w:t>/Call of the Poles in France.</w:t>
      </w:r>
    </w:p>
    <w:p w14:paraId="5F59ABB6" w14:textId="77777777" w:rsidR="00772910" w:rsidRDefault="00772910" w:rsidP="00772910">
      <w:pPr>
        <w:rPr>
          <w:color w:val="222222"/>
          <w:szCs w:val="22"/>
          <w:lang w:val="en-US"/>
        </w:rPr>
      </w:pPr>
    </w:p>
    <w:p w14:paraId="0E1D59B5" w14:textId="77777777" w:rsidR="00772910" w:rsidRPr="00030B39" w:rsidRDefault="00772910" w:rsidP="00772910">
      <w:pPr>
        <w:rPr>
          <w:b/>
          <w:bCs/>
          <w:lang w:val="en-US"/>
        </w:rPr>
      </w:pPr>
      <w:r>
        <w:rPr>
          <w:color w:val="222222"/>
          <w:szCs w:val="22"/>
          <w:lang w:val="en-US"/>
        </w:rPr>
        <w:t xml:space="preserve">Throughout the past twelve months, </w:t>
      </w:r>
      <w:r w:rsidRPr="006B32AA">
        <w:rPr>
          <w:color w:val="222222"/>
          <w:szCs w:val="22"/>
          <w:lang w:val="en-US"/>
        </w:rPr>
        <w:t xml:space="preserve">ASOC contributed to intersessional discussions at the </w:t>
      </w:r>
      <w:r>
        <w:rPr>
          <w:szCs w:val="22"/>
        </w:rPr>
        <w:t xml:space="preserve">online </w:t>
      </w:r>
      <w:r w:rsidRPr="006B32AA">
        <w:rPr>
          <w:color w:val="222222"/>
          <w:szCs w:val="22"/>
          <w:lang w:val="en-US"/>
        </w:rPr>
        <w:t>ATCM and CEP fora including discussions on climate change, protected areas, and tourism</w:t>
      </w:r>
      <w:r>
        <w:rPr>
          <w:color w:val="222222"/>
          <w:szCs w:val="22"/>
          <w:lang w:val="en-US"/>
        </w:rPr>
        <w:t>, and attended the recent workshop on tourism in Paris</w:t>
      </w:r>
      <w:r w:rsidRPr="006B32AA">
        <w:rPr>
          <w:color w:val="222222"/>
          <w:szCs w:val="22"/>
          <w:lang w:val="en-US"/>
        </w:rPr>
        <w:t xml:space="preserve">. </w:t>
      </w:r>
      <w:r>
        <w:rPr>
          <w:color w:val="222222"/>
          <w:szCs w:val="22"/>
          <w:lang w:val="en-US"/>
        </w:rPr>
        <w:t xml:space="preserve">Additionally, </w:t>
      </w:r>
      <w:r w:rsidRPr="00937DC0">
        <w:rPr>
          <w:szCs w:val="22"/>
          <w:lang w:val="en-US"/>
        </w:rPr>
        <w:t xml:space="preserve">ASOC appreciates working with other observers and experts including SCAR, IAATO, </w:t>
      </w:r>
      <w:r>
        <w:rPr>
          <w:szCs w:val="22"/>
          <w:lang w:val="en-US"/>
        </w:rPr>
        <w:t xml:space="preserve">and </w:t>
      </w:r>
      <w:r w:rsidRPr="00937DC0">
        <w:rPr>
          <w:szCs w:val="22"/>
          <w:lang w:val="en-US"/>
        </w:rPr>
        <w:t>COMNAP</w:t>
      </w:r>
      <w:r>
        <w:rPr>
          <w:szCs w:val="22"/>
          <w:lang w:val="en-US"/>
        </w:rPr>
        <w:t>.</w:t>
      </w:r>
    </w:p>
    <w:p w14:paraId="17074082" w14:textId="77777777" w:rsidR="00772910" w:rsidRDefault="00772910" w:rsidP="00772910">
      <w:pPr>
        <w:rPr>
          <w:b/>
          <w:bCs/>
        </w:rPr>
      </w:pPr>
    </w:p>
    <w:p w14:paraId="0C428735" w14:textId="77777777" w:rsidR="00772910" w:rsidRPr="00C54C38" w:rsidRDefault="00772910" w:rsidP="00772910">
      <w:pPr>
        <w:pStyle w:val="ATSHeading3"/>
        <w:spacing w:after="120" w:line="360" w:lineRule="auto"/>
        <w:rPr>
          <w:rFonts w:ascii="Arial" w:hAnsi="Arial" w:cs="Arial"/>
          <w:i/>
          <w:iCs/>
          <w:sz w:val="24"/>
        </w:rPr>
      </w:pPr>
      <w:r w:rsidRPr="00C54C38">
        <w:rPr>
          <w:rFonts w:ascii="Arial" w:hAnsi="Arial" w:cs="Arial"/>
          <w:i/>
          <w:iCs/>
          <w:sz w:val="24"/>
        </w:rPr>
        <w:t>Support for policy-relevant science</w:t>
      </w:r>
      <w:r>
        <w:rPr>
          <w:rFonts w:ascii="Arial" w:hAnsi="Arial" w:cs="Arial"/>
          <w:i/>
          <w:iCs/>
          <w:sz w:val="24"/>
        </w:rPr>
        <w:t xml:space="preserve"> and science communications</w:t>
      </w:r>
    </w:p>
    <w:p w14:paraId="6F49B6C5" w14:textId="77777777" w:rsidR="00772910" w:rsidRDefault="00772910" w:rsidP="00772910">
      <w:pPr>
        <w:rPr>
          <w:bCs/>
          <w:lang w:val="en-US"/>
        </w:rPr>
      </w:pPr>
      <w:r>
        <w:rPr>
          <w:bCs/>
          <w:lang w:val="en-US"/>
        </w:rPr>
        <w:t xml:space="preserve">ASOC and its members continue to support a wide range of Antarctic research. </w:t>
      </w:r>
    </w:p>
    <w:p w14:paraId="79F59E72" w14:textId="77777777" w:rsidR="00772910" w:rsidRDefault="00772910" w:rsidP="00772910">
      <w:pPr>
        <w:rPr>
          <w:bCs/>
          <w:lang w:val="en-US"/>
        </w:rPr>
      </w:pPr>
    </w:p>
    <w:p w14:paraId="5ECC776B" w14:textId="77777777" w:rsidR="00772910" w:rsidRDefault="00772910" w:rsidP="00772910">
      <w:pPr>
        <w:rPr>
          <w:bCs/>
          <w:lang w:val="en-US"/>
        </w:rPr>
      </w:pPr>
      <w:r w:rsidRPr="00A83670">
        <w:rPr>
          <w:bCs/>
          <w:lang w:val="en-US"/>
        </w:rPr>
        <w:t xml:space="preserve">WWF supported research to further our understanding of Antarctic krill’s role in the Southern Ocean ecosystem and global carbon cycle. This research was published in a WWF Report, </w:t>
      </w:r>
      <w:r w:rsidRPr="00A83670">
        <w:rPr>
          <w:bCs/>
          <w:i/>
          <w:iCs/>
          <w:lang w:val="en-US"/>
        </w:rPr>
        <w:t xml:space="preserve">Antarctic krill: Powerhouse of the Southern Ocean, </w:t>
      </w:r>
      <w:r w:rsidRPr="00A83670">
        <w:rPr>
          <w:bCs/>
          <w:lang w:val="en-US"/>
        </w:rPr>
        <w:t>which was launched in October 2022. WWF has also provided support to the Wildlife from Space initiative, led by the British Antarctic Survey, which recently discovered a previously unknown emperor penguin colony at Verleger Point using satellite technology.</w:t>
      </w:r>
    </w:p>
    <w:p w14:paraId="650E3563" w14:textId="77777777" w:rsidR="00772910" w:rsidRPr="00A83670" w:rsidRDefault="00772910" w:rsidP="00772910">
      <w:pPr>
        <w:rPr>
          <w:bCs/>
          <w:lang w:val="en-US"/>
        </w:rPr>
      </w:pPr>
    </w:p>
    <w:p w14:paraId="6D22F7EB" w14:textId="77777777" w:rsidR="00772910" w:rsidRDefault="00772910" w:rsidP="00772910">
      <w:pPr>
        <w:rPr>
          <w:bCs/>
          <w:lang w:val="en-US"/>
        </w:rPr>
      </w:pPr>
      <w:r w:rsidRPr="00A83670">
        <w:rPr>
          <w:bCs/>
          <w:lang w:val="en-US"/>
        </w:rPr>
        <w:t xml:space="preserve">In February 2023, </w:t>
      </w:r>
      <w:proofErr w:type="gramStart"/>
      <w:r w:rsidRPr="00A83670">
        <w:rPr>
          <w:bCs/>
          <w:lang w:val="en-US"/>
        </w:rPr>
        <w:t>WWF</w:t>
      </w:r>
      <w:proofErr w:type="gramEnd"/>
      <w:r w:rsidRPr="00A83670">
        <w:rPr>
          <w:bCs/>
          <w:lang w:val="en-US"/>
        </w:rPr>
        <w:t xml:space="preserve"> and University of California Santa Cruz (USA) partnered with Intrepid Travel to conduct research on baleen whales around the Antarctic Peninsula that will help to further our understanding of their distribution, movement and critical foraging habitats.</w:t>
      </w:r>
    </w:p>
    <w:p w14:paraId="718DF438" w14:textId="77777777" w:rsidR="00772910" w:rsidRDefault="00772910" w:rsidP="00772910">
      <w:pPr>
        <w:rPr>
          <w:bCs/>
          <w:lang w:val="en-US"/>
        </w:rPr>
      </w:pPr>
    </w:p>
    <w:p w14:paraId="6DDF004D" w14:textId="77777777" w:rsidR="00772910" w:rsidRPr="001D4D5A" w:rsidRDefault="00772910" w:rsidP="00772910">
      <w:pPr>
        <w:rPr>
          <w:bCs/>
          <w:lang w:val="en-US"/>
        </w:rPr>
      </w:pPr>
      <w:r w:rsidRPr="001D4D5A">
        <w:rPr>
          <w:bCs/>
          <w:lang w:val="en-US"/>
        </w:rPr>
        <w:t xml:space="preserve">A new Pew funded </w:t>
      </w:r>
      <w:hyperlink r:id="rId12" w:tgtFrame="_blank" w:history="1">
        <w:r w:rsidRPr="001D4D5A">
          <w:rPr>
            <w:rStyle w:val="Hipervnculo"/>
            <w:bCs/>
            <w:lang w:val="en-US"/>
          </w:rPr>
          <w:t>study</w:t>
        </w:r>
      </w:hyperlink>
      <w:r w:rsidRPr="001D4D5A">
        <w:rPr>
          <w:bCs/>
          <w:lang w:val="en-US"/>
        </w:rPr>
        <w:t xml:space="preserve"> led by Dr. Victoria Warwick-Evans at the British Antarctic Survey provided the first up to date estimate of the amount of Antarctic krill eaten by a variety of predators in the region, including an estimate that two species of baleen whales consume an estimated 2.1 million </w:t>
      </w:r>
      <w:proofErr w:type="spellStart"/>
      <w:r w:rsidRPr="001D4D5A">
        <w:rPr>
          <w:bCs/>
          <w:lang w:val="en-US"/>
        </w:rPr>
        <w:t>tonnes</w:t>
      </w:r>
      <w:proofErr w:type="spellEnd"/>
      <w:r w:rsidRPr="001D4D5A">
        <w:rPr>
          <w:bCs/>
          <w:lang w:val="en-US"/>
        </w:rPr>
        <w:t xml:space="preserve"> (likely an underestimate) of krill during a single Antarctic summer whereas the fishery that operates in the same area catches 155,000 </w:t>
      </w:r>
      <w:proofErr w:type="spellStart"/>
      <w:r w:rsidRPr="001D4D5A">
        <w:rPr>
          <w:bCs/>
          <w:lang w:val="en-US"/>
        </w:rPr>
        <w:t>tonnes</w:t>
      </w:r>
      <w:proofErr w:type="spellEnd"/>
      <w:r w:rsidRPr="001D4D5A">
        <w:rPr>
          <w:bCs/>
          <w:lang w:val="en-US"/>
        </w:rPr>
        <w:t xml:space="preserve"> of krill per year.</w:t>
      </w:r>
    </w:p>
    <w:p w14:paraId="1F1B82D6" w14:textId="77777777" w:rsidR="00772910" w:rsidRDefault="00772910" w:rsidP="00772910">
      <w:pPr>
        <w:rPr>
          <w:bCs/>
          <w:lang w:val="en-US"/>
        </w:rPr>
      </w:pPr>
    </w:p>
    <w:p w14:paraId="7D76FEC4" w14:textId="77777777" w:rsidR="00772910" w:rsidRDefault="00772910" w:rsidP="00772910">
      <w:pPr>
        <w:rPr>
          <w:bCs/>
          <w:lang w:val="en-US"/>
        </w:rPr>
      </w:pPr>
      <w:r w:rsidRPr="001D4D5A">
        <w:rPr>
          <w:bCs/>
          <w:lang w:val="en-US"/>
        </w:rPr>
        <w:t xml:space="preserve">New Pew Bertarelli funded </w:t>
      </w:r>
      <w:hyperlink r:id="rId13" w:tgtFrame="_blank" w:history="1">
        <w:r w:rsidRPr="001D4D5A">
          <w:rPr>
            <w:rStyle w:val="Hipervnculo"/>
            <w:bCs/>
            <w:lang w:val="en-US"/>
          </w:rPr>
          <w:t>research</w:t>
        </w:r>
      </w:hyperlink>
      <w:r w:rsidRPr="001D4D5A">
        <w:rPr>
          <w:bCs/>
          <w:lang w:val="en-US"/>
        </w:rPr>
        <w:t xml:space="preserve"> led by Vasco Ch</w:t>
      </w:r>
      <w:r w:rsidRPr="00955C92">
        <w:rPr>
          <w:bCs/>
          <w:lang w:val="en-US"/>
        </w:rPr>
        <w:t>á</w:t>
      </w:r>
      <w:r w:rsidRPr="001D4D5A">
        <w:rPr>
          <w:bCs/>
          <w:lang w:val="en-US"/>
        </w:rPr>
        <w:t>vez-Molina dives into Southern Ocean applications of managing for climate resilient fisheries and finds that the following tools could be employed for the Southern Ocean: climate models, marine protected areas and dynamic stock assessments.</w:t>
      </w:r>
    </w:p>
    <w:p w14:paraId="591899CA" w14:textId="77777777" w:rsidR="00772910" w:rsidRDefault="00772910" w:rsidP="00772910">
      <w:pPr>
        <w:rPr>
          <w:bCs/>
          <w:lang w:val="en-US"/>
        </w:rPr>
      </w:pPr>
    </w:p>
    <w:p w14:paraId="1FD0CC80" w14:textId="77777777" w:rsidR="00772910" w:rsidRDefault="00772910" w:rsidP="00772910">
      <w:pPr>
        <w:rPr>
          <w:bCs/>
          <w:lang w:val="en-US"/>
        </w:rPr>
      </w:pPr>
      <w:r>
        <w:rPr>
          <w:bCs/>
          <w:lang w:val="en-US"/>
        </w:rPr>
        <w:t xml:space="preserve">Research conducted by Greenpeace on its Antarctic expedition in 2021-2022 led to the identification and subsequent designation of seven new vulnerable marine ecosystem areas (VMEs) by CCAMLR in 2022. </w:t>
      </w:r>
    </w:p>
    <w:p w14:paraId="2842167B" w14:textId="77777777" w:rsidR="00772910" w:rsidRDefault="00772910" w:rsidP="00772910">
      <w:pPr>
        <w:rPr>
          <w:bCs/>
          <w:lang w:val="en-US"/>
        </w:rPr>
      </w:pPr>
    </w:p>
    <w:p w14:paraId="0A652735" w14:textId="77777777" w:rsidR="00772910" w:rsidRDefault="00772910" w:rsidP="00772910">
      <w:pPr>
        <w:rPr>
          <w:bCs/>
          <w:lang w:val="en-US"/>
        </w:rPr>
      </w:pPr>
      <w:r>
        <w:rPr>
          <w:bCs/>
          <w:lang w:val="en-US"/>
        </w:rPr>
        <w:t xml:space="preserve">In partnership with the Blue Nature Alliance, ASOC supported a number of Antarctic research projects, which included projects on synthesizing existing MPA design using recently acquired </w:t>
      </w:r>
      <w:proofErr w:type="gramStart"/>
      <w:r>
        <w:rPr>
          <w:bCs/>
          <w:lang w:val="en-US"/>
        </w:rPr>
        <w:lastRenderedPageBreak/>
        <w:t>data;</w:t>
      </w:r>
      <w:proofErr w:type="gramEnd"/>
      <w:r>
        <w:rPr>
          <w:bCs/>
          <w:lang w:val="en-US"/>
        </w:rPr>
        <w:t xml:space="preserve"> identifying ecologically and biologically significant areas in the Southern Ocean, and developing an </w:t>
      </w:r>
      <w:proofErr w:type="spellStart"/>
      <w:r>
        <w:rPr>
          <w:bCs/>
          <w:lang w:val="en-US"/>
        </w:rPr>
        <w:t>ecoregionalization</w:t>
      </w:r>
      <w:proofErr w:type="spellEnd"/>
      <w:r>
        <w:rPr>
          <w:bCs/>
          <w:lang w:val="en-US"/>
        </w:rPr>
        <w:t xml:space="preserve"> of the eastern Sub-Antarctic region. </w:t>
      </w:r>
    </w:p>
    <w:p w14:paraId="659DCA68" w14:textId="77777777" w:rsidR="00772910" w:rsidRDefault="00772910" w:rsidP="00772910">
      <w:pPr>
        <w:rPr>
          <w:bCs/>
          <w:lang w:val="en-US"/>
        </w:rPr>
      </w:pPr>
    </w:p>
    <w:p w14:paraId="716AF3C9" w14:textId="77777777" w:rsidR="00772910" w:rsidRPr="00A83670" w:rsidRDefault="00772910" w:rsidP="00772910">
      <w:pPr>
        <w:rPr>
          <w:bCs/>
          <w:lang w:val="en-US"/>
        </w:rPr>
      </w:pPr>
      <w:r w:rsidRPr="00963FC6">
        <w:rPr>
          <w:bCs/>
          <w:lang w:val="en-US"/>
        </w:rPr>
        <w:t xml:space="preserve">ICCI released its 2022 </w:t>
      </w:r>
      <w:hyperlink r:id="rId14" w:history="1">
        <w:r w:rsidRPr="00963FC6">
          <w:rPr>
            <w:rStyle w:val="Hipervnculo"/>
            <w:bCs/>
            <w:lang w:val="en-US"/>
          </w:rPr>
          <w:t>State of the Cryosphere Report</w:t>
        </w:r>
      </w:hyperlink>
      <w:r w:rsidRPr="00963FC6">
        <w:rPr>
          <w:bCs/>
          <w:lang w:val="en-US"/>
        </w:rPr>
        <w:t xml:space="preserve"> in November at COP27, including chapters and research updates on the Antarctic ice sheet as well as Southern Ocean acidification, warming and freshening.</w:t>
      </w:r>
    </w:p>
    <w:p w14:paraId="2F175776" w14:textId="77777777" w:rsidR="00772910" w:rsidRDefault="00772910" w:rsidP="00772910">
      <w:pPr>
        <w:pStyle w:val="ATSNormal"/>
        <w:rPr>
          <w:lang w:val="en-US"/>
        </w:rPr>
      </w:pPr>
    </w:p>
    <w:p w14:paraId="2D832402" w14:textId="77777777" w:rsidR="00772910" w:rsidRDefault="00772910" w:rsidP="00772910">
      <w:pPr>
        <w:pStyle w:val="ATSHeading3"/>
        <w:spacing w:after="120" w:line="360" w:lineRule="auto"/>
        <w:rPr>
          <w:rFonts w:ascii="Arial" w:hAnsi="Arial" w:cs="Arial"/>
          <w:i/>
          <w:iCs/>
          <w:sz w:val="24"/>
          <w:lang w:val="en-US"/>
        </w:rPr>
      </w:pPr>
      <w:r w:rsidRPr="00A63993">
        <w:rPr>
          <w:rFonts w:ascii="Arial" w:hAnsi="Arial" w:cs="Arial"/>
          <w:i/>
          <w:iCs/>
          <w:sz w:val="24"/>
          <w:lang w:val="en-US"/>
        </w:rPr>
        <w:t>Concluding remarks</w:t>
      </w:r>
    </w:p>
    <w:p w14:paraId="1B0927E9" w14:textId="77777777" w:rsidR="00772910" w:rsidRPr="001D4D5A" w:rsidRDefault="00772910" w:rsidP="00772910">
      <w:pPr>
        <w:pStyle w:val="ATSNormal"/>
        <w:rPr>
          <w:lang w:val="en-US"/>
        </w:rPr>
      </w:pPr>
      <w:r>
        <w:rPr>
          <w:lang w:val="en-US"/>
        </w:rPr>
        <w:t xml:space="preserve">ASOC and its member organizations are proud to support the Antarctic Treaty System, which prioritizes peace and environmental protection. However, the ATS must not be complacent. Human activities are increasing in the Antarctic, and ATCPs have both the authority and the responsibility to ensure that those activities do not exacerbate the effects of climate change. There is an urgent need to establish new protected areas, regulate shipping and tourism, reduce the footprint of science and tourism, and protect vulnerable species. We are encouraged by recent activities such as the Paris informal workshop on Antarctic tourism, and hope that Parties will move beyond discussion to action.  </w:t>
      </w:r>
    </w:p>
    <w:p w14:paraId="53B2A325" w14:textId="77777777" w:rsidR="00772910" w:rsidRPr="00772910" w:rsidRDefault="00772910" w:rsidP="00952E9F">
      <w:pPr>
        <w:rPr>
          <w:lang w:val="en-US"/>
        </w:rPr>
      </w:pPr>
    </w:p>
    <w:sectPr w:rsidR="00772910" w:rsidRPr="00772910" w:rsidSect="00283F0F">
      <w:headerReference w:type="default" r:id="rId15"/>
      <w:footerReference w:type="default" r:id="rId16"/>
      <w:type w:val="oddPage"/>
      <w:pgSz w:w="11907" w:h="16840" w:code="9"/>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E3508E" w14:textId="77777777" w:rsidR="00000000" w:rsidRDefault="00772910">
      <w:r>
        <w:separator/>
      </w:r>
    </w:p>
  </w:endnote>
  <w:endnote w:type="continuationSeparator" w:id="0">
    <w:p w14:paraId="1B630F3A" w14:textId="77777777" w:rsidR="00000000" w:rsidRDefault="007729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5FFEF4" w14:textId="77777777" w:rsidR="00FA0B9F" w:rsidRDefault="00772910" w:rsidP="00CF5C82">
    <w:pPr>
      <w:framePr w:wrap="around" w:vAnchor="text" w:hAnchor="margin" w:xAlign="right" w:y="1"/>
    </w:pPr>
    <w:r>
      <w:fldChar w:fldCharType="begin"/>
    </w:r>
    <w:r>
      <w:instrText xml:space="preserve">PAGE  </w:instrText>
    </w:r>
    <w:r>
      <w:fldChar w:fldCharType="separate"/>
    </w:r>
    <w:r>
      <w:fldChar w:fldCharType="end"/>
    </w:r>
  </w:p>
  <w:p w14:paraId="27C49A27" w14:textId="77777777" w:rsidR="00FA0B9F" w:rsidRDefault="00772910"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5BA907" w14:textId="77777777" w:rsidR="00FA0B9F" w:rsidRDefault="00772910"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29706994" w14:textId="1A1C51D2" w:rsidR="00FA0B9F" w:rsidRDefault="00772910" w:rsidP="00772910">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EE5363" w14:textId="77777777" w:rsidR="00E311C9" w:rsidRDefault="00772910"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4C01D17C" w14:textId="77777777" w:rsidR="00E311C9" w:rsidRDefault="00772910"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F81970" w14:textId="77777777" w:rsidR="00000000" w:rsidRDefault="00772910">
      <w:r>
        <w:separator/>
      </w:r>
    </w:p>
  </w:footnote>
  <w:footnote w:type="continuationSeparator" w:id="0">
    <w:p w14:paraId="427C18D8" w14:textId="77777777" w:rsidR="00000000" w:rsidRDefault="007729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005"/>
      <w:gridCol w:w="1248"/>
      <w:gridCol w:w="1134"/>
      <w:gridCol w:w="390"/>
    </w:tblGrid>
    <w:tr w:rsidR="00513158" w14:paraId="7AD8747E" w14:textId="77777777" w:rsidTr="002E12EC">
      <w:trPr>
        <w:trHeight w:val="344"/>
        <w:jc w:val="center"/>
      </w:trPr>
      <w:tc>
        <w:tcPr>
          <w:tcW w:w="5495" w:type="dxa"/>
        </w:tcPr>
        <w:p w14:paraId="5F5DF46A" w14:textId="77777777" w:rsidR="00DB7C09" w:rsidRDefault="00772910" w:rsidP="00F968D4"/>
      </w:tc>
      <w:tc>
        <w:tcPr>
          <w:tcW w:w="4253" w:type="dxa"/>
          <w:gridSpan w:val="2"/>
        </w:tcPr>
        <w:p w14:paraId="327671A8" w14:textId="77777777" w:rsidR="00DB7C09" w:rsidRPr="00BD47E4" w:rsidRDefault="00772910" w:rsidP="002A07BC">
          <w:pPr>
            <w:jc w:val="right"/>
            <w:rPr>
              <w:b/>
              <w:sz w:val="32"/>
              <w:szCs w:val="32"/>
            </w:rPr>
          </w:pPr>
          <w:bookmarkStart w:id="2" w:name="type"/>
          <w:r w:rsidRPr="00BD47E4">
            <w:rPr>
              <w:b/>
              <w:sz w:val="32"/>
              <w:szCs w:val="32"/>
            </w:rPr>
            <w:t>IP</w:t>
          </w:r>
          <w:bookmarkEnd w:id="2"/>
        </w:p>
      </w:tc>
      <w:tc>
        <w:tcPr>
          <w:tcW w:w="1524" w:type="dxa"/>
          <w:gridSpan w:val="2"/>
        </w:tcPr>
        <w:p w14:paraId="04F30A22" w14:textId="77777777" w:rsidR="00DB7C09" w:rsidRPr="00BD47E4" w:rsidRDefault="00772910" w:rsidP="00DB7C09">
          <w:pPr>
            <w:rPr>
              <w:b/>
              <w:sz w:val="32"/>
              <w:szCs w:val="32"/>
            </w:rPr>
          </w:pPr>
          <w:bookmarkStart w:id="3" w:name="number"/>
          <w:r w:rsidRPr="00BD47E4">
            <w:rPr>
              <w:b/>
              <w:sz w:val="32"/>
              <w:szCs w:val="32"/>
            </w:rPr>
            <w:t>115</w:t>
          </w:r>
          <w:bookmarkEnd w:id="3"/>
        </w:p>
      </w:tc>
    </w:tr>
    <w:tr w:rsidR="00513158" w14:paraId="6D7BC2A8" w14:textId="77777777" w:rsidTr="002E12EC">
      <w:trPr>
        <w:trHeight w:val="2165"/>
        <w:jc w:val="center"/>
      </w:trPr>
      <w:tc>
        <w:tcPr>
          <w:tcW w:w="5495" w:type="dxa"/>
        </w:tcPr>
        <w:p w14:paraId="5CFA042D" w14:textId="77777777" w:rsidR="00490760" w:rsidRPr="00EE4D48" w:rsidRDefault="00772910" w:rsidP="002A07BC">
          <w:pPr>
            <w:rPr>
              <w:b/>
              <w:sz w:val="28"/>
              <w:szCs w:val="28"/>
            </w:rPr>
          </w:pPr>
          <w:r>
            <w:rPr>
              <w:noProof/>
            </w:rPr>
            <w:drawing>
              <wp:inline distT="0" distB="0" distL="0" distR="0" wp14:anchorId="0BA71F61" wp14:editId="256B936C">
                <wp:extent cx="2763277" cy="1612900"/>
                <wp:effectExtent l="0" t="0" r="0" b="6350"/>
                <wp:docPr id="2" name="Imagen 2" descr="Diagrama, 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368261" name="Imagen 2" descr="Diagrama, Logotipo, nombre de la empres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916315" cy="1702227"/>
                        </a:xfrm>
                        <a:prstGeom prst="rect">
                          <a:avLst/>
                        </a:prstGeom>
                      </pic:spPr>
                    </pic:pic>
                  </a:graphicData>
                </a:graphic>
              </wp:inline>
            </w:drawing>
          </w:r>
        </w:p>
      </w:tc>
      <w:tc>
        <w:tcPr>
          <w:tcW w:w="5777" w:type="dxa"/>
          <w:gridSpan w:val="4"/>
          <w:vAlign w:val="center"/>
        </w:tcPr>
        <w:p w14:paraId="7E7F1CAB" w14:textId="77777777" w:rsidR="00490760" w:rsidRPr="00FE5146" w:rsidRDefault="00772910" w:rsidP="00490760">
          <w:pPr>
            <w:jc w:val="right"/>
            <w:rPr>
              <w:sz w:val="144"/>
              <w:szCs w:val="144"/>
            </w:rPr>
          </w:pPr>
          <w:r w:rsidRPr="00FE5146">
            <w:rPr>
              <w:sz w:val="144"/>
              <w:szCs w:val="144"/>
            </w:rPr>
            <w:t>ENG</w:t>
          </w:r>
        </w:p>
      </w:tc>
    </w:tr>
    <w:tr w:rsidR="00513158" w14:paraId="6B4E0727" w14:textId="77777777" w:rsidTr="002E12EC">
      <w:trPr>
        <w:trHeight w:val="409"/>
        <w:jc w:val="center"/>
      </w:trPr>
      <w:tc>
        <w:tcPr>
          <w:tcW w:w="8500" w:type="dxa"/>
          <w:gridSpan w:val="2"/>
        </w:tcPr>
        <w:p w14:paraId="3FE78EA8" w14:textId="77777777" w:rsidR="00BD47E4" w:rsidRDefault="00772910" w:rsidP="002C30DA">
          <w:pPr>
            <w:jc w:val="right"/>
          </w:pPr>
          <w:r>
            <w:t>Agenda Item:</w:t>
          </w:r>
        </w:p>
      </w:tc>
      <w:tc>
        <w:tcPr>
          <w:tcW w:w="2382" w:type="dxa"/>
          <w:gridSpan w:val="2"/>
        </w:tcPr>
        <w:p w14:paraId="3158A4F7" w14:textId="77777777" w:rsidR="00BD47E4" w:rsidRDefault="00772910" w:rsidP="002C30DA">
          <w:pPr>
            <w:jc w:val="right"/>
          </w:pPr>
          <w:bookmarkStart w:id="4" w:name="agenda"/>
          <w:r>
            <w:t>ATCM 4, CEP 5</w:t>
          </w:r>
          <w:bookmarkEnd w:id="4"/>
        </w:p>
      </w:tc>
      <w:tc>
        <w:tcPr>
          <w:tcW w:w="390" w:type="dxa"/>
        </w:tcPr>
        <w:p w14:paraId="30BD5AB8" w14:textId="77777777" w:rsidR="00BD47E4" w:rsidRDefault="00772910" w:rsidP="00387A65">
          <w:pPr>
            <w:jc w:val="right"/>
          </w:pPr>
        </w:p>
      </w:tc>
    </w:tr>
    <w:tr w:rsidR="00513158" w14:paraId="1D8B9AB5" w14:textId="77777777" w:rsidTr="002E12EC">
      <w:trPr>
        <w:trHeight w:val="397"/>
        <w:jc w:val="center"/>
      </w:trPr>
      <w:tc>
        <w:tcPr>
          <w:tcW w:w="8500" w:type="dxa"/>
          <w:gridSpan w:val="2"/>
        </w:tcPr>
        <w:p w14:paraId="2B7559DB" w14:textId="77777777" w:rsidR="00BD47E4" w:rsidRDefault="00772910" w:rsidP="002C30DA">
          <w:pPr>
            <w:jc w:val="right"/>
          </w:pPr>
          <w:r>
            <w:t>Presented by:</w:t>
          </w:r>
        </w:p>
      </w:tc>
      <w:tc>
        <w:tcPr>
          <w:tcW w:w="2382" w:type="dxa"/>
          <w:gridSpan w:val="2"/>
        </w:tcPr>
        <w:p w14:paraId="5004F59B" w14:textId="77777777" w:rsidR="00BD47E4" w:rsidRDefault="00772910" w:rsidP="002C30DA">
          <w:pPr>
            <w:jc w:val="right"/>
          </w:pPr>
          <w:bookmarkStart w:id="5" w:name="party"/>
          <w:r>
            <w:t>ASOC</w:t>
          </w:r>
          <w:bookmarkEnd w:id="5"/>
        </w:p>
      </w:tc>
      <w:tc>
        <w:tcPr>
          <w:tcW w:w="390" w:type="dxa"/>
        </w:tcPr>
        <w:p w14:paraId="694F2D59" w14:textId="77777777" w:rsidR="00BD47E4" w:rsidRDefault="00772910" w:rsidP="00387A65">
          <w:pPr>
            <w:jc w:val="right"/>
          </w:pPr>
        </w:p>
      </w:tc>
    </w:tr>
    <w:tr w:rsidR="00513158" w14:paraId="4DF4DBF7" w14:textId="77777777" w:rsidTr="002E12EC">
      <w:trPr>
        <w:trHeight w:val="409"/>
        <w:jc w:val="center"/>
      </w:trPr>
      <w:tc>
        <w:tcPr>
          <w:tcW w:w="8500" w:type="dxa"/>
          <w:gridSpan w:val="2"/>
        </w:tcPr>
        <w:p w14:paraId="0FBAD066" w14:textId="77777777" w:rsidR="00BD47E4" w:rsidRDefault="00772910" w:rsidP="002C30DA">
          <w:pPr>
            <w:jc w:val="right"/>
          </w:pPr>
          <w:r>
            <w:t>Original:</w:t>
          </w:r>
        </w:p>
      </w:tc>
      <w:tc>
        <w:tcPr>
          <w:tcW w:w="2382" w:type="dxa"/>
          <w:gridSpan w:val="2"/>
        </w:tcPr>
        <w:p w14:paraId="0CD986D7" w14:textId="77777777" w:rsidR="00BD47E4" w:rsidRDefault="00772910" w:rsidP="002C30DA">
          <w:pPr>
            <w:jc w:val="right"/>
          </w:pPr>
          <w:bookmarkStart w:id="6" w:name="language"/>
          <w:r>
            <w:t>English</w:t>
          </w:r>
          <w:bookmarkEnd w:id="6"/>
        </w:p>
      </w:tc>
      <w:tc>
        <w:tcPr>
          <w:tcW w:w="390" w:type="dxa"/>
        </w:tcPr>
        <w:p w14:paraId="101698E9" w14:textId="77777777" w:rsidR="00BD47E4" w:rsidRDefault="00772910" w:rsidP="00387A65">
          <w:pPr>
            <w:jc w:val="right"/>
          </w:pPr>
        </w:p>
      </w:tc>
    </w:tr>
    <w:tr w:rsidR="00513158" w14:paraId="07BF35CB" w14:textId="77777777" w:rsidTr="002E12EC">
      <w:trPr>
        <w:trHeight w:val="409"/>
        <w:jc w:val="center"/>
      </w:trPr>
      <w:tc>
        <w:tcPr>
          <w:tcW w:w="8500" w:type="dxa"/>
          <w:gridSpan w:val="2"/>
        </w:tcPr>
        <w:p w14:paraId="45A76AD9" w14:textId="77777777" w:rsidR="0097629D" w:rsidRDefault="00772910" w:rsidP="002C30DA">
          <w:pPr>
            <w:jc w:val="right"/>
          </w:pPr>
          <w:r>
            <w:t>Submitted:</w:t>
          </w:r>
        </w:p>
      </w:tc>
      <w:tc>
        <w:tcPr>
          <w:tcW w:w="2382" w:type="dxa"/>
          <w:gridSpan w:val="2"/>
        </w:tcPr>
        <w:p w14:paraId="42BAD1B0" w14:textId="77777777" w:rsidR="0097629D" w:rsidRDefault="00772910" w:rsidP="0097629D">
          <w:pPr>
            <w:jc w:val="right"/>
          </w:pPr>
          <w:bookmarkStart w:id="7" w:name="date_submission"/>
          <w:r>
            <w:t>28 Apr 2023</w:t>
          </w:r>
          <w:bookmarkEnd w:id="7"/>
        </w:p>
      </w:tc>
      <w:tc>
        <w:tcPr>
          <w:tcW w:w="390" w:type="dxa"/>
        </w:tcPr>
        <w:p w14:paraId="140B1206" w14:textId="77777777" w:rsidR="0097629D" w:rsidRDefault="00772910" w:rsidP="00387A65">
          <w:pPr>
            <w:jc w:val="right"/>
          </w:pPr>
        </w:p>
      </w:tc>
    </w:tr>
  </w:tbl>
  <w:p w14:paraId="4D7F5668" w14:textId="77777777" w:rsidR="00AE5DD0" w:rsidRDefault="0077291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513158" w14:paraId="40B3F76E" w14:textId="77777777">
      <w:trPr>
        <w:trHeight w:val="354"/>
        <w:jc w:val="center"/>
      </w:trPr>
      <w:tc>
        <w:tcPr>
          <w:tcW w:w="9694" w:type="dxa"/>
        </w:tcPr>
        <w:p w14:paraId="096B08E1" w14:textId="41779358" w:rsidR="00AE5DD0" w:rsidRPr="00BD47E4" w:rsidRDefault="00772910" w:rsidP="00C26F2D">
          <w:pPr>
            <w:jc w:val="right"/>
            <w:rPr>
              <w:b/>
              <w:sz w:val="32"/>
              <w:szCs w:val="32"/>
            </w:rPr>
          </w:pPr>
          <w:r>
            <w:rPr>
              <w:b/>
              <w:sz w:val="32"/>
              <w:szCs w:val="32"/>
            </w:rPr>
            <w:t>IP</w:t>
          </w:r>
        </w:p>
      </w:tc>
      <w:tc>
        <w:tcPr>
          <w:tcW w:w="1332" w:type="dxa"/>
        </w:tcPr>
        <w:p w14:paraId="6A4052C3" w14:textId="44E5F565" w:rsidR="00AE5DD0" w:rsidRPr="00BD47E4" w:rsidRDefault="00772910" w:rsidP="00080F4C">
          <w:pPr>
            <w:rPr>
              <w:b/>
              <w:sz w:val="32"/>
              <w:szCs w:val="32"/>
            </w:rPr>
          </w:pPr>
          <w:r>
            <w:rPr>
              <w:b/>
              <w:sz w:val="32"/>
              <w:szCs w:val="32"/>
            </w:rPr>
            <w:t>115</w:t>
          </w:r>
        </w:p>
      </w:tc>
    </w:tr>
  </w:tbl>
  <w:p w14:paraId="532802B6" w14:textId="77777777" w:rsidR="00AE5DD0" w:rsidRDefault="0077291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EEDC069E">
      <w:start w:val="1"/>
      <w:numFmt w:val="bullet"/>
      <w:pStyle w:val="ATSBullet1"/>
      <w:lvlText w:val=""/>
      <w:lvlJc w:val="left"/>
      <w:pPr>
        <w:tabs>
          <w:tab w:val="num" w:pos="360"/>
        </w:tabs>
        <w:ind w:left="360" w:hanging="360"/>
      </w:pPr>
      <w:rPr>
        <w:rFonts w:ascii="Symbol" w:hAnsi="Symbol" w:hint="default"/>
        <w:color w:val="auto"/>
      </w:rPr>
    </w:lvl>
    <w:lvl w:ilvl="1" w:tplc="45786016" w:tentative="1">
      <w:start w:val="1"/>
      <w:numFmt w:val="bullet"/>
      <w:lvlText w:val="o"/>
      <w:lvlJc w:val="left"/>
      <w:pPr>
        <w:tabs>
          <w:tab w:val="num" w:pos="1440"/>
        </w:tabs>
        <w:ind w:left="1440" w:hanging="360"/>
      </w:pPr>
      <w:rPr>
        <w:rFonts w:ascii="Courier New" w:hAnsi="Courier New" w:cs="Courier New" w:hint="default"/>
      </w:rPr>
    </w:lvl>
    <w:lvl w:ilvl="2" w:tplc="B8D6A0E0" w:tentative="1">
      <w:start w:val="1"/>
      <w:numFmt w:val="bullet"/>
      <w:lvlText w:val=""/>
      <w:lvlJc w:val="left"/>
      <w:pPr>
        <w:tabs>
          <w:tab w:val="num" w:pos="2160"/>
        </w:tabs>
        <w:ind w:left="2160" w:hanging="360"/>
      </w:pPr>
      <w:rPr>
        <w:rFonts w:ascii="Wingdings" w:hAnsi="Wingdings" w:hint="default"/>
      </w:rPr>
    </w:lvl>
    <w:lvl w:ilvl="3" w:tplc="296444CC" w:tentative="1">
      <w:start w:val="1"/>
      <w:numFmt w:val="bullet"/>
      <w:lvlText w:val=""/>
      <w:lvlJc w:val="left"/>
      <w:pPr>
        <w:tabs>
          <w:tab w:val="num" w:pos="2880"/>
        </w:tabs>
        <w:ind w:left="2880" w:hanging="360"/>
      </w:pPr>
      <w:rPr>
        <w:rFonts w:ascii="Symbol" w:hAnsi="Symbol" w:hint="default"/>
      </w:rPr>
    </w:lvl>
    <w:lvl w:ilvl="4" w:tplc="C8862F7C" w:tentative="1">
      <w:start w:val="1"/>
      <w:numFmt w:val="bullet"/>
      <w:lvlText w:val="o"/>
      <w:lvlJc w:val="left"/>
      <w:pPr>
        <w:tabs>
          <w:tab w:val="num" w:pos="3600"/>
        </w:tabs>
        <w:ind w:left="3600" w:hanging="360"/>
      </w:pPr>
      <w:rPr>
        <w:rFonts w:ascii="Courier New" w:hAnsi="Courier New" w:cs="Courier New" w:hint="default"/>
      </w:rPr>
    </w:lvl>
    <w:lvl w:ilvl="5" w:tplc="328A1FF2" w:tentative="1">
      <w:start w:val="1"/>
      <w:numFmt w:val="bullet"/>
      <w:lvlText w:val=""/>
      <w:lvlJc w:val="left"/>
      <w:pPr>
        <w:tabs>
          <w:tab w:val="num" w:pos="4320"/>
        </w:tabs>
        <w:ind w:left="4320" w:hanging="360"/>
      </w:pPr>
      <w:rPr>
        <w:rFonts w:ascii="Wingdings" w:hAnsi="Wingdings" w:hint="default"/>
      </w:rPr>
    </w:lvl>
    <w:lvl w:ilvl="6" w:tplc="C79AD1E6" w:tentative="1">
      <w:start w:val="1"/>
      <w:numFmt w:val="bullet"/>
      <w:lvlText w:val=""/>
      <w:lvlJc w:val="left"/>
      <w:pPr>
        <w:tabs>
          <w:tab w:val="num" w:pos="5040"/>
        </w:tabs>
        <w:ind w:left="5040" w:hanging="360"/>
      </w:pPr>
      <w:rPr>
        <w:rFonts w:ascii="Symbol" w:hAnsi="Symbol" w:hint="default"/>
      </w:rPr>
    </w:lvl>
    <w:lvl w:ilvl="7" w:tplc="05B2D48C" w:tentative="1">
      <w:start w:val="1"/>
      <w:numFmt w:val="bullet"/>
      <w:lvlText w:val="o"/>
      <w:lvlJc w:val="left"/>
      <w:pPr>
        <w:tabs>
          <w:tab w:val="num" w:pos="5760"/>
        </w:tabs>
        <w:ind w:left="5760" w:hanging="360"/>
      </w:pPr>
      <w:rPr>
        <w:rFonts w:ascii="Courier New" w:hAnsi="Courier New" w:cs="Courier New" w:hint="default"/>
      </w:rPr>
    </w:lvl>
    <w:lvl w:ilvl="8" w:tplc="B2A86DB4"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D35C15"/>
    <w:multiLevelType w:val="hybridMultilevel"/>
    <w:tmpl w:val="A8A2E45C"/>
    <w:lvl w:ilvl="0" w:tplc="B6205B28">
      <w:start w:val="1"/>
      <w:numFmt w:val="decimal"/>
      <w:lvlText w:val="%1)"/>
      <w:lvlJc w:val="left"/>
      <w:pPr>
        <w:tabs>
          <w:tab w:val="num" w:pos="340"/>
        </w:tabs>
        <w:ind w:left="340" w:hanging="340"/>
      </w:pPr>
      <w:rPr>
        <w:rFonts w:hint="default"/>
      </w:rPr>
    </w:lvl>
    <w:lvl w:ilvl="1" w:tplc="99746988" w:tentative="1">
      <w:start w:val="1"/>
      <w:numFmt w:val="lowerLetter"/>
      <w:lvlText w:val="%2."/>
      <w:lvlJc w:val="left"/>
      <w:pPr>
        <w:tabs>
          <w:tab w:val="num" w:pos="1440"/>
        </w:tabs>
        <w:ind w:left="1440" w:hanging="360"/>
      </w:pPr>
    </w:lvl>
    <w:lvl w:ilvl="2" w:tplc="E876A91A" w:tentative="1">
      <w:start w:val="1"/>
      <w:numFmt w:val="lowerRoman"/>
      <w:lvlText w:val="%3."/>
      <w:lvlJc w:val="right"/>
      <w:pPr>
        <w:tabs>
          <w:tab w:val="num" w:pos="2160"/>
        </w:tabs>
        <w:ind w:left="2160" w:hanging="180"/>
      </w:pPr>
    </w:lvl>
    <w:lvl w:ilvl="3" w:tplc="F348DC46" w:tentative="1">
      <w:start w:val="1"/>
      <w:numFmt w:val="decimal"/>
      <w:lvlText w:val="%4."/>
      <w:lvlJc w:val="left"/>
      <w:pPr>
        <w:tabs>
          <w:tab w:val="num" w:pos="2880"/>
        </w:tabs>
        <w:ind w:left="2880" w:hanging="360"/>
      </w:pPr>
    </w:lvl>
    <w:lvl w:ilvl="4" w:tplc="EF926140" w:tentative="1">
      <w:start w:val="1"/>
      <w:numFmt w:val="lowerLetter"/>
      <w:lvlText w:val="%5."/>
      <w:lvlJc w:val="left"/>
      <w:pPr>
        <w:tabs>
          <w:tab w:val="num" w:pos="3600"/>
        </w:tabs>
        <w:ind w:left="3600" w:hanging="360"/>
      </w:pPr>
    </w:lvl>
    <w:lvl w:ilvl="5" w:tplc="3946B7C6" w:tentative="1">
      <w:start w:val="1"/>
      <w:numFmt w:val="lowerRoman"/>
      <w:lvlText w:val="%6."/>
      <w:lvlJc w:val="right"/>
      <w:pPr>
        <w:tabs>
          <w:tab w:val="num" w:pos="4320"/>
        </w:tabs>
        <w:ind w:left="4320" w:hanging="180"/>
      </w:pPr>
    </w:lvl>
    <w:lvl w:ilvl="6" w:tplc="A9EC57C8" w:tentative="1">
      <w:start w:val="1"/>
      <w:numFmt w:val="decimal"/>
      <w:lvlText w:val="%7."/>
      <w:lvlJc w:val="left"/>
      <w:pPr>
        <w:tabs>
          <w:tab w:val="num" w:pos="5040"/>
        </w:tabs>
        <w:ind w:left="5040" w:hanging="360"/>
      </w:pPr>
    </w:lvl>
    <w:lvl w:ilvl="7" w:tplc="EEA856B0" w:tentative="1">
      <w:start w:val="1"/>
      <w:numFmt w:val="lowerLetter"/>
      <w:lvlText w:val="%8."/>
      <w:lvlJc w:val="left"/>
      <w:pPr>
        <w:tabs>
          <w:tab w:val="num" w:pos="5760"/>
        </w:tabs>
        <w:ind w:left="5760" w:hanging="360"/>
      </w:pPr>
    </w:lvl>
    <w:lvl w:ilvl="8" w:tplc="1A0C8340" w:tentative="1">
      <w:start w:val="1"/>
      <w:numFmt w:val="lowerRoman"/>
      <w:lvlText w:val="%9."/>
      <w:lvlJc w:val="right"/>
      <w:pPr>
        <w:tabs>
          <w:tab w:val="num" w:pos="6480"/>
        </w:tabs>
        <w:ind w:left="6480" w:hanging="180"/>
      </w:pPr>
    </w:lvl>
  </w:abstractNum>
  <w:abstractNum w:abstractNumId="13" w15:restartNumberingAfterBreak="0">
    <w:nsid w:val="642F3AFA"/>
    <w:multiLevelType w:val="hybridMultilevel"/>
    <w:tmpl w:val="9DF09BE6"/>
    <w:lvl w:ilvl="0" w:tplc="638EB956">
      <w:start w:val="1"/>
      <w:numFmt w:val="decimal"/>
      <w:lvlText w:val="%1."/>
      <w:lvlJc w:val="left"/>
      <w:pPr>
        <w:tabs>
          <w:tab w:val="num" w:pos="1057"/>
        </w:tabs>
        <w:ind w:left="1057" w:hanging="360"/>
      </w:pPr>
      <w:rPr>
        <w:rFonts w:hint="default"/>
      </w:rPr>
    </w:lvl>
    <w:lvl w:ilvl="1" w:tplc="A450FF64" w:tentative="1">
      <w:start w:val="1"/>
      <w:numFmt w:val="lowerLetter"/>
      <w:lvlText w:val="%2."/>
      <w:lvlJc w:val="left"/>
      <w:pPr>
        <w:tabs>
          <w:tab w:val="num" w:pos="2137"/>
        </w:tabs>
        <w:ind w:left="2137" w:hanging="360"/>
      </w:pPr>
    </w:lvl>
    <w:lvl w:ilvl="2" w:tplc="6E820B84" w:tentative="1">
      <w:start w:val="1"/>
      <w:numFmt w:val="lowerRoman"/>
      <w:lvlText w:val="%3."/>
      <w:lvlJc w:val="right"/>
      <w:pPr>
        <w:tabs>
          <w:tab w:val="num" w:pos="2857"/>
        </w:tabs>
        <w:ind w:left="2857" w:hanging="180"/>
      </w:pPr>
    </w:lvl>
    <w:lvl w:ilvl="3" w:tplc="2020C12C" w:tentative="1">
      <w:start w:val="1"/>
      <w:numFmt w:val="decimal"/>
      <w:lvlText w:val="%4."/>
      <w:lvlJc w:val="left"/>
      <w:pPr>
        <w:tabs>
          <w:tab w:val="num" w:pos="3577"/>
        </w:tabs>
        <w:ind w:left="3577" w:hanging="360"/>
      </w:pPr>
    </w:lvl>
    <w:lvl w:ilvl="4" w:tplc="4DDA1498" w:tentative="1">
      <w:start w:val="1"/>
      <w:numFmt w:val="lowerLetter"/>
      <w:lvlText w:val="%5."/>
      <w:lvlJc w:val="left"/>
      <w:pPr>
        <w:tabs>
          <w:tab w:val="num" w:pos="4297"/>
        </w:tabs>
        <w:ind w:left="4297" w:hanging="360"/>
      </w:pPr>
    </w:lvl>
    <w:lvl w:ilvl="5" w:tplc="5F84BEEC" w:tentative="1">
      <w:start w:val="1"/>
      <w:numFmt w:val="lowerRoman"/>
      <w:lvlText w:val="%6."/>
      <w:lvlJc w:val="right"/>
      <w:pPr>
        <w:tabs>
          <w:tab w:val="num" w:pos="5017"/>
        </w:tabs>
        <w:ind w:left="5017" w:hanging="180"/>
      </w:pPr>
    </w:lvl>
    <w:lvl w:ilvl="6" w:tplc="F0128CF0" w:tentative="1">
      <w:start w:val="1"/>
      <w:numFmt w:val="decimal"/>
      <w:lvlText w:val="%7."/>
      <w:lvlJc w:val="left"/>
      <w:pPr>
        <w:tabs>
          <w:tab w:val="num" w:pos="5737"/>
        </w:tabs>
        <w:ind w:left="5737" w:hanging="360"/>
      </w:pPr>
    </w:lvl>
    <w:lvl w:ilvl="7" w:tplc="5C8C0286" w:tentative="1">
      <w:start w:val="1"/>
      <w:numFmt w:val="lowerLetter"/>
      <w:lvlText w:val="%8."/>
      <w:lvlJc w:val="left"/>
      <w:pPr>
        <w:tabs>
          <w:tab w:val="num" w:pos="6457"/>
        </w:tabs>
        <w:ind w:left="6457" w:hanging="360"/>
      </w:pPr>
    </w:lvl>
    <w:lvl w:ilvl="8" w:tplc="3658255A" w:tentative="1">
      <w:start w:val="1"/>
      <w:numFmt w:val="lowerRoman"/>
      <w:lvlText w:val="%9."/>
      <w:lvlJc w:val="right"/>
      <w:pPr>
        <w:tabs>
          <w:tab w:val="num" w:pos="7177"/>
        </w:tabs>
        <w:ind w:left="7177" w:hanging="180"/>
      </w:pPr>
    </w:lvl>
  </w:abstractNum>
  <w:abstractNum w:abstractNumId="14" w15:restartNumberingAfterBreak="0">
    <w:nsid w:val="7212657C"/>
    <w:multiLevelType w:val="hybridMultilevel"/>
    <w:tmpl w:val="0A8E2A84"/>
    <w:lvl w:ilvl="0" w:tplc="08F85E08">
      <w:start w:val="1"/>
      <w:numFmt w:val="decimal"/>
      <w:pStyle w:val="ATSNumber1"/>
      <w:lvlText w:val="%1)"/>
      <w:lvlJc w:val="left"/>
      <w:pPr>
        <w:tabs>
          <w:tab w:val="num" w:pos="720"/>
        </w:tabs>
        <w:ind w:left="720" w:hanging="360"/>
      </w:pPr>
    </w:lvl>
    <w:lvl w:ilvl="1" w:tplc="CEF8AA92" w:tentative="1">
      <w:start w:val="1"/>
      <w:numFmt w:val="lowerLetter"/>
      <w:lvlText w:val="%2."/>
      <w:lvlJc w:val="left"/>
      <w:pPr>
        <w:tabs>
          <w:tab w:val="num" w:pos="1440"/>
        </w:tabs>
        <w:ind w:left="1440" w:hanging="360"/>
      </w:pPr>
    </w:lvl>
    <w:lvl w:ilvl="2" w:tplc="4440D024" w:tentative="1">
      <w:start w:val="1"/>
      <w:numFmt w:val="lowerRoman"/>
      <w:lvlText w:val="%3."/>
      <w:lvlJc w:val="right"/>
      <w:pPr>
        <w:tabs>
          <w:tab w:val="num" w:pos="2160"/>
        </w:tabs>
        <w:ind w:left="2160" w:hanging="180"/>
      </w:pPr>
    </w:lvl>
    <w:lvl w:ilvl="3" w:tplc="906A9C38" w:tentative="1">
      <w:start w:val="1"/>
      <w:numFmt w:val="decimal"/>
      <w:lvlText w:val="%4."/>
      <w:lvlJc w:val="left"/>
      <w:pPr>
        <w:tabs>
          <w:tab w:val="num" w:pos="2880"/>
        </w:tabs>
        <w:ind w:left="2880" w:hanging="360"/>
      </w:pPr>
    </w:lvl>
    <w:lvl w:ilvl="4" w:tplc="76BCA812" w:tentative="1">
      <w:start w:val="1"/>
      <w:numFmt w:val="lowerLetter"/>
      <w:lvlText w:val="%5."/>
      <w:lvlJc w:val="left"/>
      <w:pPr>
        <w:tabs>
          <w:tab w:val="num" w:pos="3600"/>
        </w:tabs>
        <w:ind w:left="3600" w:hanging="360"/>
      </w:pPr>
    </w:lvl>
    <w:lvl w:ilvl="5" w:tplc="52BA2870" w:tentative="1">
      <w:start w:val="1"/>
      <w:numFmt w:val="lowerRoman"/>
      <w:lvlText w:val="%6."/>
      <w:lvlJc w:val="right"/>
      <w:pPr>
        <w:tabs>
          <w:tab w:val="num" w:pos="4320"/>
        </w:tabs>
        <w:ind w:left="4320" w:hanging="180"/>
      </w:pPr>
    </w:lvl>
    <w:lvl w:ilvl="6" w:tplc="98687A7E" w:tentative="1">
      <w:start w:val="1"/>
      <w:numFmt w:val="decimal"/>
      <w:lvlText w:val="%7."/>
      <w:lvlJc w:val="left"/>
      <w:pPr>
        <w:tabs>
          <w:tab w:val="num" w:pos="5040"/>
        </w:tabs>
        <w:ind w:left="5040" w:hanging="360"/>
      </w:pPr>
    </w:lvl>
    <w:lvl w:ilvl="7" w:tplc="9F96DAAA" w:tentative="1">
      <w:start w:val="1"/>
      <w:numFmt w:val="lowerLetter"/>
      <w:lvlText w:val="%8."/>
      <w:lvlJc w:val="left"/>
      <w:pPr>
        <w:tabs>
          <w:tab w:val="num" w:pos="5760"/>
        </w:tabs>
        <w:ind w:left="5760" w:hanging="360"/>
      </w:pPr>
    </w:lvl>
    <w:lvl w:ilvl="8" w:tplc="6460561E" w:tentative="1">
      <w:start w:val="1"/>
      <w:numFmt w:val="lowerRoman"/>
      <w:lvlText w:val="%9."/>
      <w:lvlJc w:val="right"/>
      <w:pPr>
        <w:tabs>
          <w:tab w:val="num" w:pos="6480"/>
        </w:tabs>
        <w:ind w:left="6480" w:hanging="180"/>
      </w:pPr>
    </w:lvl>
  </w:abstractNum>
  <w:abstractNum w:abstractNumId="15" w15:restartNumberingAfterBreak="0">
    <w:nsid w:val="743D2161"/>
    <w:multiLevelType w:val="hybridMultilevel"/>
    <w:tmpl w:val="B0868D9E"/>
    <w:lvl w:ilvl="0" w:tplc="B08C9C52">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763EA95C" w:tentative="1">
      <w:start w:val="1"/>
      <w:numFmt w:val="bullet"/>
      <w:lvlText w:val="o"/>
      <w:lvlJc w:val="left"/>
      <w:pPr>
        <w:tabs>
          <w:tab w:val="num" w:pos="2517"/>
        </w:tabs>
        <w:ind w:left="2517" w:hanging="360"/>
      </w:pPr>
      <w:rPr>
        <w:rFonts w:ascii="Courier New" w:hAnsi="Courier New" w:cs="Courier New" w:hint="default"/>
      </w:rPr>
    </w:lvl>
    <w:lvl w:ilvl="2" w:tplc="9EC42F94" w:tentative="1">
      <w:start w:val="1"/>
      <w:numFmt w:val="bullet"/>
      <w:lvlText w:val=""/>
      <w:lvlJc w:val="left"/>
      <w:pPr>
        <w:tabs>
          <w:tab w:val="num" w:pos="3237"/>
        </w:tabs>
        <w:ind w:left="3237" w:hanging="360"/>
      </w:pPr>
      <w:rPr>
        <w:rFonts w:ascii="Wingdings" w:hAnsi="Wingdings" w:hint="default"/>
      </w:rPr>
    </w:lvl>
    <w:lvl w:ilvl="3" w:tplc="C4DE0C9C" w:tentative="1">
      <w:start w:val="1"/>
      <w:numFmt w:val="bullet"/>
      <w:lvlText w:val=""/>
      <w:lvlJc w:val="left"/>
      <w:pPr>
        <w:tabs>
          <w:tab w:val="num" w:pos="3957"/>
        </w:tabs>
        <w:ind w:left="3957" w:hanging="360"/>
      </w:pPr>
      <w:rPr>
        <w:rFonts w:ascii="Symbol" w:hAnsi="Symbol" w:hint="default"/>
      </w:rPr>
    </w:lvl>
    <w:lvl w:ilvl="4" w:tplc="2F508AB0" w:tentative="1">
      <w:start w:val="1"/>
      <w:numFmt w:val="bullet"/>
      <w:lvlText w:val="o"/>
      <w:lvlJc w:val="left"/>
      <w:pPr>
        <w:tabs>
          <w:tab w:val="num" w:pos="4677"/>
        </w:tabs>
        <w:ind w:left="4677" w:hanging="360"/>
      </w:pPr>
      <w:rPr>
        <w:rFonts w:ascii="Courier New" w:hAnsi="Courier New" w:cs="Courier New" w:hint="default"/>
      </w:rPr>
    </w:lvl>
    <w:lvl w:ilvl="5" w:tplc="EE665010" w:tentative="1">
      <w:start w:val="1"/>
      <w:numFmt w:val="bullet"/>
      <w:lvlText w:val=""/>
      <w:lvlJc w:val="left"/>
      <w:pPr>
        <w:tabs>
          <w:tab w:val="num" w:pos="5397"/>
        </w:tabs>
        <w:ind w:left="5397" w:hanging="360"/>
      </w:pPr>
      <w:rPr>
        <w:rFonts w:ascii="Wingdings" w:hAnsi="Wingdings" w:hint="default"/>
      </w:rPr>
    </w:lvl>
    <w:lvl w:ilvl="6" w:tplc="09507E58" w:tentative="1">
      <w:start w:val="1"/>
      <w:numFmt w:val="bullet"/>
      <w:lvlText w:val=""/>
      <w:lvlJc w:val="left"/>
      <w:pPr>
        <w:tabs>
          <w:tab w:val="num" w:pos="6117"/>
        </w:tabs>
        <w:ind w:left="6117" w:hanging="360"/>
      </w:pPr>
      <w:rPr>
        <w:rFonts w:ascii="Symbol" w:hAnsi="Symbol" w:hint="default"/>
      </w:rPr>
    </w:lvl>
    <w:lvl w:ilvl="7" w:tplc="74EE57EA" w:tentative="1">
      <w:start w:val="1"/>
      <w:numFmt w:val="bullet"/>
      <w:lvlText w:val="o"/>
      <w:lvlJc w:val="left"/>
      <w:pPr>
        <w:tabs>
          <w:tab w:val="num" w:pos="6837"/>
        </w:tabs>
        <w:ind w:left="6837" w:hanging="360"/>
      </w:pPr>
      <w:rPr>
        <w:rFonts w:ascii="Courier New" w:hAnsi="Courier New" w:cs="Courier New" w:hint="default"/>
      </w:rPr>
    </w:lvl>
    <w:lvl w:ilvl="8" w:tplc="108E9E28" w:tentative="1">
      <w:start w:val="1"/>
      <w:numFmt w:val="bullet"/>
      <w:lvlText w:val=""/>
      <w:lvlJc w:val="left"/>
      <w:pPr>
        <w:tabs>
          <w:tab w:val="num" w:pos="7557"/>
        </w:tabs>
        <w:ind w:left="7557" w:hanging="360"/>
      </w:pPr>
      <w:rPr>
        <w:rFonts w:ascii="Wingdings" w:hAnsi="Wingdings" w:hint="default"/>
      </w:rPr>
    </w:lvl>
  </w:abstractNum>
  <w:abstractNum w:abstractNumId="16" w15:restartNumberingAfterBreak="0">
    <w:nsid w:val="7C866FC0"/>
    <w:multiLevelType w:val="hybridMultilevel"/>
    <w:tmpl w:val="57EA2900"/>
    <w:lvl w:ilvl="0" w:tplc="8F52B0D0">
      <w:start w:val="1"/>
      <w:numFmt w:val="decimal"/>
      <w:pStyle w:val="ATSNumber2"/>
      <w:lvlText w:val="%1."/>
      <w:lvlJc w:val="left"/>
      <w:pPr>
        <w:tabs>
          <w:tab w:val="num" w:pos="720"/>
        </w:tabs>
        <w:ind w:left="720" w:hanging="360"/>
      </w:pPr>
      <w:rPr>
        <w:rFonts w:hint="default"/>
      </w:rPr>
    </w:lvl>
    <w:lvl w:ilvl="1" w:tplc="AB72BF3A" w:tentative="1">
      <w:start w:val="1"/>
      <w:numFmt w:val="lowerLetter"/>
      <w:lvlText w:val="%2."/>
      <w:lvlJc w:val="left"/>
      <w:pPr>
        <w:tabs>
          <w:tab w:val="num" w:pos="1440"/>
        </w:tabs>
        <w:ind w:left="1440" w:hanging="360"/>
      </w:pPr>
    </w:lvl>
    <w:lvl w:ilvl="2" w:tplc="92962EF0" w:tentative="1">
      <w:start w:val="1"/>
      <w:numFmt w:val="lowerRoman"/>
      <w:lvlText w:val="%3."/>
      <w:lvlJc w:val="right"/>
      <w:pPr>
        <w:tabs>
          <w:tab w:val="num" w:pos="2160"/>
        </w:tabs>
        <w:ind w:left="2160" w:hanging="180"/>
      </w:pPr>
    </w:lvl>
    <w:lvl w:ilvl="3" w:tplc="26087762" w:tentative="1">
      <w:start w:val="1"/>
      <w:numFmt w:val="decimal"/>
      <w:lvlText w:val="%4."/>
      <w:lvlJc w:val="left"/>
      <w:pPr>
        <w:tabs>
          <w:tab w:val="num" w:pos="2880"/>
        </w:tabs>
        <w:ind w:left="2880" w:hanging="360"/>
      </w:pPr>
    </w:lvl>
    <w:lvl w:ilvl="4" w:tplc="62CEF5DA" w:tentative="1">
      <w:start w:val="1"/>
      <w:numFmt w:val="lowerLetter"/>
      <w:lvlText w:val="%5."/>
      <w:lvlJc w:val="left"/>
      <w:pPr>
        <w:tabs>
          <w:tab w:val="num" w:pos="3600"/>
        </w:tabs>
        <w:ind w:left="3600" w:hanging="360"/>
      </w:pPr>
    </w:lvl>
    <w:lvl w:ilvl="5" w:tplc="2EB8BB1A" w:tentative="1">
      <w:start w:val="1"/>
      <w:numFmt w:val="lowerRoman"/>
      <w:lvlText w:val="%6."/>
      <w:lvlJc w:val="right"/>
      <w:pPr>
        <w:tabs>
          <w:tab w:val="num" w:pos="4320"/>
        </w:tabs>
        <w:ind w:left="4320" w:hanging="180"/>
      </w:pPr>
    </w:lvl>
    <w:lvl w:ilvl="6" w:tplc="534C2562" w:tentative="1">
      <w:start w:val="1"/>
      <w:numFmt w:val="decimal"/>
      <w:lvlText w:val="%7."/>
      <w:lvlJc w:val="left"/>
      <w:pPr>
        <w:tabs>
          <w:tab w:val="num" w:pos="5040"/>
        </w:tabs>
        <w:ind w:left="5040" w:hanging="360"/>
      </w:pPr>
    </w:lvl>
    <w:lvl w:ilvl="7" w:tplc="A3C8AEE2" w:tentative="1">
      <w:start w:val="1"/>
      <w:numFmt w:val="lowerLetter"/>
      <w:lvlText w:val="%8."/>
      <w:lvlJc w:val="left"/>
      <w:pPr>
        <w:tabs>
          <w:tab w:val="num" w:pos="5760"/>
        </w:tabs>
        <w:ind w:left="5760" w:hanging="360"/>
      </w:pPr>
    </w:lvl>
    <w:lvl w:ilvl="8" w:tplc="A4305D26" w:tentative="1">
      <w:start w:val="1"/>
      <w:numFmt w:val="lowerRoman"/>
      <w:lvlText w:val="%9."/>
      <w:lvlJc w:val="right"/>
      <w:pPr>
        <w:tabs>
          <w:tab w:val="num" w:pos="6480"/>
        </w:tabs>
        <w:ind w:left="6480" w:hanging="180"/>
      </w:pPr>
    </w:lvl>
  </w:abstractNum>
  <w:num w:numId="1" w16cid:durableId="719938959">
    <w:abstractNumId w:val="9"/>
  </w:num>
  <w:num w:numId="2" w16cid:durableId="153690274">
    <w:abstractNumId w:val="7"/>
  </w:num>
  <w:num w:numId="3" w16cid:durableId="1295791434">
    <w:abstractNumId w:val="6"/>
  </w:num>
  <w:num w:numId="4" w16cid:durableId="434597546">
    <w:abstractNumId w:val="5"/>
  </w:num>
  <w:num w:numId="5" w16cid:durableId="402141785">
    <w:abstractNumId w:val="4"/>
  </w:num>
  <w:num w:numId="6" w16cid:durableId="1651248993">
    <w:abstractNumId w:val="8"/>
  </w:num>
  <w:num w:numId="7" w16cid:durableId="50159363">
    <w:abstractNumId w:val="3"/>
  </w:num>
  <w:num w:numId="8" w16cid:durableId="674498153">
    <w:abstractNumId w:val="2"/>
  </w:num>
  <w:num w:numId="9" w16cid:durableId="293606785">
    <w:abstractNumId w:val="1"/>
  </w:num>
  <w:num w:numId="10" w16cid:durableId="1274091506">
    <w:abstractNumId w:val="0"/>
  </w:num>
  <w:num w:numId="11" w16cid:durableId="1142111909">
    <w:abstractNumId w:val="11"/>
  </w:num>
  <w:num w:numId="12" w16cid:durableId="1062867884">
    <w:abstractNumId w:val="15"/>
  </w:num>
  <w:num w:numId="13" w16cid:durableId="583035588">
    <w:abstractNumId w:val="14"/>
  </w:num>
  <w:num w:numId="14" w16cid:durableId="2010017567">
    <w:abstractNumId w:val="12"/>
  </w:num>
  <w:num w:numId="15" w16cid:durableId="1156453159">
    <w:abstractNumId w:val="13"/>
  </w:num>
  <w:num w:numId="16" w16cid:durableId="329990471">
    <w:abstractNumId w:val="10"/>
  </w:num>
  <w:num w:numId="17" w16cid:durableId="290594324">
    <w:abstractNumId w:val="11"/>
  </w:num>
  <w:num w:numId="18" w16cid:durableId="1600019393">
    <w:abstractNumId w:val="15"/>
  </w:num>
  <w:num w:numId="19" w16cid:durableId="1957785934">
    <w:abstractNumId w:val="14"/>
  </w:num>
  <w:num w:numId="20" w16cid:durableId="5605555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158"/>
    <w:rsid w:val="00513158"/>
    <w:rsid w:val="0077291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65B7CD"/>
  <w15:chartTrackingRefBased/>
  <w15:docId w15:val="{C9508FAE-D90E-4C1C-BDCD-F7028D5C2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link w:val="ATSNormalChar"/>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link w:val="ATSHeading2Char"/>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uiPriority w:val="99"/>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 w:type="character" w:customStyle="1" w:styleId="ATSHeading2Char">
    <w:name w:val="ATS Heading 2 Char"/>
    <w:link w:val="ATSHeading2"/>
    <w:locked/>
    <w:rsid w:val="00772910"/>
    <w:rPr>
      <w:rFonts w:ascii="Arial" w:hAnsi="Arial"/>
      <w:b/>
      <w:i/>
      <w:sz w:val="24"/>
      <w:szCs w:val="22"/>
      <w:lang w:val="en-GB" w:eastAsia="en-GB"/>
    </w:rPr>
  </w:style>
  <w:style w:type="character" w:customStyle="1" w:styleId="ATSNormalChar">
    <w:name w:val="ATS Normal Char"/>
    <w:link w:val="ATSNormal"/>
    <w:locked/>
    <w:rsid w:val="00772910"/>
    <w:rPr>
      <w:sz w:val="22"/>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sciencedirect.com/science/article/pii/S0964569123001059"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sajournals.onlinelibrary.wiley.com/doi/full/10.1002/ecs2.4083"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soc.org/"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file:///Users/claire/Downloads/iccinet.org/statecryo22"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1211</Words>
  <Characters>7226</Characters>
  <Application>Microsoft Office Word</Application>
  <DocSecurity>0</DocSecurity>
  <Lines>60</Lines>
  <Paragraphs>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8421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Jose Luis Agraz</dc:creator>
  <cp:lastModifiedBy>Jose Luis Agraz</cp:lastModifiedBy>
  <cp:revision>3</cp:revision>
  <cp:lastPrinted>2008-01-22T18:20:00Z</cp:lastPrinted>
  <dcterms:created xsi:type="dcterms:W3CDTF">2022-10-28T13:16:00Z</dcterms:created>
  <dcterms:modified xsi:type="dcterms:W3CDTF">2023-05-02T15:45:00Z</dcterms:modified>
</cp:coreProperties>
</file>