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4B90" w14:textId="77777777" w:rsidR="00C26F2D" w:rsidRPr="00BF077B" w:rsidRDefault="00F84A63" w:rsidP="00BF077B">
      <w:pPr>
        <w:pStyle w:val="ATSNormal"/>
        <w:rPr>
          <w:rStyle w:val="Ttulodellibro"/>
        </w:rPr>
      </w:pPr>
    </w:p>
    <w:p w14:paraId="000AB4E0" w14:textId="77777777" w:rsidR="002F0A13" w:rsidRDefault="00F84A63" w:rsidP="004B4A60">
      <w:pPr>
        <w:rPr>
          <w:b/>
          <w:u w:val="single"/>
          <w:lang w:val="es-ES_tradnl"/>
        </w:rPr>
      </w:pPr>
    </w:p>
    <w:p w14:paraId="35C995AC" w14:textId="77777777" w:rsidR="002F0A13" w:rsidRDefault="00F84A63" w:rsidP="004B4A60">
      <w:pPr>
        <w:rPr>
          <w:b/>
          <w:u w:val="single"/>
          <w:lang w:val="es-ES_tradnl"/>
        </w:rPr>
      </w:pPr>
    </w:p>
    <w:p w14:paraId="117FA5FB" w14:textId="77777777" w:rsidR="002F0A13" w:rsidRDefault="00F84A63" w:rsidP="004B4A60">
      <w:pPr>
        <w:rPr>
          <w:b/>
          <w:u w:val="single"/>
          <w:lang w:val="es-ES_tradnl"/>
        </w:rPr>
      </w:pPr>
    </w:p>
    <w:p w14:paraId="690F3BAA" w14:textId="77777777" w:rsidR="002F0A13" w:rsidRDefault="00F84A63" w:rsidP="004B4A60">
      <w:pPr>
        <w:rPr>
          <w:b/>
          <w:u w:val="single"/>
          <w:lang w:val="es-ES_tradnl"/>
        </w:rPr>
      </w:pPr>
    </w:p>
    <w:p w14:paraId="0870CC6B" w14:textId="77777777" w:rsidR="00C26F2D" w:rsidRDefault="00F84A63" w:rsidP="004B4A60">
      <w:pPr>
        <w:rPr>
          <w:b/>
          <w:u w:val="single"/>
          <w:lang w:val="es-ES_tradnl"/>
        </w:rPr>
      </w:pPr>
    </w:p>
    <w:p w14:paraId="6A5EC84F" w14:textId="77777777" w:rsidR="004B4A60" w:rsidRPr="0057246E" w:rsidRDefault="00F84A63" w:rsidP="001B789F">
      <w:pPr>
        <w:pStyle w:val="ATSTitle"/>
      </w:pPr>
      <w:bookmarkStart w:id="0" w:name="name"/>
      <w:r>
        <w:t>Slow Antarctic Tourism</w:t>
      </w:r>
      <w:bookmarkEnd w:id="0"/>
    </w:p>
    <w:p w14:paraId="51377BAE" w14:textId="77777777" w:rsidR="004B4A60" w:rsidRPr="0057246E" w:rsidRDefault="00F84A63" w:rsidP="00F75424">
      <w:pPr>
        <w:jc w:val="center"/>
      </w:pPr>
    </w:p>
    <w:p w14:paraId="58909B26" w14:textId="77777777" w:rsidR="004B4A60" w:rsidRPr="002F0A13" w:rsidRDefault="00F84A63" w:rsidP="002F0A13"/>
    <w:p w14:paraId="3E9CF1F2" w14:textId="77777777" w:rsidR="004B4A60" w:rsidRDefault="00F84A63" w:rsidP="00F75424">
      <w:pPr>
        <w:jc w:val="center"/>
      </w:pPr>
      <w:bookmarkStart w:id="1" w:name="memo"/>
      <w:bookmarkEnd w:id="1"/>
    </w:p>
    <w:p w14:paraId="25FAB565" w14:textId="77777777" w:rsidR="0097629D" w:rsidRDefault="00F84A63" w:rsidP="00F75424">
      <w:pPr>
        <w:jc w:val="center"/>
      </w:pPr>
    </w:p>
    <w:p w14:paraId="1E0DAD6C" w14:textId="77777777" w:rsidR="0097629D" w:rsidRDefault="00F84A63" w:rsidP="00F75424">
      <w:pPr>
        <w:jc w:val="center"/>
      </w:pPr>
    </w:p>
    <w:p w14:paraId="0DC2D7E3" w14:textId="77777777" w:rsidR="0097629D" w:rsidRDefault="00F84A63" w:rsidP="00F75424">
      <w:pPr>
        <w:jc w:val="center"/>
      </w:pPr>
    </w:p>
    <w:p w14:paraId="06E0D62B" w14:textId="77777777" w:rsidR="0097629D" w:rsidRPr="00C26F2D" w:rsidRDefault="00F84A63" w:rsidP="00F75424">
      <w:pPr>
        <w:jc w:val="center"/>
      </w:pPr>
    </w:p>
    <w:p w14:paraId="7A84D3A9" w14:textId="77777777" w:rsidR="004B4A60" w:rsidRPr="0057246E" w:rsidRDefault="00F84A63" w:rsidP="004B4A60"/>
    <w:p w14:paraId="54B8E265" w14:textId="77777777" w:rsidR="00C26F2D" w:rsidRDefault="00F84A6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3D21B06" w14:textId="77777777" w:rsidR="004B4A60" w:rsidRDefault="00F84A63" w:rsidP="00952E9F"/>
    <w:p w14:paraId="13E8D549" w14:textId="77777777" w:rsidR="00F84A63" w:rsidRDefault="00F84A63" w:rsidP="00F84A63">
      <w:pPr>
        <w:pBdr>
          <w:top w:val="nil"/>
          <w:left w:val="nil"/>
          <w:bottom w:val="nil"/>
          <w:right w:val="nil"/>
          <w:between w:val="nil"/>
        </w:pBdr>
        <w:spacing w:before="360" w:after="360"/>
        <w:jc w:val="center"/>
        <w:rPr>
          <w:rFonts w:ascii="Arial" w:eastAsia="Arial" w:hAnsi="Arial" w:cs="Arial"/>
          <w:b/>
          <w:sz w:val="32"/>
          <w:szCs w:val="32"/>
        </w:rPr>
      </w:pPr>
      <w:r>
        <w:rPr>
          <w:rFonts w:ascii="Arial" w:eastAsia="Arial" w:hAnsi="Arial" w:cs="Arial"/>
          <w:b/>
          <w:sz w:val="32"/>
          <w:szCs w:val="32"/>
        </w:rPr>
        <w:t>Slow Antarctic tourism</w:t>
      </w:r>
    </w:p>
    <w:p w14:paraId="664B1447" w14:textId="77777777" w:rsidR="00F84A63" w:rsidRDefault="00F84A63" w:rsidP="00F84A63">
      <w:pPr>
        <w:pStyle w:val="ATSHeading3"/>
        <w:jc w:val="center"/>
        <w:rPr>
          <w:rFonts w:eastAsia="Arial"/>
        </w:rPr>
      </w:pPr>
      <w:r>
        <w:rPr>
          <w:rFonts w:eastAsia="Arial"/>
        </w:rPr>
        <w:t>Information Paper submitted by ASOC</w:t>
      </w:r>
    </w:p>
    <w:p w14:paraId="6955E1ED" w14:textId="77777777" w:rsidR="00F84A63" w:rsidRDefault="00F84A63" w:rsidP="00F84A63">
      <w:pPr>
        <w:spacing w:before="360" w:after="120"/>
        <w:rPr>
          <w:rFonts w:ascii="Arial" w:eastAsia="Arial" w:hAnsi="Arial" w:cs="Arial"/>
          <w:b/>
          <w:i/>
          <w:sz w:val="24"/>
        </w:rPr>
      </w:pPr>
      <w:r>
        <w:rPr>
          <w:rFonts w:ascii="Arial" w:eastAsia="Arial" w:hAnsi="Arial" w:cs="Arial"/>
          <w:b/>
          <w:i/>
          <w:sz w:val="24"/>
        </w:rPr>
        <w:t>Summary</w:t>
      </w:r>
    </w:p>
    <w:p w14:paraId="1EC91DC9" w14:textId="77777777" w:rsidR="00F84A63" w:rsidRDefault="00F84A63" w:rsidP="00F84A63">
      <w:pPr>
        <w:pBdr>
          <w:top w:val="nil"/>
          <w:left w:val="nil"/>
          <w:bottom w:val="nil"/>
          <w:right w:val="nil"/>
          <w:between w:val="nil"/>
        </w:pBdr>
        <w:spacing w:before="120" w:after="120"/>
      </w:pPr>
      <w:r>
        <w:t>This document introduces the concept of “slow tourism” and discusses how it could be applied to Antarctica. Antarctic tourism needs to slow down to remain viable in the longer term, and that this can be achieved without adversely impacting the tourism industry. We do not attempt to fully conceptualize Antarctic</w:t>
      </w:r>
      <w:sdt>
        <w:sdtPr>
          <w:tag w:val="goog_rdk_1"/>
          <w:id w:val="702831473"/>
        </w:sdtPr>
        <w:sdtContent>
          <w:r>
            <w:t xml:space="preserve"> slow</w:t>
          </w:r>
        </w:sdtContent>
      </w:sdt>
      <w:r>
        <w:t xml:space="preserve"> tourism or its practical implementation, but rather to explore potential ways forward that resonate with current policy discussions around new paradigms and a comprehensive framework for Antarctic tourism. Important elements of this framework for ATCPs to consider would include: </w:t>
      </w:r>
    </w:p>
    <w:p w14:paraId="248875F2" w14:textId="77777777" w:rsidR="00F84A63" w:rsidRDefault="00F84A63" w:rsidP="00F84A63">
      <w:pPr>
        <w:numPr>
          <w:ilvl w:val="0"/>
          <w:numId w:val="21"/>
        </w:numPr>
        <w:pBdr>
          <w:top w:val="nil"/>
          <w:left w:val="nil"/>
          <w:bottom w:val="nil"/>
          <w:right w:val="nil"/>
          <w:between w:val="nil"/>
        </w:pBdr>
      </w:pPr>
      <w:r>
        <w:t>Encouraging low impact modalities of tourism – slow tourism being (only) one of them;</w:t>
      </w:r>
    </w:p>
    <w:p w14:paraId="22219B29" w14:textId="77777777" w:rsidR="00F84A63" w:rsidRDefault="00F84A63" w:rsidP="00F84A63">
      <w:pPr>
        <w:numPr>
          <w:ilvl w:val="0"/>
          <w:numId w:val="21"/>
        </w:numPr>
        <w:pBdr>
          <w:top w:val="nil"/>
          <w:left w:val="nil"/>
          <w:bottom w:val="nil"/>
          <w:right w:val="nil"/>
          <w:between w:val="nil"/>
        </w:pBdr>
      </w:pPr>
      <w:r>
        <w:t>Ensuring consistent assessment of tourism activities;</w:t>
      </w:r>
    </w:p>
    <w:p w14:paraId="7E4A29FD" w14:textId="77777777" w:rsidR="00F84A63" w:rsidRDefault="00F84A63" w:rsidP="00F84A63">
      <w:pPr>
        <w:numPr>
          <w:ilvl w:val="0"/>
          <w:numId w:val="21"/>
        </w:numPr>
        <w:pBdr>
          <w:top w:val="nil"/>
          <w:left w:val="nil"/>
          <w:bottom w:val="nil"/>
          <w:right w:val="nil"/>
          <w:between w:val="nil"/>
        </w:pBdr>
      </w:pPr>
      <w:r>
        <w:t>Developing dedicated programs for monitoring of tourism impacts;</w:t>
      </w:r>
    </w:p>
    <w:p w14:paraId="7E39D4A7" w14:textId="77777777" w:rsidR="00F84A63" w:rsidRDefault="00F84A63" w:rsidP="00F84A63">
      <w:pPr>
        <w:numPr>
          <w:ilvl w:val="0"/>
          <w:numId w:val="21"/>
        </w:numPr>
        <w:pBdr>
          <w:top w:val="nil"/>
          <w:left w:val="nil"/>
          <w:bottom w:val="nil"/>
          <w:right w:val="nil"/>
          <w:between w:val="nil"/>
        </w:pBdr>
      </w:pPr>
      <w:r>
        <w:t>Expanding area protection under Annex V; and</w:t>
      </w:r>
    </w:p>
    <w:p w14:paraId="0BA013B7" w14:textId="77777777" w:rsidR="00F84A63" w:rsidRDefault="00F84A63" w:rsidP="00F84A63">
      <w:pPr>
        <w:numPr>
          <w:ilvl w:val="0"/>
          <w:numId w:val="21"/>
        </w:numPr>
        <w:pBdr>
          <w:top w:val="nil"/>
          <w:left w:val="nil"/>
          <w:bottom w:val="nil"/>
          <w:right w:val="nil"/>
          <w:between w:val="nil"/>
        </w:pBdr>
      </w:pPr>
      <w:r>
        <w:t>Evaluating the effectiveness of existing tourism regulation.</w:t>
      </w:r>
    </w:p>
    <w:p w14:paraId="17210F80" w14:textId="25DA2997" w:rsidR="00F84A63" w:rsidRDefault="00F84A63" w:rsidP="00F84A63">
      <w:pPr>
        <w:spacing w:before="360" w:after="120"/>
        <w:rPr>
          <w:rFonts w:ascii="Arial" w:eastAsia="Arial" w:hAnsi="Arial" w:cs="Arial"/>
          <w:b/>
          <w:i/>
          <w:sz w:val="24"/>
        </w:rPr>
      </w:pPr>
      <w:r>
        <w:rPr>
          <w:rFonts w:ascii="Arial" w:eastAsia="Arial" w:hAnsi="Arial" w:cs="Arial"/>
          <w:b/>
          <w:i/>
          <w:sz w:val="24"/>
        </w:rPr>
        <w:t>Introduction</w:t>
      </w:r>
    </w:p>
    <w:p w14:paraId="6A5C67EE" w14:textId="77777777" w:rsidR="00F84A63" w:rsidRDefault="00F84A63" w:rsidP="00F84A63">
      <w:pPr>
        <w:pBdr>
          <w:top w:val="nil"/>
          <w:left w:val="nil"/>
          <w:bottom w:val="nil"/>
          <w:right w:val="nil"/>
          <w:between w:val="nil"/>
        </w:pBdr>
        <w:spacing w:before="120" w:after="120"/>
      </w:pPr>
      <w:r>
        <w:t>At ATCM XLIV in May 2022 ASOC suggested slow tourism as a potential lower impact modality of Antarctic tourism,</w:t>
      </w:r>
      <w:r>
        <w:rPr>
          <w:vertAlign w:val="superscript"/>
        </w:rPr>
        <w:footnoteReference w:id="1"/>
      </w:r>
      <w:r>
        <w:t xml:space="preserve"> and an adjunct to existing ASOC proposals for managing the impacts of Antarctic tourism.</w:t>
      </w:r>
      <w:r>
        <w:rPr>
          <w:vertAlign w:val="superscript"/>
        </w:rPr>
        <w:footnoteReference w:id="2"/>
      </w:r>
      <w:r>
        <w:rPr>
          <w:vertAlign w:val="superscript"/>
        </w:rPr>
        <w:t xml:space="preserve">  </w:t>
      </w:r>
    </w:p>
    <w:p w14:paraId="760C0BC5" w14:textId="77777777" w:rsidR="00F84A63" w:rsidRDefault="00F84A63" w:rsidP="00F84A63">
      <w:pPr>
        <w:spacing w:before="120" w:after="120"/>
      </w:pPr>
      <w:r>
        <w:t xml:space="preserve">Slow tourism “accentuates sustainable tourism practices as well as tourism at a reduced pace”, and is </w:t>
      </w:r>
      <w:sdt>
        <w:sdtPr>
          <w:tag w:val="goog_rdk_2"/>
          <w:id w:val="-2044355438"/>
        </w:sdtPr>
        <w:sdtContent>
          <w:r>
            <w:t xml:space="preserve">a potential </w:t>
          </w:r>
        </w:sdtContent>
      </w:sdt>
      <w:r>
        <w:t>alternative to the fast-pace</w:t>
      </w:r>
      <w:sdt>
        <w:sdtPr>
          <w:tag w:val="goog_rdk_4"/>
          <w:id w:val="562222602"/>
        </w:sdtPr>
        <w:sdtContent>
          <w:sdt>
            <w:sdtPr>
              <w:tag w:val="goog_rdk_5"/>
              <w:id w:val="-523793862"/>
            </w:sdtPr>
            <w:sdtContent/>
          </w:sdt>
        </w:sdtContent>
      </w:sdt>
      <w:r>
        <w:t xml:space="preserve"> </w:t>
      </w:r>
      <w:sdt>
        <w:sdtPr>
          <w:tag w:val="goog_rdk_6"/>
          <w:id w:val="-2029861138"/>
        </w:sdtPr>
        <w:sdtContent>
          <w:r>
            <w:t xml:space="preserve">of living </w:t>
          </w:r>
        </w:sdtContent>
      </w:sdt>
      <w:r>
        <w:t>that is seen as the norm, including in travel and leisure</w:t>
      </w:r>
      <w:r w:rsidRPr="00EA5DE0">
        <w:t>.</w:t>
      </w:r>
      <w:r w:rsidRPr="00A2396F">
        <w:rPr>
          <w:rFonts w:eastAsia="Arial"/>
          <w:color w:val="000000"/>
          <w:vertAlign w:val="superscript"/>
        </w:rPr>
        <w:footnoteReference w:id="3"/>
      </w:r>
      <w:r w:rsidRPr="00EA5DE0">
        <w:t xml:space="preserve"> </w:t>
      </w:r>
      <w:r>
        <w:t>In this document we discuss slow tourism as it could be applied to tourism in Antarctica.</w:t>
      </w:r>
      <w:r>
        <w:rPr>
          <w:vertAlign w:val="superscript"/>
        </w:rPr>
        <w:footnoteReference w:id="4"/>
      </w:r>
      <w:r>
        <w:t xml:space="preserve"> We also suggest a working definition of slow tourism.</w:t>
      </w:r>
    </w:p>
    <w:p w14:paraId="472C7D80" w14:textId="77777777" w:rsidR="00F84A63" w:rsidRDefault="00F84A63" w:rsidP="00F84A63">
      <w:pPr>
        <w:spacing w:before="120" w:after="120"/>
      </w:pPr>
      <w:r>
        <w:t>ASOC suggests that exploring the notion of Antarctic slow tourism presents an opportunity to rethink how tourism is conducted in Antarctica, and offers a flexible framework within which to reconceptualize the tourist experience with respect to collective ecological impacts, travelling in tune with natural rhythms, and forging a deeper connection with place and human history in Antarctica. This, in turn, may contribute to the industry’s stated aspiration of creating lifelong Antarctic ambassadors,</w:t>
      </w:r>
      <w:r>
        <w:rPr>
          <w:vertAlign w:val="superscript"/>
        </w:rPr>
        <w:footnoteReference w:id="5"/>
      </w:r>
      <w:r>
        <w:t xml:space="preserve"> and may also support the Parties’ desire to emphasize forms of tourism that contribute to the enrichment and education of visitors.</w:t>
      </w:r>
      <w:r>
        <w:rPr>
          <w:vertAlign w:val="superscript"/>
        </w:rPr>
        <w:footnoteReference w:id="6"/>
      </w:r>
    </w:p>
    <w:p w14:paraId="10D777F0" w14:textId="77777777" w:rsidR="00F84A63" w:rsidRPr="00D0377C" w:rsidRDefault="00F84A63" w:rsidP="00F84A63">
      <w:pPr>
        <w:spacing w:before="360" w:after="120"/>
        <w:rPr>
          <w:rFonts w:ascii="Arial" w:eastAsia="Arial" w:hAnsi="Arial" w:cs="Arial"/>
          <w:b/>
          <w:i/>
          <w:sz w:val="24"/>
        </w:rPr>
      </w:pPr>
      <w:r w:rsidRPr="00D0377C">
        <w:rPr>
          <w:rFonts w:ascii="Arial" w:eastAsia="Arial" w:hAnsi="Arial" w:cs="Arial"/>
          <w:b/>
          <w:i/>
          <w:sz w:val="24"/>
        </w:rPr>
        <w:t xml:space="preserve">What is slow tourism? </w:t>
      </w:r>
    </w:p>
    <w:p w14:paraId="3520DCE6" w14:textId="77777777" w:rsidR="00F84A63" w:rsidRDefault="00F84A63" w:rsidP="00F84A63">
      <w:pPr>
        <w:spacing w:before="120" w:after="120"/>
      </w:pPr>
      <w:r>
        <w:lastRenderedPageBreak/>
        <w:t xml:space="preserve">Slow tourism is part of a global ‘slow’ movement, which began with the development of ‘slow food’ in 1986, and has expanded to include </w:t>
      </w:r>
      <w:sdt>
        <w:sdtPr>
          <w:tag w:val="goog_rdk_11"/>
          <w:id w:val="450752586"/>
        </w:sdtPr>
        <w:sdtContent/>
      </w:sdt>
      <w:r>
        <w:t xml:space="preserve">Cittaslow (slow cities), slow tourism and other ‘slow’ activities. </w:t>
      </w:r>
    </w:p>
    <w:p w14:paraId="48C72B90" w14:textId="77777777" w:rsidR="00F84A63" w:rsidRDefault="00F84A63" w:rsidP="00F84A63">
      <w:pPr>
        <w:spacing w:before="120" w:after="120"/>
      </w:pPr>
      <w:r>
        <w:t>There is no single definition of slow tourism in the academic literature.</w:t>
      </w:r>
      <w:r>
        <w:rPr>
          <w:vertAlign w:val="superscript"/>
        </w:rPr>
        <w:footnoteReference w:id="7"/>
      </w:r>
      <w:r>
        <w:t xml:space="preserve"> Broadly, “slowness in tourism appears as an alternative to fast, massified tourism and highlights a sense of responsibility towards the environment combined with a search for a meaningful experience for tourists”.</w:t>
      </w:r>
      <w:r>
        <w:rPr>
          <w:vertAlign w:val="superscript"/>
        </w:rPr>
        <w:footnoteReference w:id="8"/>
      </w:r>
      <w:r>
        <w:t xml:space="preserve"> From this </w:t>
      </w:r>
      <w:sdt>
        <w:sdtPr>
          <w:tag w:val="goog_rdk_13"/>
          <w:id w:val="83504188"/>
        </w:sdtPr>
        <w:sdtContent/>
      </w:sdt>
      <w:r>
        <w:t>anti-definition some core principles emerge such as “taking time”</w:t>
      </w:r>
      <w:sdt>
        <w:sdtPr>
          <w:tag w:val="goog_rdk_14"/>
          <w:id w:val="1060445124"/>
        </w:sdtPr>
        <w:sdtContent>
          <w:r>
            <w:t>,</w:t>
          </w:r>
        </w:sdtContent>
      </w:sdt>
      <w:r>
        <w:t xml:space="preserve"> “being in tune with a sense of place” and seeking quality of experience over quantity, creating an enriched, authentic experience of place through “not just sightseeing, but rather by using all five senses”.</w:t>
      </w:r>
      <w:r>
        <w:rPr>
          <w:vertAlign w:val="superscript"/>
        </w:rPr>
        <w:footnoteReference w:id="9"/>
      </w:r>
      <w:sdt>
        <w:sdtPr>
          <w:tag w:val="goog_rdk_17"/>
          <w:id w:val="1135521855"/>
        </w:sdtPr>
        <w:sdtContent/>
      </w:sdt>
      <w:r>
        <w:t xml:space="preserve"> Slow tourism involves a personal choice as well, in that tourists already have an ethical commitment built into their travels.</w:t>
      </w:r>
      <w:r>
        <w:rPr>
          <w:vertAlign w:val="superscript"/>
        </w:rPr>
        <w:footnoteReference w:id="10"/>
      </w:r>
      <w:r>
        <w:t xml:space="preserve"> In response to the zeitgeist of tourism growth and diversification – globally as well as in Antarctica – slow tourism connects to a larger paradigm of tourism that includes degrowth and deceleration, and is an alternative to mass tourism and overtourism.</w:t>
      </w:r>
      <w:r>
        <w:rPr>
          <w:vertAlign w:val="superscript"/>
        </w:rPr>
        <w:footnoteReference w:id="11"/>
      </w:r>
      <w:r>
        <w:t xml:space="preserve"> </w:t>
      </w:r>
      <w:bookmarkStart w:id="8" w:name="_heading=h.gjdgxs" w:colFirst="0" w:colLast="0"/>
      <w:bookmarkEnd w:id="8"/>
    </w:p>
    <w:p w14:paraId="1BDEFC25" w14:textId="77777777" w:rsidR="00F84A63" w:rsidRDefault="00F84A63" w:rsidP="00F84A63">
      <w:pPr>
        <w:pBdr>
          <w:top w:val="nil"/>
          <w:left w:val="nil"/>
          <w:bottom w:val="nil"/>
          <w:right w:val="nil"/>
          <w:between w:val="nil"/>
        </w:pBdr>
        <w:spacing w:before="120" w:after="120"/>
      </w:pPr>
      <w:r>
        <w:t>We propose this working definition: “</w:t>
      </w:r>
      <w:r w:rsidRPr="005C24CE">
        <w:t>Antarctic slow tourism</w:t>
      </w:r>
      <w:r>
        <w:t xml:space="preserve"> is a form of tourism that</w:t>
      </w:r>
      <w:r w:rsidRPr="005C24CE">
        <w:t xml:space="preserve"> facilitates a personal connection and lasting attachment to Antarctica through intentionally slower paced activities</w:t>
      </w:r>
      <w:r>
        <w:t xml:space="preserve">, </w:t>
      </w:r>
      <w:r w:rsidRPr="005C24CE">
        <w:t>within a framework that places Antarctic environmental protection at its core.</w:t>
      </w:r>
      <w:r>
        <w:t xml:space="preserve">” </w:t>
      </w:r>
      <w:sdt>
        <w:sdtPr>
          <w:tag w:val="goog_rdk_18"/>
          <w:id w:val="2082944792"/>
        </w:sdtPr>
        <w:sdtContent/>
      </w:sdt>
      <w:sdt>
        <w:sdtPr>
          <w:tag w:val="goog_rdk_19"/>
          <w:id w:val="-149283758"/>
        </w:sdtPr>
        <w:sdtContent/>
      </w:sdt>
      <w:r>
        <w:t>Exactly how Antarctic slow tourism could look in practice is an open question, and we have collated some preliminary suggestions in the section below as a starting point for further discussion.</w:t>
      </w:r>
    </w:p>
    <w:sdt>
      <w:sdtPr>
        <w:rPr>
          <w:rFonts w:ascii="Arial" w:eastAsia="Arial" w:hAnsi="Arial" w:cs="Arial"/>
          <w:b/>
          <w:i/>
          <w:sz w:val="24"/>
        </w:rPr>
        <w:tag w:val="goog_rdk_28"/>
        <w:id w:val="1996305249"/>
      </w:sdtPr>
      <w:sdtContent>
        <w:p w14:paraId="547BE032" w14:textId="77777777" w:rsidR="00F84A63" w:rsidRPr="00D0377C" w:rsidRDefault="00F84A63" w:rsidP="00F84A63">
          <w:pPr>
            <w:spacing w:before="360" w:after="120"/>
            <w:rPr>
              <w:rFonts w:ascii="Arial" w:eastAsia="Arial" w:hAnsi="Arial" w:cs="Arial"/>
              <w:b/>
              <w:i/>
              <w:sz w:val="24"/>
            </w:rPr>
          </w:pPr>
          <w:r w:rsidRPr="00D0377C">
            <w:rPr>
              <w:rFonts w:ascii="Arial" w:eastAsia="Arial" w:hAnsi="Arial" w:cs="Arial"/>
              <w:b/>
              <w:i/>
              <w:sz w:val="24"/>
            </w:rPr>
            <w:t xml:space="preserve">The case for Antarctic slow tourism </w:t>
          </w:r>
          <w:sdt>
            <w:sdtPr>
              <w:rPr>
                <w:rFonts w:ascii="Arial" w:eastAsia="Arial" w:hAnsi="Arial" w:cs="Arial"/>
                <w:b/>
                <w:i/>
                <w:sz w:val="24"/>
              </w:rPr>
              <w:tag w:val="goog_rdk_27"/>
              <w:id w:val="32248478"/>
              <w:showingPlcHdr/>
            </w:sdtPr>
            <w:sdtContent>
              <w:r w:rsidRPr="00D0377C">
                <w:rPr>
                  <w:rFonts w:ascii="Arial" w:eastAsia="Arial" w:hAnsi="Arial" w:cs="Arial"/>
                  <w:b/>
                  <w:i/>
                  <w:sz w:val="24"/>
                </w:rPr>
                <w:t xml:space="preserve">     </w:t>
              </w:r>
            </w:sdtContent>
          </w:sdt>
        </w:p>
      </w:sdtContent>
    </w:sdt>
    <w:sdt>
      <w:sdtPr>
        <w:tag w:val="goog_rdk_30"/>
        <w:id w:val="-2013832650"/>
      </w:sdtPr>
      <w:sdtContent>
        <w:p w14:paraId="2F54C651" w14:textId="77777777" w:rsidR="00F84A63" w:rsidRPr="005A62D4" w:rsidRDefault="00F84A63" w:rsidP="00F84A63">
          <w:pPr>
            <w:spacing w:before="120" w:after="120"/>
          </w:pPr>
          <w:sdt>
            <w:sdtPr>
              <w:tag w:val="goog_rdk_29"/>
              <w:id w:val="1644697697"/>
            </w:sdtPr>
            <w:sdtContent>
              <w:r w:rsidRPr="005A62D4">
                <w:t xml:space="preserve">Under the Protocol on Environmental Protection to the Antarctic Treaty environmental protection shall be a “fundamental consideration” in the planning and conducting of human activities, and ecological sustainability should be a priority of tourism management. </w:t>
              </w:r>
            </w:sdtContent>
          </w:sdt>
        </w:p>
      </w:sdtContent>
    </w:sdt>
    <w:p w14:paraId="6248D755" w14:textId="77777777" w:rsidR="00F84A63" w:rsidRDefault="00F84A63" w:rsidP="00F84A63">
      <w:pPr>
        <w:pBdr>
          <w:top w:val="nil"/>
          <w:left w:val="nil"/>
          <w:bottom w:val="nil"/>
          <w:right w:val="nil"/>
          <w:between w:val="nil"/>
        </w:pBdr>
        <w:spacing w:before="120" w:after="120"/>
        <w:rPr>
          <w:rFonts w:ascii="Arial" w:eastAsia="Arial" w:hAnsi="Arial" w:cs="Arial"/>
          <w:b/>
          <w:i/>
        </w:rPr>
      </w:pPr>
      <w:r>
        <w:t xml:space="preserve">While a range of environmental protections have been put in place by both Antarctic Treaty Parties and the International Association of Antarctica Tour Operators (IAATO) to minimize the impact of tourism operations, it is unclear whether these measures are sufficient to protect Antarctic ecosystems at a time of significant change driven by a warming climate and rapidly growing human presence including, but not limited to tourism. This is particularly the case for the Antarctic Peninsula. </w:t>
      </w:r>
    </w:p>
    <w:p w14:paraId="1F79C3C7" w14:textId="77777777" w:rsidR="00F84A63" w:rsidRDefault="00F84A63" w:rsidP="00F84A63">
      <w:pPr>
        <w:pBdr>
          <w:top w:val="nil"/>
          <w:left w:val="nil"/>
          <w:bottom w:val="nil"/>
          <w:right w:val="nil"/>
          <w:between w:val="nil"/>
        </w:pBdr>
        <w:spacing w:before="120" w:after="120"/>
      </w:pPr>
      <w:r>
        <w:t>In recent decades Antarctic tourism has grown in response to market demand, with a diversification of adventure and other activities offered both on site and on board.</w:t>
      </w:r>
      <w:r>
        <w:rPr>
          <w:vertAlign w:val="superscript"/>
        </w:rPr>
        <w:footnoteReference w:id="12"/>
      </w:r>
      <w:r>
        <w:t xml:space="preserve"> Means of travel to and within Antarctica are also diversifying. In some locations semi-permanent camps support a range of land-based tourism activities, accessed by air or overland travel. Some cruise vessels offer tours in submersible crafts, or helicopter transfers to emperor penguin colonies. This t</w:t>
      </w:r>
      <w:sdt>
        <w:sdtPr>
          <w:tag w:val="goog_rdk_31"/>
          <w:id w:val="-453245783"/>
        </w:sdtPr>
        <w:sdtContent/>
      </w:sdt>
      <w:r>
        <w:t>rend towards diversification is likely to continue.</w:t>
      </w:r>
    </w:p>
    <w:p w14:paraId="1D58725A" w14:textId="77777777" w:rsidR="00F84A63" w:rsidRDefault="00F84A63" w:rsidP="00F84A63">
      <w:pPr>
        <w:pBdr>
          <w:top w:val="nil"/>
          <w:left w:val="nil"/>
          <w:bottom w:val="nil"/>
          <w:right w:val="nil"/>
          <w:between w:val="nil"/>
        </w:pBdr>
        <w:spacing w:before="120" w:after="120"/>
      </w:pPr>
      <w:r>
        <w:t>The expectations of tourists visiting Antarctica can be high, many of them having anticipated their visit for many years or, in some cases, decades. Some expect to see and do in a short Antarctic trip more than others would in years of Antarctic service (e.g. scientists or ship’s crew). Unrealistic demands can result in overambitious itineraries and frantic schedules, with a cascading range of potential impacts including passenger experience and operational safety.</w:t>
      </w:r>
    </w:p>
    <w:p w14:paraId="65279DFE" w14:textId="77777777" w:rsidR="00F84A63" w:rsidRDefault="00F84A63" w:rsidP="00F84A63">
      <w:pPr>
        <w:spacing w:before="360" w:after="120"/>
        <w:rPr>
          <w:rFonts w:ascii="Arial" w:eastAsia="Arial" w:hAnsi="Arial" w:cs="Arial"/>
          <w:b/>
          <w:i/>
          <w:sz w:val="24"/>
        </w:rPr>
      </w:pPr>
      <w:r>
        <w:rPr>
          <w:rFonts w:ascii="Arial" w:eastAsia="Arial" w:hAnsi="Arial" w:cs="Arial"/>
          <w:b/>
          <w:i/>
          <w:sz w:val="24"/>
        </w:rPr>
        <w:t>Implementing slow tourism in Antarctica</w:t>
      </w:r>
    </w:p>
    <w:p w14:paraId="3BE4F510" w14:textId="77777777" w:rsidR="00F84A63" w:rsidRDefault="00F84A63" w:rsidP="00F84A63">
      <w:pPr>
        <w:pBdr>
          <w:top w:val="nil"/>
          <w:left w:val="nil"/>
          <w:bottom w:val="nil"/>
          <w:right w:val="nil"/>
          <w:between w:val="nil"/>
        </w:pBdr>
        <w:spacing w:after="160"/>
        <w:rPr>
          <w:rFonts w:ascii="Calibri" w:eastAsia="Calibri" w:hAnsi="Calibri" w:cs="Calibri"/>
        </w:rPr>
      </w:pPr>
      <w:r>
        <w:lastRenderedPageBreak/>
        <w:t xml:space="preserve">Many aspects of Antarctic tourism today are fixed and largely unchangeable, even in the context of climate change: the location of Antarctica as a destination; points of departure to Antarctica; the availability of sites that enable safe and rewarding visitation by groups of tourists; time available to travel to, from and within Antarctica; the duration of seasons, days and nights. Despite these conditioning factors, new travel patterns, tourism experiences and behaviours more in tune with natural rhythms may be possible, resulting in a deeper experience of place. </w:t>
      </w:r>
    </w:p>
    <w:p w14:paraId="599A2DD8" w14:textId="77777777" w:rsidR="00F84A63" w:rsidRDefault="00F84A63" w:rsidP="00F84A63">
      <w:pPr>
        <w:pBdr>
          <w:top w:val="nil"/>
          <w:left w:val="nil"/>
          <w:bottom w:val="nil"/>
          <w:right w:val="nil"/>
          <w:between w:val="nil"/>
        </w:pBdr>
        <w:spacing w:before="120" w:after="120"/>
      </w:pPr>
      <w:r>
        <w:t xml:space="preserve">Under “slow tourism”, many activities would be maintained but “slowed down” and simplified. There would be fewer but potentially longer landings, allowing a deeper experience of places and reducing local transport, resulting in less marine noise and a lower likelihood of collisions with whales, among other benefits. ASOC understands that some shipborne tour operators have already considered or adopted a “one landing per day” policy. </w:t>
      </w:r>
    </w:p>
    <w:p w14:paraId="0ADD98CE" w14:textId="77777777" w:rsidR="00F84A63" w:rsidRDefault="00F84A63" w:rsidP="00F84A63">
      <w:pPr>
        <w:pBdr>
          <w:top w:val="nil"/>
          <w:left w:val="nil"/>
          <w:bottom w:val="nil"/>
          <w:right w:val="nil"/>
          <w:between w:val="nil"/>
        </w:pBdr>
        <w:spacing w:before="120" w:after="120"/>
      </w:pPr>
      <w:r>
        <w:t>Hybrid activities could also be developed. For instance, at least one operator of shipborne tourism has tested the use of so-called “base camps” in which a ship remains in a certain area for some days and serves as a hub for the conduct of activities on board, at sea or onshore. The focus of the trip is the activities, which are not subject to additional charges, rather than cruising around and conducting landings (although those activities are carried out as well).</w:t>
      </w:r>
      <w:r>
        <w:rPr>
          <w:vertAlign w:val="superscript"/>
        </w:rPr>
        <w:footnoteReference w:id="13"/>
      </w:r>
      <w:r>
        <w:t xml:space="preserve"> </w:t>
      </w:r>
    </w:p>
    <w:p w14:paraId="723BC870" w14:textId="77777777" w:rsidR="00F84A63" w:rsidRDefault="00F84A63" w:rsidP="00F84A63">
      <w:pPr>
        <w:pBdr>
          <w:top w:val="nil"/>
          <w:left w:val="nil"/>
          <w:bottom w:val="nil"/>
          <w:right w:val="nil"/>
          <w:between w:val="nil"/>
        </w:pBdr>
        <w:spacing w:before="120" w:after="120"/>
      </w:pPr>
      <w:r>
        <w:t>Additional activities could also be offered to enhance connection with Antarctica, including educational, artistic and citizen science activities. Emphasis could be placed on the appreciation of sensory aspects of Antarctica that are not site-specific, such as cold, light or silence. These could be “rediscovered” through activities such as guided cold water immersions, photography classes, painting sessions, and silent landings.</w:t>
      </w:r>
    </w:p>
    <w:p w14:paraId="7A8553F7" w14:textId="77777777" w:rsidR="00F84A63" w:rsidRDefault="00F84A63" w:rsidP="00F84A63">
      <w:pPr>
        <w:spacing w:before="360" w:after="120"/>
        <w:rPr>
          <w:rFonts w:ascii="Arial" w:eastAsia="Arial" w:hAnsi="Arial" w:cs="Arial"/>
          <w:b/>
          <w:i/>
          <w:sz w:val="24"/>
        </w:rPr>
      </w:pPr>
      <w:r>
        <w:rPr>
          <w:rFonts w:ascii="Arial" w:eastAsia="Arial" w:hAnsi="Arial" w:cs="Arial"/>
          <w:b/>
          <w:i/>
          <w:sz w:val="24"/>
        </w:rPr>
        <w:t>Closing remarks</w:t>
      </w:r>
    </w:p>
    <w:p w14:paraId="67F31E7E" w14:textId="77777777" w:rsidR="00F84A63" w:rsidRDefault="00F84A63" w:rsidP="00F84A63">
      <w:pPr>
        <w:pBdr>
          <w:top w:val="nil"/>
          <w:left w:val="nil"/>
          <w:bottom w:val="nil"/>
          <w:right w:val="nil"/>
          <w:between w:val="nil"/>
        </w:pBdr>
        <w:spacing w:before="120" w:after="120"/>
      </w:pPr>
      <w:r>
        <w:t xml:space="preserve">We suggest that Antarctic tourism needs to slow down to remain viable in the longer term, and that this can be achieved without adversely impacting the tourism industry. </w:t>
      </w:r>
    </w:p>
    <w:p w14:paraId="74E5BA09" w14:textId="77777777" w:rsidR="00F84A63" w:rsidRDefault="00F84A63" w:rsidP="00F84A63">
      <w:pPr>
        <w:pBdr>
          <w:top w:val="nil"/>
          <w:left w:val="nil"/>
          <w:bottom w:val="nil"/>
          <w:right w:val="nil"/>
          <w:between w:val="nil"/>
        </w:pBdr>
        <w:spacing w:before="120" w:after="120"/>
      </w:pPr>
      <w:r>
        <w:t>We have made some preliminary suggestions above, and encourage Parties and IAATO to consider these ideas, which we aim to develop further.</w:t>
      </w:r>
      <w:r>
        <w:rPr>
          <w:vertAlign w:val="superscript"/>
        </w:rPr>
        <w:footnoteReference w:id="14"/>
      </w:r>
      <w:r>
        <w:t xml:space="preserve"> However, there is no panacea to managing rapid tourism growth, and slow tourism is no exception. Potential “slower tourism” modalities – such as “base camps” – would need to be subject to impact assessments and mitigation measures to ensure that they do not inadvertently create greater impacts or problems than those it is trying to solve.</w:t>
      </w:r>
    </w:p>
    <w:p w14:paraId="2C1EEB8C" w14:textId="77777777" w:rsidR="00F84A63" w:rsidRDefault="00F84A63" w:rsidP="00F84A63">
      <w:pPr>
        <w:pBdr>
          <w:top w:val="nil"/>
          <w:left w:val="nil"/>
          <w:bottom w:val="nil"/>
          <w:right w:val="nil"/>
          <w:between w:val="nil"/>
        </w:pBdr>
        <w:spacing w:before="120" w:after="120"/>
      </w:pPr>
      <w:r>
        <w:t xml:space="preserve">Developing a new paradigm for lower-impact slow tourism would require a suite of policy actions that build on the existing corpus of Antarctic Treaty system instruments and previous experience but also go beyond those. Indeed, it requires the development of a “comprehensive framework” for Antarctic tourism. Important elements of this framework for ATCPs to consider would include: </w:t>
      </w:r>
    </w:p>
    <w:p w14:paraId="393F3280" w14:textId="77777777" w:rsidR="00F84A63" w:rsidRDefault="00F84A63" w:rsidP="00F84A63">
      <w:pPr>
        <w:numPr>
          <w:ilvl w:val="0"/>
          <w:numId w:val="21"/>
        </w:numPr>
        <w:pBdr>
          <w:top w:val="nil"/>
          <w:left w:val="nil"/>
          <w:bottom w:val="nil"/>
          <w:right w:val="nil"/>
          <w:between w:val="nil"/>
        </w:pBdr>
      </w:pPr>
      <w:r>
        <w:t>Encouraging low impact modalities of tourism – slow tourism being (only) one of them;</w:t>
      </w:r>
    </w:p>
    <w:p w14:paraId="48812DC5" w14:textId="77777777" w:rsidR="00F84A63" w:rsidRDefault="00F84A63" w:rsidP="00F84A63">
      <w:pPr>
        <w:numPr>
          <w:ilvl w:val="0"/>
          <w:numId w:val="21"/>
        </w:numPr>
        <w:pBdr>
          <w:top w:val="nil"/>
          <w:left w:val="nil"/>
          <w:bottom w:val="nil"/>
          <w:right w:val="nil"/>
          <w:between w:val="nil"/>
        </w:pBdr>
      </w:pPr>
      <w:r>
        <w:t>Ensuring consistent assessment of tourism activities;</w:t>
      </w:r>
    </w:p>
    <w:p w14:paraId="1EC5AD2B" w14:textId="77777777" w:rsidR="00F84A63" w:rsidRDefault="00F84A63" w:rsidP="00F84A63">
      <w:pPr>
        <w:numPr>
          <w:ilvl w:val="0"/>
          <w:numId w:val="21"/>
        </w:numPr>
        <w:pBdr>
          <w:top w:val="nil"/>
          <w:left w:val="nil"/>
          <w:bottom w:val="nil"/>
          <w:right w:val="nil"/>
          <w:between w:val="nil"/>
        </w:pBdr>
      </w:pPr>
      <w:r>
        <w:t>Developing dedicated programs for monitoring of tourism impacts;</w:t>
      </w:r>
    </w:p>
    <w:p w14:paraId="209112DB" w14:textId="77777777" w:rsidR="00F84A63" w:rsidRDefault="00F84A63" w:rsidP="00F84A63">
      <w:pPr>
        <w:numPr>
          <w:ilvl w:val="0"/>
          <w:numId w:val="21"/>
        </w:numPr>
        <w:pBdr>
          <w:top w:val="nil"/>
          <w:left w:val="nil"/>
          <w:bottom w:val="nil"/>
          <w:right w:val="nil"/>
          <w:between w:val="nil"/>
        </w:pBdr>
      </w:pPr>
      <w:r>
        <w:t>Expanding area protection under Annex V; and</w:t>
      </w:r>
    </w:p>
    <w:p w14:paraId="788D12ED" w14:textId="77777777" w:rsidR="00F84A63" w:rsidRPr="005B30A4" w:rsidRDefault="00F84A63" w:rsidP="00F84A63">
      <w:pPr>
        <w:numPr>
          <w:ilvl w:val="0"/>
          <w:numId w:val="21"/>
        </w:numPr>
        <w:pBdr>
          <w:top w:val="nil"/>
          <w:left w:val="nil"/>
          <w:bottom w:val="nil"/>
          <w:right w:val="nil"/>
          <w:between w:val="nil"/>
        </w:pBdr>
        <w:rPr>
          <w:rFonts w:ascii="Arial" w:eastAsia="Arial" w:hAnsi="Arial" w:cs="Arial"/>
          <w:b/>
          <w:i/>
          <w:sz w:val="24"/>
        </w:rPr>
      </w:pPr>
      <w:r>
        <w:t xml:space="preserve">Evaluating the effectiveness of existing tourism </w:t>
      </w:r>
      <w:sdt>
        <w:sdtPr>
          <w:tag w:val="goog_rdk_33"/>
          <w:id w:val="1759946790"/>
        </w:sdtPr>
        <w:sdtContent/>
      </w:sdt>
      <w:sdt>
        <w:sdtPr>
          <w:tag w:val="goog_rdk_34"/>
          <w:id w:val="703055974"/>
        </w:sdtPr>
        <w:sdtContent/>
      </w:sdt>
      <w:r>
        <w:t>regulation.</w:t>
      </w:r>
      <w:r>
        <w:br w:type="page"/>
      </w:r>
    </w:p>
    <w:p w14:paraId="571C1737" w14:textId="77777777" w:rsidR="00F84A63" w:rsidRDefault="00F84A63" w:rsidP="00F84A63">
      <w:pPr>
        <w:spacing w:before="360" w:after="120"/>
        <w:rPr>
          <w:rFonts w:ascii="Arial" w:eastAsia="Arial" w:hAnsi="Arial" w:cs="Arial"/>
          <w:b/>
          <w:i/>
          <w:sz w:val="24"/>
        </w:rPr>
      </w:pPr>
      <w:sdt>
        <w:sdtPr>
          <w:tag w:val="goog_rdk_35"/>
          <w:id w:val="1001090552"/>
        </w:sdtPr>
        <w:sdtContent/>
      </w:sdt>
      <w:r>
        <w:rPr>
          <w:rFonts w:ascii="Arial" w:eastAsia="Arial" w:hAnsi="Arial" w:cs="Arial"/>
          <w:b/>
          <w:i/>
          <w:sz w:val="24"/>
        </w:rPr>
        <w:t>References</w:t>
      </w:r>
    </w:p>
    <w:p w14:paraId="6BB38267" w14:textId="77777777" w:rsidR="00F84A63" w:rsidRDefault="00F84A63" w:rsidP="00F84A63">
      <w:pPr>
        <w:pBdr>
          <w:top w:val="nil"/>
          <w:left w:val="nil"/>
          <w:bottom w:val="nil"/>
          <w:right w:val="nil"/>
          <w:between w:val="nil"/>
        </w:pBdr>
        <w:spacing w:before="60" w:after="60"/>
        <w:ind w:left="720" w:hanging="720"/>
      </w:pPr>
      <w:r>
        <w:t xml:space="preserve">Antarctic and Southern Ocean Coalition (ASOC). 2018. </w:t>
      </w:r>
      <w:r>
        <w:rPr>
          <w:i/>
        </w:rPr>
        <w:t xml:space="preserve">Anticipated growth of Antarctic tourism. </w:t>
      </w:r>
      <w:r>
        <w:t>ATCM XLI - CEP XXI, IP061.</w:t>
      </w:r>
    </w:p>
    <w:p w14:paraId="609E990F" w14:textId="77777777" w:rsidR="00F84A63" w:rsidRDefault="00F84A63" w:rsidP="00F84A63">
      <w:pPr>
        <w:pBdr>
          <w:top w:val="nil"/>
          <w:left w:val="nil"/>
          <w:bottom w:val="nil"/>
          <w:right w:val="nil"/>
          <w:between w:val="nil"/>
        </w:pBdr>
        <w:spacing w:before="60" w:after="60"/>
        <w:ind w:left="720" w:hanging="720"/>
      </w:pPr>
      <w:r>
        <w:t xml:space="preserve">Antarctic and Southern Ocean Coalition (ASOC). 2019. </w:t>
      </w:r>
      <w:r>
        <w:rPr>
          <w:i/>
        </w:rPr>
        <w:t>Antarctic tourism: Using lessons learned to inform effective, proactive management</w:t>
      </w:r>
      <w:r>
        <w:t>. ATCM XLII – CEP XXII, IP128.</w:t>
      </w:r>
    </w:p>
    <w:p w14:paraId="3F62C72A" w14:textId="77777777" w:rsidR="00F84A63" w:rsidRDefault="00F84A63" w:rsidP="00F84A63">
      <w:pPr>
        <w:pBdr>
          <w:top w:val="nil"/>
          <w:left w:val="nil"/>
          <w:bottom w:val="nil"/>
          <w:right w:val="nil"/>
          <w:between w:val="nil"/>
        </w:pBdr>
        <w:spacing w:before="60" w:after="60"/>
        <w:ind w:left="720" w:hanging="720"/>
      </w:pPr>
      <w:r>
        <w:t xml:space="preserve">Antarctic and Southern Ocean Coalition (ASOC). 2022. </w:t>
      </w:r>
      <w:r>
        <w:rPr>
          <w:i/>
        </w:rPr>
        <w:t xml:space="preserve">Antarctic tourism policies after the “pandemic pause”. </w:t>
      </w:r>
      <w:r>
        <w:t>ATCM XLIV - CEP XXIV, IP091.</w:t>
      </w:r>
    </w:p>
    <w:p w14:paraId="4B7F739E" w14:textId="77777777" w:rsidR="00F84A63" w:rsidRDefault="00F84A63" w:rsidP="00F84A63">
      <w:pPr>
        <w:pBdr>
          <w:top w:val="nil"/>
          <w:left w:val="nil"/>
          <w:bottom w:val="nil"/>
          <w:right w:val="nil"/>
          <w:between w:val="nil"/>
        </w:pBdr>
        <w:spacing w:before="60" w:after="60"/>
        <w:ind w:left="720" w:hanging="720"/>
      </w:pPr>
      <w:r>
        <w:t xml:space="preserve">Cajiao, D. &amp; Leung. F.-F. 2022. Experiencing Antarcticness: Slow tourists, fast penguins and timeless landscapes. In: </w:t>
      </w:r>
      <w:r>
        <w:rPr>
          <w:i/>
        </w:rPr>
        <w:t xml:space="preserve">Antarcticness Inspirations and imaginaries. </w:t>
      </w:r>
      <w:r>
        <w:t>In:</w:t>
      </w:r>
      <w:r>
        <w:rPr>
          <w:i/>
        </w:rPr>
        <w:t xml:space="preserve"> </w:t>
      </w:r>
      <w:r>
        <w:t>Kelman, I. (editor). UCL press. pp. 210-223.-</w:t>
      </w:r>
    </w:p>
    <w:p w14:paraId="73835AAC" w14:textId="77777777" w:rsidR="00F84A63" w:rsidRDefault="00F84A63" w:rsidP="00F84A63">
      <w:pPr>
        <w:pBdr>
          <w:top w:val="nil"/>
          <w:left w:val="nil"/>
          <w:bottom w:val="nil"/>
          <w:right w:val="nil"/>
          <w:between w:val="nil"/>
        </w:pBdr>
        <w:spacing w:before="60" w:after="60"/>
        <w:ind w:left="720" w:hanging="720"/>
      </w:pPr>
      <w:r>
        <w:t>Hall, C.M. 2009. Degrowing Tourism: Décroissance, sustainable consumption and steady-state tourism, </w:t>
      </w:r>
      <w:r w:rsidRPr="002256E9">
        <w:rPr>
          <w:i/>
          <w:iCs/>
        </w:rPr>
        <w:t>Anatolia,</w:t>
      </w:r>
      <w:r>
        <w:t> 20:1, 46-61, DOI: </w:t>
      </w:r>
      <w:hyperlink r:id="rId11">
        <w:r>
          <w:t>10.1080/13032917.2009.10518894</w:t>
        </w:r>
      </w:hyperlink>
    </w:p>
    <w:p w14:paraId="113A765E" w14:textId="77777777" w:rsidR="00F84A63" w:rsidRPr="00F84A63" w:rsidRDefault="00F84A63" w:rsidP="00F84A63">
      <w:pPr>
        <w:pBdr>
          <w:top w:val="nil"/>
          <w:left w:val="nil"/>
          <w:bottom w:val="nil"/>
          <w:right w:val="nil"/>
          <w:between w:val="nil"/>
        </w:pBdr>
        <w:spacing w:before="60" w:after="60"/>
        <w:ind w:left="720" w:hanging="720"/>
      </w:pPr>
      <w:r w:rsidRPr="002256E9">
        <w:rPr>
          <w:lang w:val="de-DE"/>
        </w:rPr>
        <w:t xml:space="preserve">Klarin, A., Park, E. , Xiao, Q., </w:t>
      </w:r>
      <w:r>
        <w:rPr>
          <w:lang w:val="de-DE"/>
        </w:rPr>
        <w:t xml:space="preserve"> &amp; </w:t>
      </w:r>
      <w:r w:rsidRPr="002256E9">
        <w:rPr>
          <w:lang w:val="de-DE"/>
        </w:rPr>
        <w:t>Kim,</w:t>
      </w:r>
      <w:r>
        <w:rPr>
          <w:lang w:val="de-DE"/>
        </w:rPr>
        <w:t xml:space="preserve"> S. 2023. </w:t>
      </w:r>
      <w:r>
        <w:t xml:space="preserve">Time to transform the way we travel?: A conceptual framework for slow tourism and travel research. </w:t>
      </w:r>
      <w:r w:rsidRPr="00F84A63">
        <w:rPr>
          <w:i/>
          <w:iCs/>
        </w:rPr>
        <w:t>Tourism Management Perspectives</w:t>
      </w:r>
      <w:r w:rsidRPr="00F84A63">
        <w:t xml:space="preserve"> 46. https://doi.org/10.1016/j.tmp.2023.101100.</w:t>
      </w:r>
      <w:r w:rsidRPr="00F84A63" w:rsidDel="005416C7">
        <w:t xml:space="preserve"> </w:t>
      </w:r>
    </w:p>
    <w:p w14:paraId="0ADBAD9F" w14:textId="77777777" w:rsidR="00F84A63" w:rsidRDefault="00F84A63" w:rsidP="00F84A63">
      <w:pPr>
        <w:pBdr>
          <w:top w:val="nil"/>
          <w:left w:val="nil"/>
          <w:bottom w:val="nil"/>
          <w:right w:val="nil"/>
          <w:between w:val="nil"/>
        </w:pBdr>
        <w:spacing w:before="60" w:after="60"/>
        <w:ind w:left="720" w:hanging="720"/>
      </w:pPr>
      <w:r>
        <w:t xml:space="preserve">Lowry, L. L. &amp; Lee, M., "CittaSlow, slow sities, slow food: Searching for a model for the development of slow Tourism" (2016). </w:t>
      </w:r>
      <w:r>
        <w:rPr>
          <w:i/>
        </w:rPr>
        <w:t>Travel and Tourism Research Association: Advancing Tourism Research Globally</w:t>
      </w:r>
      <w:r>
        <w:t xml:space="preserve">. 40. </w:t>
      </w:r>
      <w:hyperlink r:id="rId12">
        <w:r>
          <w:rPr>
            <w:color w:val="660000"/>
            <w:u w:val="single"/>
          </w:rPr>
          <w:t>https://scholarworks.umass.edu/ttra/2011/Visual/40</w:t>
        </w:r>
      </w:hyperlink>
    </w:p>
    <w:p w14:paraId="28A06C74" w14:textId="77777777" w:rsidR="00F84A63" w:rsidRDefault="00F84A63" w:rsidP="00F84A63">
      <w:pPr>
        <w:pBdr>
          <w:top w:val="nil"/>
          <w:left w:val="nil"/>
          <w:bottom w:val="nil"/>
          <w:right w:val="nil"/>
          <w:between w:val="nil"/>
        </w:pBdr>
        <w:spacing w:before="60" w:after="60"/>
        <w:ind w:left="720" w:hanging="720"/>
      </w:pPr>
      <w:r>
        <w:t xml:space="preserve">Matos, R. (2004). Can slow tourism bring new life to Alpine regions? In K. Weiermair &amp; C. Mathies (Eds.), </w:t>
      </w:r>
      <w:r>
        <w:rPr>
          <w:i/>
        </w:rPr>
        <w:t>The tourism and leisure industry: Shaping the future</w:t>
      </w:r>
      <w:r>
        <w:t xml:space="preserve"> (pp. 93-103). London: Hawthorn Hospitality Press.</w:t>
      </w:r>
    </w:p>
    <w:p w14:paraId="2D6D60C1" w14:textId="77777777" w:rsidR="00F84A63" w:rsidRPr="002256E9" w:rsidRDefault="00F84A63" w:rsidP="00F84A63">
      <w:pPr>
        <w:pBdr>
          <w:top w:val="nil"/>
          <w:left w:val="nil"/>
          <w:bottom w:val="nil"/>
          <w:right w:val="nil"/>
          <w:between w:val="nil"/>
        </w:pBdr>
        <w:spacing w:before="60" w:after="60"/>
        <w:ind w:left="720" w:hanging="720"/>
        <w:rPr>
          <w:lang w:val="en-US"/>
        </w:rPr>
      </w:pPr>
      <w:r w:rsidRPr="002256E9">
        <w:rPr>
          <w:lang w:val="it-IT"/>
        </w:rPr>
        <w:t xml:space="preserve">Roura, R.M. &amp; Gallo, N. </w:t>
      </w:r>
      <w:r w:rsidRPr="002256E9">
        <w:rPr>
          <w:lang w:val="en-US"/>
        </w:rPr>
        <w:t xml:space="preserve">(in prep.) </w:t>
      </w:r>
      <w:r w:rsidRPr="00C60884">
        <w:rPr>
          <w:i/>
          <w:iCs/>
          <w:lang w:val="en-US"/>
        </w:rPr>
        <w:t>Antarctic slow tourism</w:t>
      </w:r>
    </w:p>
    <w:p w14:paraId="582591F2" w14:textId="77777777" w:rsidR="00F84A63" w:rsidRDefault="00F84A63" w:rsidP="00F84A63">
      <w:pPr>
        <w:pBdr>
          <w:top w:val="nil"/>
          <w:left w:val="nil"/>
          <w:bottom w:val="nil"/>
          <w:right w:val="nil"/>
          <w:between w:val="nil"/>
        </w:pBdr>
        <w:spacing w:before="60" w:after="60"/>
        <w:ind w:left="720" w:hanging="720"/>
      </w:pPr>
      <w:r>
        <w:t xml:space="preserve">Roura, R.M. 2012. Being there: Examining the behaviour of Antarctic tourists through their blogs. </w:t>
      </w:r>
      <w:r>
        <w:rPr>
          <w:i/>
        </w:rPr>
        <w:t>Polar Research</w:t>
      </w:r>
      <w:r>
        <w:t> 31, 10905, http://dx.doi.org/10.3402/polar.v31i0.10905</w:t>
      </w:r>
    </w:p>
    <w:p w14:paraId="345CD5D8" w14:textId="77777777" w:rsidR="00F84A63" w:rsidRDefault="00F84A63" w:rsidP="00F84A63">
      <w:pPr>
        <w:pBdr>
          <w:top w:val="nil"/>
          <w:left w:val="nil"/>
          <w:bottom w:val="nil"/>
          <w:right w:val="nil"/>
          <w:between w:val="nil"/>
        </w:pBdr>
        <w:spacing w:before="60" w:after="60"/>
        <w:ind w:left="720" w:hanging="720"/>
      </w:pPr>
    </w:p>
    <w:p w14:paraId="68848CA5" w14:textId="77777777" w:rsidR="00F84A63" w:rsidRDefault="00F84A63" w:rsidP="00F84A63">
      <w:pPr>
        <w:pBdr>
          <w:top w:val="nil"/>
          <w:left w:val="nil"/>
          <w:bottom w:val="nil"/>
          <w:right w:val="nil"/>
          <w:between w:val="nil"/>
        </w:pBdr>
        <w:spacing w:before="60" w:after="60"/>
        <w:ind w:left="720" w:hanging="720"/>
      </w:pPr>
    </w:p>
    <w:p w14:paraId="4014733A" w14:textId="77777777" w:rsidR="00F84A63" w:rsidRDefault="00F84A63" w:rsidP="00F84A63">
      <w:pPr>
        <w:pBdr>
          <w:top w:val="nil"/>
          <w:left w:val="nil"/>
          <w:bottom w:val="nil"/>
          <w:right w:val="nil"/>
          <w:between w:val="nil"/>
        </w:pBdr>
        <w:spacing w:before="60" w:after="60"/>
        <w:ind w:left="720" w:hanging="720"/>
        <w:rPr>
          <w:sz w:val="21"/>
          <w:szCs w:val="21"/>
        </w:rPr>
      </w:pPr>
    </w:p>
    <w:p w14:paraId="3FBA5F0A" w14:textId="77777777" w:rsidR="00F84A63" w:rsidRDefault="00F84A63" w:rsidP="00952E9F"/>
    <w:sectPr w:rsidR="00F84A63"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E5F4D" w14:textId="77777777" w:rsidR="00000000" w:rsidRDefault="00F84A63">
      <w:r>
        <w:separator/>
      </w:r>
    </w:p>
  </w:endnote>
  <w:endnote w:type="continuationSeparator" w:id="0">
    <w:p w14:paraId="32D245B1" w14:textId="77777777" w:rsidR="00000000" w:rsidRDefault="00F8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DF33B" w14:textId="77777777" w:rsidR="00FA0B9F" w:rsidRDefault="00F84A63" w:rsidP="00CF5C82">
    <w:pPr>
      <w:framePr w:wrap="around" w:vAnchor="text" w:hAnchor="margin" w:xAlign="right" w:y="1"/>
    </w:pPr>
    <w:r>
      <w:fldChar w:fldCharType="begin"/>
    </w:r>
    <w:r>
      <w:instrText xml:space="preserve">PAGE  </w:instrText>
    </w:r>
    <w:r>
      <w:fldChar w:fldCharType="separate"/>
    </w:r>
    <w:r>
      <w:fldChar w:fldCharType="end"/>
    </w:r>
  </w:p>
  <w:p w14:paraId="1688E9E4" w14:textId="77777777" w:rsidR="00FA0B9F" w:rsidRDefault="00F84A6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BED5" w14:textId="77777777" w:rsidR="00FA0B9F" w:rsidRDefault="00F84A6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9469E09" w14:textId="5D8947BF" w:rsidR="00FA0B9F" w:rsidRDefault="00F84A63" w:rsidP="00F84A6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9021" w14:textId="77777777" w:rsidR="00E311C9" w:rsidRDefault="00F84A6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B003648" w14:textId="77777777" w:rsidR="00E311C9" w:rsidRDefault="00F84A6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3A952" w14:textId="77777777" w:rsidR="00000000" w:rsidRDefault="00F84A63">
      <w:r>
        <w:separator/>
      </w:r>
    </w:p>
  </w:footnote>
  <w:footnote w:type="continuationSeparator" w:id="0">
    <w:p w14:paraId="52DCB86C" w14:textId="77777777" w:rsidR="00000000" w:rsidRDefault="00F84A63">
      <w:r>
        <w:continuationSeparator/>
      </w:r>
    </w:p>
  </w:footnote>
  <w:footnote w:id="1">
    <w:p w14:paraId="6B955760" w14:textId="77777777" w:rsidR="00F84A63" w:rsidRDefault="00F84A63" w:rsidP="00F84A63">
      <w:pPr>
        <w:rPr>
          <w:color w:val="222222"/>
          <w:sz w:val="20"/>
          <w:szCs w:val="20"/>
          <w:highlight w:val="white"/>
        </w:rPr>
      </w:pPr>
      <w:r>
        <w:rPr>
          <w:rStyle w:val="Refdenotaalpie"/>
        </w:rPr>
        <w:footnoteRef/>
      </w:r>
      <w:r>
        <w:rPr>
          <w:color w:val="222222"/>
          <w:sz w:val="20"/>
          <w:szCs w:val="20"/>
          <w:highlight w:val="white"/>
        </w:rPr>
        <w:t>ATCM XLIV Final Report, paragraphs 314-316. ASOC introduced an earlier version of this paper at the informal workshop “The future of Antarctic tourism: towards a strategic vision and policy” jointly convened by France and the Netherlands (8-10 March 2023, Paris).</w:t>
      </w:r>
    </w:p>
  </w:footnote>
  <w:footnote w:id="2">
    <w:p w14:paraId="5B45FFE0" w14:textId="77777777" w:rsidR="00F84A63" w:rsidRDefault="00F84A63" w:rsidP="00F84A63">
      <w:pPr>
        <w:pBdr>
          <w:top w:val="nil"/>
          <w:left w:val="nil"/>
          <w:bottom w:val="nil"/>
          <w:right w:val="nil"/>
          <w:between w:val="nil"/>
        </w:pBdr>
        <w:rPr>
          <w:color w:val="000000"/>
          <w:sz w:val="20"/>
          <w:szCs w:val="20"/>
        </w:rPr>
      </w:pPr>
      <w:r>
        <w:rPr>
          <w:rStyle w:val="Refdenotaalpie"/>
        </w:rPr>
        <w:footnoteRef/>
      </w:r>
      <w:r>
        <w:rPr>
          <w:color w:val="000000"/>
          <w:sz w:val="20"/>
          <w:szCs w:val="20"/>
        </w:rPr>
        <w:t xml:space="preserve"> See also ASOC 2018, 2019, 2022.</w:t>
      </w:r>
    </w:p>
  </w:footnote>
  <w:footnote w:id="3">
    <w:p w14:paraId="277613E9" w14:textId="77777777" w:rsidR="00F84A63" w:rsidRDefault="00F84A63" w:rsidP="00F84A63">
      <w:pPr>
        <w:pBdr>
          <w:top w:val="nil"/>
          <w:left w:val="nil"/>
          <w:bottom w:val="nil"/>
          <w:right w:val="nil"/>
          <w:between w:val="nil"/>
        </w:pBdr>
        <w:rPr>
          <w:color w:val="000000"/>
          <w:sz w:val="20"/>
          <w:szCs w:val="20"/>
        </w:rPr>
      </w:pPr>
      <w:r>
        <w:rPr>
          <w:rStyle w:val="Refdenotaalpie"/>
        </w:rPr>
        <w:footnoteRef/>
      </w:r>
      <w:r>
        <w:rPr>
          <w:color w:val="000000"/>
          <w:sz w:val="20"/>
          <w:szCs w:val="20"/>
        </w:rPr>
        <w:t xml:space="preserve"> Klarin et al, 2023. </w:t>
      </w:r>
    </w:p>
  </w:footnote>
  <w:footnote w:id="4">
    <w:p w14:paraId="77E69BD2" w14:textId="77777777" w:rsidR="00F84A63" w:rsidRDefault="00F84A63" w:rsidP="00F84A63">
      <w:pPr>
        <w:rPr>
          <w:sz w:val="20"/>
          <w:szCs w:val="20"/>
        </w:rPr>
      </w:pPr>
      <w:r>
        <w:rPr>
          <w:rStyle w:val="Refdenotaalpie"/>
        </w:rPr>
        <w:footnoteRef/>
      </w:r>
      <w:r>
        <w:rPr>
          <w:sz w:val="20"/>
          <w:szCs w:val="20"/>
        </w:rPr>
        <w:t xml:space="preserve"> </w:t>
      </w:r>
      <w:r>
        <w:rPr>
          <w:color w:val="000000"/>
          <w:sz w:val="20"/>
          <w:szCs w:val="20"/>
        </w:rPr>
        <w:t>Cajiao &amp; Leung (2022) suggest that the inherent challenges of voyaging in the polar environment “may facilitate what the academic literature refers to as a slow tourism experience”.</w:t>
      </w:r>
    </w:p>
  </w:footnote>
  <w:footnote w:id="5">
    <w:p w14:paraId="64F4C0BF" w14:textId="77777777" w:rsidR="00F84A63" w:rsidRPr="002256E9" w:rsidRDefault="00F84A63" w:rsidP="00F84A63">
      <w:pPr>
        <w:rPr>
          <w:color w:val="000000"/>
          <w:sz w:val="20"/>
          <w:szCs w:val="20"/>
        </w:rPr>
      </w:pPr>
      <w:r>
        <w:rPr>
          <w:rStyle w:val="Refdenotaalpie"/>
        </w:rPr>
        <w:footnoteRef/>
      </w:r>
      <w:r>
        <w:rPr>
          <w:sz w:val="20"/>
          <w:szCs w:val="20"/>
        </w:rPr>
        <w:t xml:space="preserve"> IAATO bylaws</w:t>
      </w:r>
      <w:r w:rsidRPr="002256E9">
        <w:rPr>
          <w:color w:val="000000"/>
          <w:sz w:val="20"/>
          <w:szCs w:val="20"/>
        </w:rPr>
        <w:t>, II - Section H</w:t>
      </w:r>
      <w:r>
        <w:rPr>
          <w:color w:val="000000"/>
          <w:sz w:val="20"/>
          <w:szCs w:val="20"/>
        </w:rPr>
        <w:t xml:space="preserve"> – “</w:t>
      </w:r>
      <w:r w:rsidRPr="002256E9">
        <w:rPr>
          <w:color w:val="000000"/>
          <w:sz w:val="20"/>
          <w:szCs w:val="20"/>
        </w:rPr>
        <w:t>To create a corps of ambassadors for the continued protection of Antarctica through education and the opportunity to experience the continent first hand.</w:t>
      </w:r>
      <w:r>
        <w:rPr>
          <w:color w:val="000000"/>
          <w:sz w:val="20"/>
          <w:szCs w:val="20"/>
        </w:rPr>
        <w:t xml:space="preserve">” </w:t>
      </w:r>
      <w:r w:rsidRPr="005416C7">
        <w:rPr>
          <w:color w:val="000000"/>
          <w:sz w:val="20"/>
          <w:szCs w:val="20"/>
        </w:rPr>
        <w:t>https://iaato.org/about-iaato/our-mission/bylaws/</w:t>
      </w:r>
      <w:r>
        <w:rPr>
          <w:color w:val="000000"/>
          <w:sz w:val="20"/>
          <w:szCs w:val="20"/>
        </w:rPr>
        <w:t>.</w:t>
      </w:r>
    </w:p>
  </w:footnote>
  <w:footnote w:id="6">
    <w:p w14:paraId="1C934A29" w14:textId="77777777" w:rsidR="00F84A63" w:rsidRPr="00BD4E81" w:rsidRDefault="00F84A63" w:rsidP="00F84A63">
      <w:pPr>
        <w:pBdr>
          <w:top w:val="nil"/>
          <w:left w:val="nil"/>
          <w:bottom w:val="nil"/>
          <w:right w:val="nil"/>
          <w:between w:val="nil"/>
        </w:pBdr>
        <w:rPr>
          <w:color w:val="000000"/>
          <w:sz w:val="20"/>
          <w:szCs w:val="20"/>
        </w:rPr>
      </w:pPr>
      <w:r>
        <w:rPr>
          <w:rStyle w:val="Refdenotaalpie"/>
        </w:rPr>
        <w:footnoteRef/>
      </w:r>
      <w:r w:rsidRPr="00614D70">
        <w:rPr>
          <w:sz w:val="20"/>
          <w:szCs w:val="20"/>
          <w:lang w:val="en-US"/>
        </w:rPr>
        <w:t xml:space="preserve"> </w:t>
      </w:r>
      <w:r w:rsidRPr="00614D70">
        <w:rPr>
          <w:color w:val="000000"/>
          <w:sz w:val="20"/>
          <w:szCs w:val="20"/>
          <w:lang w:val="es-AR"/>
        </w:rPr>
        <w:fldChar w:fldCharType="begin"/>
      </w:r>
      <w:r w:rsidRPr="00614D70">
        <w:rPr>
          <w:color w:val="000000"/>
          <w:sz w:val="20"/>
          <w:szCs w:val="20"/>
          <w:lang w:val="en-US"/>
        </w:rPr>
        <w:instrText xml:space="preserve"> HYPERLINK "https://www.ats.aq/devAS/Meetings/Measure/448" </w:instrText>
      </w:r>
      <w:r w:rsidRPr="00614D70">
        <w:rPr>
          <w:color w:val="000000"/>
          <w:sz w:val="20"/>
          <w:szCs w:val="20"/>
          <w:lang w:val="es-AR"/>
        </w:rPr>
      </w:r>
      <w:r w:rsidRPr="00614D70">
        <w:rPr>
          <w:color w:val="000000"/>
          <w:sz w:val="20"/>
          <w:szCs w:val="20"/>
          <w:lang w:val="es-AR"/>
        </w:rPr>
        <w:fldChar w:fldCharType="separate"/>
      </w:r>
      <w:r w:rsidRPr="00BD4E81">
        <w:rPr>
          <w:color w:val="000000"/>
          <w:sz w:val="20"/>
          <w:szCs w:val="20"/>
        </w:rPr>
        <w:t>Resolution 7 (2009) - ATCM XXXII - CEP XII, Baltimore.</w:t>
      </w:r>
    </w:p>
    <w:p w14:paraId="5990DA83" w14:textId="77777777" w:rsidR="00F84A63" w:rsidRPr="00BD4E81" w:rsidRDefault="00F84A63" w:rsidP="00F84A63">
      <w:pPr>
        <w:pBdr>
          <w:top w:val="nil"/>
          <w:left w:val="nil"/>
          <w:bottom w:val="nil"/>
          <w:right w:val="nil"/>
          <w:between w:val="nil"/>
        </w:pBdr>
        <w:rPr>
          <w:color w:val="000000"/>
          <w:sz w:val="20"/>
          <w:szCs w:val="20"/>
        </w:rPr>
      </w:pPr>
      <w:r w:rsidRPr="00614D70">
        <w:rPr>
          <w:color w:val="000000"/>
          <w:sz w:val="20"/>
          <w:szCs w:val="20"/>
          <w:lang w:val="es-AR"/>
        </w:rPr>
        <w:fldChar w:fldCharType="end"/>
      </w:r>
    </w:p>
  </w:footnote>
  <w:footnote w:id="7">
    <w:p w14:paraId="251BC8B4" w14:textId="77777777" w:rsidR="00F84A63" w:rsidRPr="00614D70" w:rsidRDefault="00F84A63" w:rsidP="00F84A63">
      <w:pPr>
        <w:pBdr>
          <w:top w:val="nil"/>
          <w:left w:val="nil"/>
          <w:bottom w:val="nil"/>
          <w:right w:val="nil"/>
          <w:between w:val="nil"/>
        </w:pBdr>
        <w:rPr>
          <w:color w:val="000000"/>
          <w:sz w:val="20"/>
          <w:szCs w:val="20"/>
          <w:lang w:val="es-AR"/>
        </w:rPr>
      </w:pPr>
      <w:r>
        <w:rPr>
          <w:rStyle w:val="Refdenotaalpie"/>
        </w:rPr>
        <w:footnoteRef/>
      </w:r>
      <w:r w:rsidRPr="00614D70">
        <w:rPr>
          <w:color w:val="000000"/>
          <w:sz w:val="20"/>
          <w:szCs w:val="20"/>
          <w:lang w:val="es-AR"/>
        </w:rPr>
        <w:t xml:space="preserve"> Lowry &amp; Lee, 2016; Calzati &amp; de Salvo, 2018.</w:t>
      </w:r>
    </w:p>
  </w:footnote>
  <w:footnote w:id="8">
    <w:p w14:paraId="35EF778F" w14:textId="77777777" w:rsidR="00F84A63" w:rsidRPr="005A62D4" w:rsidRDefault="00F84A63" w:rsidP="00F84A63">
      <w:pPr>
        <w:pBdr>
          <w:top w:val="nil"/>
          <w:left w:val="nil"/>
          <w:bottom w:val="nil"/>
          <w:right w:val="nil"/>
          <w:between w:val="nil"/>
        </w:pBdr>
        <w:rPr>
          <w:color w:val="000000"/>
          <w:sz w:val="20"/>
          <w:szCs w:val="20"/>
          <w:lang w:val="it-IT"/>
        </w:rPr>
      </w:pPr>
      <w:r>
        <w:rPr>
          <w:rStyle w:val="Refdenotaalpie"/>
        </w:rPr>
        <w:footnoteRef/>
      </w:r>
      <w:r w:rsidRPr="005A62D4">
        <w:rPr>
          <w:color w:val="000000"/>
          <w:sz w:val="20"/>
          <w:szCs w:val="20"/>
          <w:lang w:val="it-IT"/>
        </w:rPr>
        <w:t xml:space="preserve"> Calzati &amp; de Salvo, 2018.</w:t>
      </w:r>
    </w:p>
  </w:footnote>
  <w:footnote w:id="9">
    <w:p w14:paraId="3ECA7E71" w14:textId="77777777" w:rsidR="00F84A63" w:rsidRPr="00F84A63" w:rsidRDefault="00F84A63" w:rsidP="00F84A63">
      <w:pPr>
        <w:rPr>
          <w:sz w:val="20"/>
          <w:szCs w:val="20"/>
          <w:lang w:val="es-AR"/>
        </w:rPr>
      </w:pPr>
      <w:r>
        <w:rPr>
          <w:rStyle w:val="Refdenotaalpie"/>
        </w:rPr>
        <w:footnoteRef/>
      </w:r>
      <w:r w:rsidRPr="00F84A63">
        <w:rPr>
          <w:sz w:val="20"/>
          <w:szCs w:val="20"/>
          <w:lang w:val="es-AR"/>
        </w:rPr>
        <w:t xml:space="preserve"> Matos, 2004.</w:t>
      </w:r>
    </w:p>
  </w:footnote>
  <w:footnote w:id="10">
    <w:p w14:paraId="7961988D" w14:textId="77777777" w:rsidR="00F84A63" w:rsidRPr="00F84A63" w:rsidRDefault="00F84A63" w:rsidP="00F84A63">
      <w:pPr>
        <w:pBdr>
          <w:top w:val="nil"/>
          <w:left w:val="nil"/>
          <w:bottom w:val="nil"/>
          <w:right w:val="nil"/>
          <w:between w:val="nil"/>
        </w:pBdr>
        <w:rPr>
          <w:color w:val="000000"/>
          <w:sz w:val="20"/>
          <w:szCs w:val="20"/>
          <w:lang w:val="es-AR"/>
        </w:rPr>
      </w:pPr>
      <w:r>
        <w:rPr>
          <w:rStyle w:val="Refdenotaalpie"/>
        </w:rPr>
        <w:footnoteRef/>
      </w:r>
      <w:r w:rsidRPr="00F84A63">
        <w:rPr>
          <w:color w:val="000000"/>
          <w:sz w:val="20"/>
          <w:szCs w:val="20"/>
          <w:lang w:val="es-AR"/>
        </w:rPr>
        <w:t xml:space="preserve"> Lowry &amp; Lee , 2016 and references</w:t>
      </w:r>
      <w:r w:rsidRPr="00F84A63">
        <w:rPr>
          <w:color w:val="C00000"/>
          <w:sz w:val="20"/>
          <w:szCs w:val="20"/>
          <w:lang w:val="es-AR"/>
        </w:rPr>
        <w:t>.</w:t>
      </w:r>
    </w:p>
  </w:footnote>
  <w:footnote w:id="11">
    <w:p w14:paraId="302661D1" w14:textId="77777777" w:rsidR="00F84A63" w:rsidRPr="005A62D4" w:rsidRDefault="00F84A63" w:rsidP="00F84A63">
      <w:pPr>
        <w:rPr>
          <w:sz w:val="20"/>
          <w:szCs w:val="20"/>
          <w:lang w:val="it-IT"/>
        </w:rPr>
      </w:pPr>
      <w:r>
        <w:rPr>
          <w:rStyle w:val="Refdenotaalpie"/>
        </w:rPr>
        <w:footnoteRef/>
      </w:r>
      <w:r w:rsidRPr="005A62D4">
        <w:rPr>
          <w:sz w:val="20"/>
          <w:szCs w:val="20"/>
          <w:lang w:val="it-IT"/>
        </w:rPr>
        <w:t xml:space="preserve"> Matos, 2004; Hall, 2009; Calzati &amp; di Salvo, 2018.</w:t>
      </w:r>
    </w:p>
  </w:footnote>
  <w:footnote w:id="12">
    <w:p w14:paraId="4B836DDC" w14:textId="77777777" w:rsidR="00F84A63" w:rsidRDefault="00F84A63" w:rsidP="00F84A63">
      <w:pPr>
        <w:pBdr>
          <w:top w:val="nil"/>
          <w:left w:val="nil"/>
          <w:bottom w:val="nil"/>
          <w:right w:val="nil"/>
          <w:between w:val="nil"/>
        </w:pBdr>
        <w:rPr>
          <w:color w:val="000000"/>
          <w:sz w:val="20"/>
          <w:szCs w:val="20"/>
        </w:rPr>
      </w:pPr>
      <w:r>
        <w:rPr>
          <w:rStyle w:val="Refdenotaalpie"/>
        </w:rPr>
        <w:footnoteRef/>
      </w:r>
      <w:r>
        <w:rPr>
          <w:color w:val="000000"/>
          <w:sz w:val="20"/>
          <w:szCs w:val="20"/>
        </w:rPr>
        <w:t xml:space="preserve"> See e.g. Roura, 2012.</w:t>
      </w:r>
    </w:p>
  </w:footnote>
  <w:footnote w:id="13">
    <w:p w14:paraId="0C1A7016" w14:textId="77777777" w:rsidR="00F84A63" w:rsidRDefault="00F84A63" w:rsidP="00F84A63">
      <w:pPr>
        <w:pBdr>
          <w:top w:val="nil"/>
          <w:left w:val="nil"/>
          <w:bottom w:val="nil"/>
          <w:right w:val="nil"/>
          <w:between w:val="nil"/>
        </w:pBdr>
        <w:rPr>
          <w:color w:val="000000"/>
          <w:sz w:val="20"/>
          <w:szCs w:val="20"/>
        </w:rPr>
      </w:pPr>
      <w:r>
        <w:rPr>
          <w:rStyle w:val="Refdenotaalpie"/>
        </w:rPr>
        <w:footnoteRef/>
      </w:r>
      <w:r>
        <w:rPr>
          <w:color w:val="000000"/>
          <w:sz w:val="20"/>
          <w:szCs w:val="20"/>
        </w:rPr>
        <w:t xml:space="preserve"> https://oceanwide-expeditions.com/to-do/outdoor-activities/basecamp-trips.</w:t>
      </w:r>
    </w:p>
  </w:footnote>
  <w:footnote w:id="14">
    <w:p w14:paraId="6D4AA354" w14:textId="77777777" w:rsidR="00F84A63" w:rsidRDefault="00F84A63" w:rsidP="00F84A63">
      <w:pPr>
        <w:pBdr>
          <w:top w:val="nil"/>
          <w:left w:val="nil"/>
          <w:bottom w:val="nil"/>
          <w:right w:val="nil"/>
          <w:between w:val="nil"/>
        </w:pBdr>
        <w:rPr>
          <w:color w:val="000000"/>
          <w:sz w:val="20"/>
          <w:szCs w:val="20"/>
        </w:rPr>
      </w:pPr>
      <w:r>
        <w:rPr>
          <w:rStyle w:val="Refdenotaalpie"/>
        </w:rPr>
        <w:footnoteRef/>
      </w:r>
      <w:r>
        <w:rPr>
          <w:color w:val="000000"/>
          <w:sz w:val="20"/>
          <w:szCs w:val="20"/>
        </w:rPr>
        <w:t xml:space="preserve"> Roura &amp; Gallo, in prep.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120ADF" w14:paraId="7A858134" w14:textId="77777777" w:rsidTr="002E12EC">
      <w:trPr>
        <w:trHeight w:val="344"/>
        <w:jc w:val="center"/>
      </w:trPr>
      <w:tc>
        <w:tcPr>
          <w:tcW w:w="5495" w:type="dxa"/>
        </w:tcPr>
        <w:p w14:paraId="48FEE256" w14:textId="77777777" w:rsidR="00DB7C09" w:rsidRDefault="00F84A63" w:rsidP="00F968D4"/>
      </w:tc>
      <w:tc>
        <w:tcPr>
          <w:tcW w:w="4253" w:type="dxa"/>
          <w:gridSpan w:val="2"/>
        </w:tcPr>
        <w:p w14:paraId="753DDB59" w14:textId="77777777" w:rsidR="00DB7C09" w:rsidRPr="00BD47E4" w:rsidRDefault="00F84A63" w:rsidP="002A07BC">
          <w:pPr>
            <w:jc w:val="right"/>
            <w:rPr>
              <w:b/>
              <w:sz w:val="32"/>
              <w:szCs w:val="32"/>
            </w:rPr>
          </w:pPr>
          <w:bookmarkStart w:id="2" w:name="type"/>
          <w:r w:rsidRPr="00BD47E4">
            <w:rPr>
              <w:b/>
              <w:sz w:val="32"/>
              <w:szCs w:val="32"/>
            </w:rPr>
            <w:t>IP</w:t>
          </w:r>
          <w:bookmarkEnd w:id="2"/>
        </w:p>
      </w:tc>
      <w:tc>
        <w:tcPr>
          <w:tcW w:w="1524" w:type="dxa"/>
          <w:gridSpan w:val="2"/>
        </w:tcPr>
        <w:p w14:paraId="6114EAED" w14:textId="77777777" w:rsidR="00DB7C09" w:rsidRPr="00BD47E4" w:rsidRDefault="00F84A63" w:rsidP="00DB7C09">
          <w:pPr>
            <w:rPr>
              <w:b/>
              <w:sz w:val="32"/>
              <w:szCs w:val="32"/>
            </w:rPr>
          </w:pPr>
          <w:bookmarkStart w:id="3" w:name="number"/>
          <w:r w:rsidRPr="00BD47E4">
            <w:rPr>
              <w:b/>
              <w:sz w:val="32"/>
              <w:szCs w:val="32"/>
            </w:rPr>
            <w:t>116</w:t>
          </w:r>
          <w:bookmarkEnd w:id="3"/>
        </w:p>
      </w:tc>
    </w:tr>
    <w:tr w:rsidR="00120ADF" w14:paraId="78EC7521" w14:textId="77777777" w:rsidTr="002E12EC">
      <w:trPr>
        <w:trHeight w:val="2165"/>
        <w:jc w:val="center"/>
      </w:trPr>
      <w:tc>
        <w:tcPr>
          <w:tcW w:w="5495" w:type="dxa"/>
        </w:tcPr>
        <w:p w14:paraId="6EBA9270" w14:textId="77777777" w:rsidR="00490760" w:rsidRPr="00EE4D48" w:rsidRDefault="00F84A63" w:rsidP="002A07BC">
          <w:pPr>
            <w:rPr>
              <w:b/>
              <w:sz w:val="28"/>
              <w:szCs w:val="28"/>
            </w:rPr>
          </w:pPr>
          <w:r>
            <w:rPr>
              <w:noProof/>
            </w:rPr>
            <w:drawing>
              <wp:inline distT="0" distB="0" distL="0" distR="0" wp14:anchorId="5EE1FE77" wp14:editId="1EEC0BC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5107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690B7EB" w14:textId="77777777" w:rsidR="00490760" w:rsidRPr="00FE5146" w:rsidRDefault="00F84A63" w:rsidP="00490760">
          <w:pPr>
            <w:jc w:val="right"/>
            <w:rPr>
              <w:sz w:val="144"/>
              <w:szCs w:val="144"/>
            </w:rPr>
          </w:pPr>
          <w:r w:rsidRPr="00FE5146">
            <w:rPr>
              <w:sz w:val="144"/>
              <w:szCs w:val="144"/>
            </w:rPr>
            <w:t>ENG</w:t>
          </w:r>
        </w:p>
      </w:tc>
    </w:tr>
    <w:tr w:rsidR="00120ADF" w14:paraId="1AA636EB" w14:textId="77777777" w:rsidTr="002E12EC">
      <w:trPr>
        <w:trHeight w:val="409"/>
        <w:jc w:val="center"/>
      </w:trPr>
      <w:tc>
        <w:tcPr>
          <w:tcW w:w="8500" w:type="dxa"/>
          <w:gridSpan w:val="2"/>
        </w:tcPr>
        <w:p w14:paraId="22566D20" w14:textId="77777777" w:rsidR="00BD47E4" w:rsidRDefault="00F84A63" w:rsidP="002C30DA">
          <w:pPr>
            <w:jc w:val="right"/>
          </w:pPr>
          <w:r>
            <w:t>Agenda Item:</w:t>
          </w:r>
        </w:p>
      </w:tc>
      <w:tc>
        <w:tcPr>
          <w:tcW w:w="2382" w:type="dxa"/>
          <w:gridSpan w:val="2"/>
        </w:tcPr>
        <w:p w14:paraId="68A51B19" w14:textId="77777777" w:rsidR="00BD47E4" w:rsidRDefault="00F84A63" w:rsidP="002C30DA">
          <w:pPr>
            <w:jc w:val="right"/>
          </w:pPr>
          <w:bookmarkStart w:id="4" w:name="agenda"/>
          <w:r>
            <w:t>ATCM 17</w:t>
          </w:r>
          <w:bookmarkEnd w:id="4"/>
        </w:p>
      </w:tc>
      <w:tc>
        <w:tcPr>
          <w:tcW w:w="390" w:type="dxa"/>
        </w:tcPr>
        <w:p w14:paraId="210D69F2" w14:textId="77777777" w:rsidR="00BD47E4" w:rsidRDefault="00F84A63" w:rsidP="00387A65">
          <w:pPr>
            <w:jc w:val="right"/>
          </w:pPr>
        </w:p>
      </w:tc>
    </w:tr>
    <w:tr w:rsidR="00120ADF" w14:paraId="004A68D6" w14:textId="77777777" w:rsidTr="002E12EC">
      <w:trPr>
        <w:trHeight w:val="397"/>
        <w:jc w:val="center"/>
      </w:trPr>
      <w:tc>
        <w:tcPr>
          <w:tcW w:w="8500" w:type="dxa"/>
          <w:gridSpan w:val="2"/>
        </w:tcPr>
        <w:p w14:paraId="75958C37" w14:textId="77777777" w:rsidR="00BD47E4" w:rsidRDefault="00F84A63" w:rsidP="002C30DA">
          <w:pPr>
            <w:jc w:val="right"/>
          </w:pPr>
          <w:r>
            <w:t>Presented by:</w:t>
          </w:r>
        </w:p>
      </w:tc>
      <w:tc>
        <w:tcPr>
          <w:tcW w:w="2382" w:type="dxa"/>
          <w:gridSpan w:val="2"/>
        </w:tcPr>
        <w:p w14:paraId="053118B0" w14:textId="77777777" w:rsidR="00BD47E4" w:rsidRDefault="00F84A63" w:rsidP="002C30DA">
          <w:pPr>
            <w:jc w:val="right"/>
          </w:pPr>
          <w:bookmarkStart w:id="5" w:name="party"/>
          <w:r>
            <w:t>ASOC</w:t>
          </w:r>
          <w:bookmarkEnd w:id="5"/>
        </w:p>
      </w:tc>
      <w:tc>
        <w:tcPr>
          <w:tcW w:w="390" w:type="dxa"/>
        </w:tcPr>
        <w:p w14:paraId="478CD168" w14:textId="77777777" w:rsidR="00BD47E4" w:rsidRDefault="00F84A63" w:rsidP="00387A65">
          <w:pPr>
            <w:jc w:val="right"/>
          </w:pPr>
        </w:p>
      </w:tc>
    </w:tr>
    <w:tr w:rsidR="00120ADF" w14:paraId="4E3EEDD2" w14:textId="77777777" w:rsidTr="002E12EC">
      <w:trPr>
        <w:trHeight w:val="409"/>
        <w:jc w:val="center"/>
      </w:trPr>
      <w:tc>
        <w:tcPr>
          <w:tcW w:w="8500" w:type="dxa"/>
          <w:gridSpan w:val="2"/>
        </w:tcPr>
        <w:p w14:paraId="41A49C5B" w14:textId="77777777" w:rsidR="00BD47E4" w:rsidRDefault="00F84A63" w:rsidP="002C30DA">
          <w:pPr>
            <w:jc w:val="right"/>
          </w:pPr>
          <w:r>
            <w:t>Original:</w:t>
          </w:r>
        </w:p>
      </w:tc>
      <w:tc>
        <w:tcPr>
          <w:tcW w:w="2382" w:type="dxa"/>
          <w:gridSpan w:val="2"/>
        </w:tcPr>
        <w:p w14:paraId="630F14E4" w14:textId="77777777" w:rsidR="00BD47E4" w:rsidRDefault="00F84A63" w:rsidP="002C30DA">
          <w:pPr>
            <w:jc w:val="right"/>
          </w:pPr>
          <w:bookmarkStart w:id="6" w:name="language"/>
          <w:r>
            <w:t>English</w:t>
          </w:r>
          <w:bookmarkEnd w:id="6"/>
        </w:p>
      </w:tc>
      <w:tc>
        <w:tcPr>
          <w:tcW w:w="390" w:type="dxa"/>
        </w:tcPr>
        <w:p w14:paraId="54A16224" w14:textId="77777777" w:rsidR="00BD47E4" w:rsidRDefault="00F84A63" w:rsidP="00387A65">
          <w:pPr>
            <w:jc w:val="right"/>
          </w:pPr>
        </w:p>
      </w:tc>
    </w:tr>
    <w:tr w:rsidR="00120ADF" w14:paraId="1F14AB81" w14:textId="77777777" w:rsidTr="002E12EC">
      <w:trPr>
        <w:trHeight w:val="409"/>
        <w:jc w:val="center"/>
      </w:trPr>
      <w:tc>
        <w:tcPr>
          <w:tcW w:w="8500" w:type="dxa"/>
          <w:gridSpan w:val="2"/>
        </w:tcPr>
        <w:p w14:paraId="5F367CF6" w14:textId="77777777" w:rsidR="0097629D" w:rsidRDefault="00F84A63" w:rsidP="002C30DA">
          <w:pPr>
            <w:jc w:val="right"/>
          </w:pPr>
          <w:r>
            <w:t>Submitted:</w:t>
          </w:r>
        </w:p>
      </w:tc>
      <w:tc>
        <w:tcPr>
          <w:tcW w:w="2382" w:type="dxa"/>
          <w:gridSpan w:val="2"/>
        </w:tcPr>
        <w:p w14:paraId="4864C3E1" w14:textId="77777777" w:rsidR="0097629D" w:rsidRDefault="00F84A63" w:rsidP="0097629D">
          <w:pPr>
            <w:jc w:val="right"/>
          </w:pPr>
          <w:bookmarkStart w:id="7" w:name="date_submission"/>
          <w:r>
            <w:t>28 Apr 2023</w:t>
          </w:r>
          <w:bookmarkEnd w:id="7"/>
        </w:p>
      </w:tc>
      <w:tc>
        <w:tcPr>
          <w:tcW w:w="390" w:type="dxa"/>
        </w:tcPr>
        <w:p w14:paraId="5CBB78C3" w14:textId="77777777" w:rsidR="0097629D" w:rsidRDefault="00F84A63" w:rsidP="00387A65">
          <w:pPr>
            <w:jc w:val="right"/>
          </w:pPr>
        </w:p>
      </w:tc>
    </w:tr>
  </w:tbl>
  <w:p w14:paraId="77044575" w14:textId="77777777" w:rsidR="00AE5DD0" w:rsidRDefault="00F84A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20ADF" w14:paraId="3AAE8A8E" w14:textId="77777777">
      <w:trPr>
        <w:trHeight w:val="354"/>
        <w:jc w:val="center"/>
      </w:trPr>
      <w:tc>
        <w:tcPr>
          <w:tcW w:w="9694" w:type="dxa"/>
        </w:tcPr>
        <w:p w14:paraId="1311C394" w14:textId="1AF6534D" w:rsidR="00AE5DD0" w:rsidRPr="00BD47E4" w:rsidRDefault="00F84A63" w:rsidP="00C26F2D">
          <w:pPr>
            <w:jc w:val="right"/>
            <w:rPr>
              <w:b/>
              <w:sz w:val="32"/>
              <w:szCs w:val="32"/>
            </w:rPr>
          </w:pPr>
          <w:r>
            <w:rPr>
              <w:b/>
              <w:sz w:val="32"/>
              <w:szCs w:val="32"/>
            </w:rPr>
            <w:t>IP</w:t>
          </w:r>
        </w:p>
      </w:tc>
      <w:tc>
        <w:tcPr>
          <w:tcW w:w="1332" w:type="dxa"/>
        </w:tcPr>
        <w:p w14:paraId="2B88D05F" w14:textId="31550629" w:rsidR="00AE5DD0" w:rsidRPr="00BD47E4" w:rsidRDefault="00F84A63" w:rsidP="00080F4C">
          <w:pPr>
            <w:rPr>
              <w:b/>
              <w:sz w:val="32"/>
              <w:szCs w:val="32"/>
            </w:rPr>
          </w:pPr>
          <w:r>
            <w:rPr>
              <w:b/>
              <w:sz w:val="32"/>
              <w:szCs w:val="32"/>
            </w:rPr>
            <w:t>116</w:t>
          </w:r>
        </w:p>
      </w:tc>
    </w:tr>
  </w:tbl>
  <w:p w14:paraId="55062C59" w14:textId="77777777" w:rsidR="00AE5DD0" w:rsidRDefault="00F84A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F5A3506">
      <w:start w:val="1"/>
      <w:numFmt w:val="bullet"/>
      <w:pStyle w:val="ATSBullet1"/>
      <w:lvlText w:val=""/>
      <w:lvlJc w:val="left"/>
      <w:pPr>
        <w:tabs>
          <w:tab w:val="num" w:pos="360"/>
        </w:tabs>
        <w:ind w:left="360" w:hanging="360"/>
      </w:pPr>
      <w:rPr>
        <w:rFonts w:ascii="Symbol" w:hAnsi="Symbol" w:hint="default"/>
        <w:color w:val="auto"/>
      </w:rPr>
    </w:lvl>
    <w:lvl w:ilvl="1" w:tplc="704EFD9C" w:tentative="1">
      <w:start w:val="1"/>
      <w:numFmt w:val="bullet"/>
      <w:lvlText w:val="o"/>
      <w:lvlJc w:val="left"/>
      <w:pPr>
        <w:tabs>
          <w:tab w:val="num" w:pos="1440"/>
        </w:tabs>
        <w:ind w:left="1440" w:hanging="360"/>
      </w:pPr>
      <w:rPr>
        <w:rFonts w:ascii="Courier New" w:hAnsi="Courier New" w:cs="Courier New" w:hint="default"/>
      </w:rPr>
    </w:lvl>
    <w:lvl w:ilvl="2" w:tplc="0582CDE8" w:tentative="1">
      <w:start w:val="1"/>
      <w:numFmt w:val="bullet"/>
      <w:lvlText w:val=""/>
      <w:lvlJc w:val="left"/>
      <w:pPr>
        <w:tabs>
          <w:tab w:val="num" w:pos="2160"/>
        </w:tabs>
        <w:ind w:left="2160" w:hanging="360"/>
      </w:pPr>
      <w:rPr>
        <w:rFonts w:ascii="Wingdings" w:hAnsi="Wingdings" w:hint="default"/>
      </w:rPr>
    </w:lvl>
    <w:lvl w:ilvl="3" w:tplc="D908B4B8" w:tentative="1">
      <w:start w:val="1"/>
      <w:numFmt w:val="bullet"/>
      <w:lvlText w:val=""/>
      <w:lvlJc w:val="left"/>
      <w:pPr>
        <w:tabs>
          <w:tab w:val="num" w:pos="2880"/>
        </w:tabs>
        <w:ind w:left="2880" w:hanging="360"/>
      </w:pPr>
      <w:rPr>
        <w:rFonts w:ascii="Symbol" w:hAnsi="Symbol" w:hint="default"/>
      </w:rPr>
    </w:lvl>
    <w:lvl w:ilvl="4" w:tplc="8B78F2DE" w:tentative="1">
      <w:start w:val="1"/>
      <w:numFmt w:val="bullet"/>
      <w:lvlText w:val="o"/>
      <w:lvlJc w:val="left"/>
      <w:pPr>
        <w:tabs>
          <w:tab w:val="num" w:pos="3600"/>
        </w:tabs>
        <w:ind w:left="3600" w:hanging="360"/>
      </w:pPr>
      <w:rPr>
        <w:rFonts w:ascii="Courier New" w:hAnsi="Courier New" w:cs="Courier New" w:hint="default"/>
      </w:rPr>
    </w:lvl>
    <w:lvl w:ilvl="5" w:tplc="C902C55C" w:tentative="1">
      <w:start w:val="1"/>
      <w:numFmt w:val="bullet"/>
      <w:lvlText w:val=""/>
      <w:lvlJc w:val="left"/>
      <w:pPr>
        <w:tabs>
          <w:tab w:val="num" w:pos="4320"/>
        </w:tabs>
        <w:ind w:left="4320" w:hanging="360"/>
      </w:pPr>
      <w:rPr>
        <w:rFonts w:ascii="Wingdings" w:hAnsi="Wingdings" w:hint="default"/>
      </w:rPr>
    </w:lvl>
    <w:lvl w:ilvl="6" w:tplc="F2CAE8E8" w:tentative="1">
      <w:start w:val="1"/>
      <w:numFmt w:val="bullet"/>
      <w:lvlText w:val=""/>
      <w:lvlJc w:val="left"/>
      <w:pPr>
        <w:tabs>
          <w:tab w:val="num" w:pos="5040"/>
        </w:tabs>
        <w:ind w:left="5040" w:hanging="360"/>
      </w:pPr>
      <w:rPr>
        <w:rFonts w:ascii="Symbol" w:hAnsi="Symbol" w:hint="default"/>
      </w:rPr>
    </w:lvl>
    <w:lvl w:ilvl="7" w:tplc="8C343D98" w:tentative="1">
      <w:start w:val="1"/>
      <w:numFmt w:val="bullet"/>
      <w:lvlText w:val="o"/>
      <w:lvlJc w:val="left"/>
      <w:pPr>
        <w:tabs>
          <w:tab w:val="num" w:pos="5760"/>
        </w:tabs>
        <w:ind w:left="5760" w:hanging="360"/>
      </w:pPr>
      <w:rPr>
        <w:rFonts w:ascii="Courier New" w:hAnsi="Courier New" w:cs="Courier New" w:hint="default"/>
      </w:rPr>
    </w:lvl>
    <w:lvl w:ilvl="8" w:tplc="73D2BD4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4E64CB2">
      <w:start w:val="1"/>
      <w:numFmt w:val="decimal"/>
      <w:lvlText w:val="%1)"/>
      <w:lvlJc w:val="left"/>
      <w:pPr>
        <w:tabs>
          <w:tab w:val="num" w:pos="340"/>
        </w:tabs>
        <w:ind w:left="340" w:hanging="340"/>
      </w:pPr>
      <w:rPr>
        <w:rFonts w:hint="default"/>
      </w:rPr>
    </w:lvl>
    <w:lvl w:ilvl="1" w:tplc="A1C6C412" w:tentative="1">
      <w:start w:val="1"/>
      <w:numFmt w:val="lowerLetter"/>
      <w:lvlText w:val="%2."/>
      <w:lvlJc w:val="left"/>
      <w:pPr>
        <w:tabs>
          <w:tab w:val="num" w:pos="1440"/>
        </w:tabs>
        <w:ind w:left="1440" w:hanging="360"/>
      </w:pPr>
    </w:lvl>
    <w:lvl w:ilvl="2" w:tplc="5F5CDDC6" w:tentative="1">
      <w:start w:val="1"/>
      <w:numFmt w:val="lowerRoman"/>
      <w:lvlText w:val="%3."/>
      <w:lvlJc w:val="right"/>
      <w:pPr>
        <w:tabs>
          <w:tab w:val="num" w:pos="2160"/>
        </w:tabs>
        <w:ind w:left="2160" w:hanging="180"/>
      </w:pPr>
    </w:lvl>
    <w:lvl w:ilvl="3" w:tplc="7C5A213C" w:tentative="1">
      <w:start w:val="1"/>
      <w:numFmt w:val="decimal"/>
      <w:lvlText w:val="%4."/>
      <w:lvlJc w:val="left"/>
      <w:pPr>
        <w:tabs>
          <w:tab w:val="num" w:pos="2880"/>
        </w:tabs>
        <w:ind w:left="2880" w:hanging="360"/>
      </w:pPr>
    </w:lvl>
    <w:lvl w:ilvl="4" w:tplc="6B783762" w:tentative="1">
      <w:start w:val="1"/>
      <w:numFmt w:val="lowerLetter"/>
      <w:lvlText w:val="%5."/>
      <w:lvlJc w:val="left"/>
      <w:pPr>
        <w:tabs>
          <w:tab w:val="num" w:pos="3600"/>
        </w:tabs>
        <w:ind w:left="3600" w:hanging="360"/>
      </w:pPr>
    </w:lvl>
    <w:lvl w:ilvl="5" w:tplc="FA10DA58" w:tentative="1">
      <w:start w:val="1"/>
      <w:numFmt w:val="lowerRoman"/>
      <w:lvlText w:val="%6."/>
      <w:lvlJc w:val="right"/>
      <w:pPr>
        <w:tabs>
          <w:tab w:val="num" w:pos="4320"/>
        </w:tabs>
        <w:ind w:left="4320" w:hanging="180"/>
      </w:pPr>
    </w:lvl>
    <w:lvl w:ilvl="6" w:tplc="1BDAEE66" w:tentative="1">
      <w:start w:val="1"/>
      <w:numFmt w:val="decimal"/>
      <w:lvlText w:val="%7."/>
      <w:lvlJc w:val="left"/>
      <w:pPr>
        <w:tabs>
          <w:tab w:val="num" w:pos="5040"/>
        </w:tabs>
        <w:ind w:left="5040" w:hanging="360"/>
      </w:pPr>
    </w:lvl>
    <w:lvl w:ilvl="7" w:tplc="8528BA50" w:tentative="1">
      <w:start w:val="1"/>
      <w:numFmt w:val="lowerLetter"/>
      <w:lvlText w:val="%8."/>
      <w:lvlJc w:val="left"/>
      <w:pPr>
        <w:tabs>
          <w:tab w:val="num" w:pos="5760"/>
        </w:tabs>
        <w:ind w:left="5760" w:hanging="360"/>
      </w:pPr>
    </w:lvl>
    <w:lvl w:ilvl="8" w:tplc="FF3C6A3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C469768">
      <w:start w:val="1"/>
      <w:numFmt w:val="decimal"/>
      <w:lvlText w:val="%1."/>
      <w:lvlJc w:val="left"/>
      <w:pPr>
        <w:tabs>
          <w:tab w:val="num" w:pos="1057"/>
        </w:tabs>
        <w:ind w:left="1057" w:hanging="360"/>
      </w:pPr>
      <w:rPr>
        <w:rFonts w:hint="default"/>
      </w:rPr>
    </w:lvl>
    <w:lvl w:ilvl="1" w:tplc="ED58D23E" w:tentative="1">
      <w:start w:val="1"/>
      <w:numFmt w:val="lowerLetter"/>
      <w:lvlText w:val="%2."/>
      <w:lvlJc w:val="left"/>
      <w:pPr>
        <w:tabs>
          <w:tab w:val="num" w:pos="2137"/>
        </w:tabs>
        <w:ind w:left="2137" w:hanging="360"/>
      </w:pPr>
    </w:lvl>
    <w:lvl w:ilvl="2" w:tplc="3CEE0A3A" w:tentative="1">
      <w:start w:val="1"/>
      <w:numFmt w:val="lowerRoman"/>
      <w:lvlText w:val="%3."/>
      <w:lvlJc w:val="right"/>
      <w:pPr>
        <w:tabs>
          <w:tab w:val="num" w:pos="2857"/>
        </w:tabs>
        <w:ind w:left="2857" w:hanging="180"/>
      </w:pPr>
    </w:lvl>
    <w:lvl w:ilvl="3" w:tplc="AD1818BC" w:tentative="1">
      <w:start w:val="1"/>
      <w:numFmt w:val="decimal"/>
      <w:lvlText w:val="%4."/>
      <w:lvlJc w:val="left"/>
      <w:pPr>
        <w:tabs>
          <w:tab w:val="num" w:pos="3577"/>
        </w:tabs>
        <w:ind w:left="3577" w:hanging="360"/>
      </w:pPr>
    </w:lvl>
    <w:lvl w:ilvl="4" w:tplc="4FD05F88" w:tentative="1">
      <w:start w:val="1"/>
      <w:numFmt w:val="lowerLetter"/>
      <w:lvlText w:val="%5."/>
      <w:lvlJc w:val="left"/>
      <w:pPr>
        <w:tabs>
          <w:tab w:val="num" w:pos="4297"/>
        </w:tabs>
        <w:ind w:left="4297" w:hanging="360"/>
      </w:pPr>
    </w:lvl>
    <w:lvl w:ilvl="5" w:tplc="57C6D4FA" w:tentative="1">
      <w:start w:val="1"/>
      <w:numFmt w:val="lowerRoman"/>
      <w:lvlText w:val="%6."/>
      <w:lvlJc w:val="right"/>
      <w:pPr>
        <w:tabs>
          <w:tab w:val="num" w:pos="5017"/>
        </w:tabs>
        <w:ind w:left="5017" w:hanging="180"/>
      </w:pPr>
    </w:lvl>
    <w:lvl w:ilvl="6" w:tplc="2DE65EA8" w:tentative="1">
      <w:start w:val="1"/>
      <w:numFmt w:val="decimal"/>
      <w:lvlText w:val="%7."/>
      <w:lvlJc w:val="left"/>
      <w:pPr>
        <w:tabs>
          <w:tab w:val="num" w:pos="5737"/>
        </w:tabs>
        <w:ind w:left="5737" w:hanging="360"/>
      </w:pPr>
    </w:lvl>
    <w:lvl w:ilvl="7" w:tplc="CD1C3576" w:tentative="1">
      <w:start w:val="1"/>
      <w:numFmt w:val="lowerLetter"/>
      <w:lvlText w:val="%8."/>
      <w:lvlJc w:val="left"/>
      <w:pPr>
        <w:tabs>
          <w:tab w:val="num" w:pos="6457"/>
        </w:tabs>
        <w:ind w:left="6457" w:hanging="360"/>
      </w:pPr>
    </w:lvl>
    <w:lvl w:ilvl="8" w:tplc="52C0F816" w:tentative="1">
      <w:start w:val="1"/>
      <w:numFmt w:val="lowerRoman"/>
      <w:lvlText w:val="%9."/>
      <w:lvlJc w:val="right"/>
      <w:pPr>
        <w:tabs>
          <w:tab w:val="num" w:pos="7177"/>
        </w:tabs>
        <w:ind w:left="7177" w:hanging="180"/>
      </w:pPr>
    </w:lvl>
  </w:abstractNum>
  <w:abstractNum w:abstractNumId="14" w15:restartNumberingAfterBreak="0">
    <w:nsid w:val="6F183FB1"/>
    <w:multiLevelType w:val="multilevel"/>
    <w:tmpl w:val="58FE6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212657C"/>
    <w:multiLevelType w:val="hybridMultilevel"/>
    <w:tmpl w:val="0A8E2A84"/>
    <w:lvl w:ilvl="0" w:tplc="4ED6E31E">
      <w:start w:val="1"/>
      <w:numFmt w:val="decimal"/>
      <w:pStyle w:val="ATSNumber1"/>
      <w:lvlText w:val="%1)"/>
      <w:lvlJc w:val="left"/>
      <w:pPr>
        <w:tabs>
          <w:tab w:val="num" w:pos="720"/>
        </w:tabs>
        <w:ind w:left="720" w:hanging="360"/>
      </w:pPr>
    </w:lvl>
    <w:lvl w:ilvl="1" w:tplc="9A6CA262" w:tentative="1">
      <w:start w:val="1"/>
      <w:numFmt w:val="lowerLetter"/>
      <w:lvlText w:val="%2."/>
      <w:lvlJc w:val="left"/>
      <w:pPr>
        <w:tabs>
          <w:tab w:val="num" w:pos="1440"/>
        </w:tabs>
        <w:ind w:left="1440" w:hanging="360"/>
      </w:pPr>
    </w:lvl>
    <w:lvl w:ilvl="2" w:tplc="390C020A" w:tentative="1">
      <w:start w:val="1"/>
      <w:numFmt w:val="lowerRoman"/>
      <w:lvlText w:val="%3."/>
      <w:lvlJc w:val="right"/>
      <w:pPr>
        <w:tabs>
          <w:tab w:val="num" w:pos="2160"/>
        </w:tabs>
        <w:ind w:left="2160" w:hanging="180"/>
      </w:pPr>
    </w:lvl>
    <w:lvl w:ilvl="3" w:tplc="8E7CC664" w:tentative="1">
      <w:start w:val="1"/>
      <w:numFmt w:val="decimal"/>
      <w:lvlText w:val="%4."/>
      <w:lvlJc w:val="left"/>
      <w:pPr>
        <w:tabs>
          <w:tab w:val="num" w:pos="2880"/>
        </w:tabs>
        <w:ind w:left="2880" w:hanging="360"/>
      </w:pPr>
    </w:lvl>
    <w:lvl w:ilvl="4" w:tplc="7BEED698" w:tentative="1">
      <w:start w:val="1"/>
      <w:numFmt w:val="lowerLetter"/>
      <w:lvlText w:val="%5."/>
      <w:lvlJc w:val="left"/>
      <w:pPr>
        <w:tabs>
          <w:tab w:val="num" w:pos="3600"/>
        </w:tabs>
        <w:ind w:left="3600" w:hanging="360"/>
      </w:pPr>
    </w:lvl>
    <w:lvl w:ilvl="5" w:tplc="142404CC" w:tentative="1">
      <w:start w:val="1"/>
      <w:numFmt w:val="lowerRoman"/>
      <w:lvlText w:val="%6."/>
      <w:lvlJc w:val="right"/>
      <w:pPr>
        <w:tabs>
          <w:tab w:val="num" w:pos="4320"/>
        </w:tabs>
        <w:ind w:left="4320" w:hanging="180"/>
      </w:pPr>
    </w:lvl>
    <w:lvl w:ilvl="6" w:tplc="70143446" w:tentative="1">
      <w:start w:val="1"/>
      <w:numFmt w:val="decimal"/>
      <w:lvlText w:val="%7."/>
      <w:lvlJc w:val="left"/>
      <w:pPr>
        <w:tabs>
          <w:tab w:val="num" w:pos="5040"/>
        </w:tabs>
        <w:ind w:left="5040" w:hanging="360"/>
      </w:pPr>
    </w:lvl>
    <w:lvl w:ilvl="7" w:tplc="D7300656" w:tentative="1">
      <w:start w:val="1"/>
      <w:numFmt w:val="lowerLetter"/>
      <w:lvlText w:val="%8."/>
      <w:lvlJc w:val="left"/>
      <w:pPr>
        <w:tabs>
          <w:tab w:val="num" w:pos="5760"/>
        </w:tabs>
        <w:ind w:left="5760" w:hanging="360"/>
      </w:pPr>
    </w:lvl>
    <w:lvl w:ilvl="8" w:tplc="6CCA0C3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817838F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C265EB8" w:tentative="1">
      <w:start w:val="1"/>
      <w:numFmt w:val="bullet"/>
      <w:lvlText w:val="o"/>
      <w:lvlJc w:val="left"/>
      <w:pPr>
        <w:tabs>
          <w:tab w:val="num" w:pos="2517"/>
        </w:tabs>
        <w:ind w:left="2517" w:hanging="360"/>
      </w:pPr>
      <w:rPr>
        <w:rFonts w:ascii="Courier New" w:hAnsi="Courier New" w:cs="Courier New" w:hint="default"/>
      </w:rPr>
    </w:lvl>
    <w:lvl w:ilvl="2" w:tplc="524EEB58" w:tentative="1">
      <w:start w:val="1"/>
      <w:numFmt w:val="bullet"/>
      <w:lvlText w:val=""/>
      <w:lvlJc w:val="left"/>
      <w:pPr>
        <w:tabs>
          <w:tab w:val="num" w:pos="3237"/>
        </w:tabs>
        <w:ind w:left="3237" w:hanging="360"/>
      </w:pPr>
      <w:rPr>
        <w:rFonts w:ascii="Wingdings" w:hAnsi="Wingdings" w:hint="default"/>
      </w:rPr>
    </w:lvl>
    <w:lvl w:ilvl="3" w:tplc="17DEF22C" w:tentative="1">
      <w:start w:val="1"/>
      <w:numFmt w:val="bullet"/>
      <w:lvlText w:val=""/>
      <w:lvlJc w:val="left"/>
      <w:pPr>
        <w:tabs>
          <w:tab w:val="num" w:pos="3957"/>
        </w:tabs>
        <w:ind w:left="3957" w:hanging="360"/>
      </w:pPr>
      <w:rPr>
        <w:rFonts w:ascii="Symbol" w:hAnsi="Symbol" w:hint="default"/>
      </w:rPr>
    </w:lvl>
    <w:lvl w:ilvl="4" w:tplc="34C60A14" w:tentative="1">
      <w:start w:val="1"/>
      <w:numFmt w:val="bullet"/>
      <w:lvlText w:val="o"/>
      <w:lvlJc w:val="left"/>
      <w:pPr>
        <w:tabs>
          <w:tab w:val="num" w:pos="4677"/>
        </w:tabs>
        <w:ind w:left="4677" w:hanging="360"/>
      </w:pPr>
      <w:rPr>
        <w:rFonts w:ascii="Courier New" w:hAnsi="Courier New" w:cs="Courier New" w:hint="default"/>
      </w:rPr>
    </w:lvl>
    <w:lvl w:ilvl="5" w:tplc="DCE0058A" w:tentative="1">
      <w:start w:val="1"/>
      <w:numFmt w:val="bullet"/>
      <w:lvlText w:val=""/>
      <w:lvlJc w:val="left"/>
      <w:pPr>
        <w:tabs>
          <w:tab w:val="num" w:pos="5397"/>
        </w:tabs>
        <w:ind w:left="5397" w:hanging="360"/>
      </w:pPr>
      <w:rPr>
        <w:rFonts w:ascii="Wingdings" w:hAnsi="Wingdings" w:hint="default"/>
      </w:rPr>
    </w:lvl>
    <w:lvl w:ilvl="6" w:tplc="E094397E" w:tentative="1">
      <w:start w:val="1"/>
      <w:numFmt w:val="bullet"/>
      <w:lvlText w:val=""/>
      <w:lvlJc w:val="left"/>
      <w:pPr>
        <w:tabs>
          <w:tab w:val="num" w:pos="6117"/>
        </w:tabs>
        <w:ind w:left="6117" w:hanging="360"/>
      </w:pPr>
      <w:rPr>
        <w:rFonts w:ascii="Symbol" w:hAnsi="Symbol" w:hint="default"/>
      </w:rPr>
    </w:lvl>
    <w:lvl w:ilvl="7" w:tplc="EB28F838" w:tentative="1">
      <w:start w:val="1"/>
      <w:numFmt w:val="bullet"/>
      <w:lvlText w:val="o"/>
      <w:lvlJc w:val="left"/>
      <w:pPr>
        <w:tabs>
          <w:tab w:val="num" w:pos="6837"/>
        </w:tabs>
        <w:ind w:left="6837" w:hanging="360"/>
      </w:pPr>
      <w:rPr>
        <w:rFonts w:ascii="Courier New" w:hAnsi="Courier New" w:cs="Courier New" w:hint="default"/>
      </w:rPr>
    </w:lvl>
    <w:lvl w:ilvl="8" w:tplc="439C038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2FE8592C">
      <w:start w:val="1"/>
      <w:numFmt w:val="decimal"/>
      <w:pStyle w:val="ATSNumber2"/>
      <w:lvlText w:val="%1."/>
      <w:lvlJc w:val="left"/>
      <w:pPr>
        <w:tabs>
          <w:tab w:val="num" w:pos="720"/>
        </w:tabs>
        <w:ind w:left="720" w:hanging="360"/>
      </w:pPr>
      <w:rPr>
        <w:rFonts w:hint="default"/>
      </w:rPr>
    </w:lvl>
    <w:lvl w:ilvl="1" w:tplc="61C077F4" w:tentative="1">
      <w:start w:val="1"/>
      <w:numFmt w:val="lowerLetter"/>
      <w:lvlText w:val="%2."/>
      <w:lvlJc w:val="left"/>
      <w:pPr>
        <w:tabs>
          <w:tab w:val="num" w:pos="1440"/>
        </w:tabs>
        <w:ind w:left="1440" w:hanging="360"/>
      </w:pPr>
    </w:lvl>
    <w:lvl w:ilvl="2" w:tplc="56E2A550" w:tentative="1">
      <w:start w:val="1"/>
      <w:numFmt w:val="lowerRoman"/>
      <w:lvlText w:val="%3."/>
      <w:lvlJc w:val="right"/>
      <w:pPr>
        <w:tabs>
          <w:tab w:val="num" w:pos="2160"/>
        </w:tabs>
        <w:ind w:left="2160" w:hanging="180"/>
      </w:pPr>
    </w:lvl>
    <w:lvl w:ilvl="3" w:tplc="5B7E853C" w:tentative="1">
      <w:start w:val="1"/>
      <w:numFmt w:val="decimal"/>
      <w:lvlText w:val="%4."/>
      <w:lvlJc w:val="left"/>
      <w:pPr>
        <w:tabs>
          <w:tab w:val="num" w:pos="2880"/>
        </w:tabs>
        <w:ind w:left="2880" w:hanging="360"/>
      </w:pPr>
    </w:lvl>
    <w:lvl w:ilvl="4" w:tplc="B42EB6A4" w:tentative="1">
      <w:start w:val="1"/>
      <w:numFmt w:val="lowerLetter"/>
      <w:lvlText w:val="%5."/>
      <w:lvlJc w:val="left"/>
      <w:pPr>
        <w:tabs>
          <w:tab w:val="num" w:pos="3600"/>
        </w:tabs>
        <w:ind w:left="3600" w:hanging="360"/>
      </w:pPr>
    </w:lvl>
    <w:lvl w:ilvl="5" w:tplc="3508C97A" w:tentative="1">
      <w:start w:val="1"/>
      <w:numFmt w:val="lowerRoman"/>
      <w:lvlText w:val="%6."/>
      <w:lvlJc w:val="right"/>
      <w:pPr>
        <w:tabs>
          <w:tab w:val="num" w:pos="4320"/>
        </w:tabs>
        <w:ind w:left="4320" w:hanging="180"/>
      </w:pPr>
    </w:lvl>
    <w:lvl w:ilvl="6" w:tplc="CC52E1FC" w:tentative="1">
      <w:start w:val="1"/>
      <w:numFmt w:val="decimal"/>
      <w:lvlText w:val="%7."/>
      <w:lvlJc w:val="left"/>
      <w:pPr>
        <w:tabs>
          <w:tab w:val="num" w:pos="5040"/>
        </w:tabs>
        <w:ind w:left="5040" w:hanging="360"/>
      </w:pPr>
    </w:lvl>
    <w:lvl w:ilvl="7" w:tplc="35209A00" w:tentative="1">
      <w:start w:val="1"/>
      <w:numFmt w:val="lowerLetter"/>
      <w:lvlText w:val="%8."/>
      <w:lvlJc w:val="left"/>
      <w:pPr>
        <w:tabs>
          <w:tab w:val="num" w:pos="5760"/>
        </w:tabs>
        <w:ind w:left="5760" w:hanging="360"/>
      </w:pPr>
    </w:lvl>
    <w:lvl w:ilvl="8" w:tplc="7F52F3FA" w:tentative="1">
      <w:start w:val="1"/>
      <w:numFmt w:val="lowerRoman"/>
      <w:lvlText w:val="%9."/>
      <w:lvlJc w:val="right"/>
      <w:pPr>
        <w:tabs>
          <w:tab w:val="num" w:pos="6480"/>
        </w:tabs>
        <w:ind w:left="6480" w:hanging="180"/>
      </w:pPr>
    </w:lvl>
  </w:abstractNum>
  <w:num w:numId="1" w16cid:durableId="79104807">
    <w:abstractNumId w:val="9"/>
  </w:num>
  <w:num w:numId="2" w16cid:durableId="1977761387">
    <w:abstractNumId w:val="7"/>
  </w:num>
  <w:num w:numId="3" w16cid:durableId="1045716761">
    <w:abstractNumId w:val="6"/>
  </w:num>
  <w:num w:numId="4" w16cid:durableId="882250519">
    <w:abstractNumId w:val="5"/>
  </w:num>
  <w:num w:numId="5" w16cid:durableId="1924366106">
    <w:abstractNumId w:val="4"/>
  </w:num>
  <w:num w:numId="6" w16cid:durableId="163054189">
    <w:abstractNumId w:val="8"/>
  </w:num>
  <w:num w:numId="7" w16cid:durableId="903105109">
    <w:abstractNumId w:val="3"/>
  </w:num>
  <w:num w:numId="8" w16cid:durableId="147094539">
    <w:abstractNumId w:val="2"/>
  </w:num>
  <w:num w:numId="9" w16cid:durableId="1340230956">
    <w:abstractNumId w:val="1"/>
  </w:num>
  <w:num w:numId="10" w16cid:durableId="896474936">
    <w:abstractNumId w:val="0"/>
  </w:num>
  <w:num w:numId="11" w16cid:durableId="277370845">
    <w:abstractNumId w:val="11"/>
  </w:num>
  <w:num w:numId="12" w16cid:durableId="157812455">
    <w:abstractNumId w:val="16"/>
  </w:num>
  <w:num w:numId="13" w16cid:durableId="267659830">
    <w:abstractNumId w:val="15"/>
  </w:num>
  <w:num w:numId="14" w16cid:durableId="2114938810">
    <w:abstractNumId w:val="12"/>
  </w:num>
  <w:num w:numId="15" w16cid:durableId="516238085">
    <w:abstractNumId w:val="13"/>
  </w:num>
  <w:num w:numId="16" w16cid:durableId="1791431270">
    <w:abstractNumId w:val="10"/>
  </w:num>
  <w:num w:numId="17" w16cid:durableId="916669195">
    <w:abstractNumId w:val="11"/>
  </w:num>
  <w:num w:numId="18" w16cid:durableId="1014452432">
    <w:abstractNumId w:val="16"/>
  </w:num>
  <w:num w:numId="19" w16cid:durableId="844630126">
    <w:abstractNumId w:val="15"/>
  </w:num>
  <w:num w:numId="20" w16cid:durableId="1687438261">
    <w:abstractNumId w:val="17"/>
  </w:num>
  <w:num w:numId="21" w16cid:durableId="15442956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DF"/>
    <w:rsid w:val="00120ADF"/>
    <w:rsid w:val="00F84A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B96E2"/>
  <w15:chartTrackingRefBased/>
  <w15:docId w15:val="{29AE3AFC-9773-4A40-91E3-BCC5AF0B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works.umass.edu/ttra/2011/Visual/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3032917.2009.1051889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1592</Words>
  <Characters>9319</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2023-05-03T11:49:00Z</dcterms:modified>
</cp:coreProperties>
</file>