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7741" w14:textId="77777777" w:rsidR="00C26F2D" w:rsidRPr="00BF077B" w:rsidRDefault="00E25CB4" w:rsidP="00BF077B">
      <w:pPr>
        <w:pStyle w:val="ATSNormal"/>
        <w:rPr>
          <w:rStyle w:val="Ttulodellibro"/>
        </w:rPr>
      </w:pPr>
    </w:p>
    <w:p w14:paraId="5616A126" w14:textId="77777777" w:rsidR="002F0A13" w:rsidRDefault="00E25CB4" w:rsidP="004B4A60">
      <w:pPr>
        <w:rPr>
          <w:b/>
          <w:u w:val="single"/>
          <w:lang w:val="es-ES_tradnl"/>
        </w:rPr>
      </w:pPr>
    </w:p>
    <w:p w14:paraId="3D3112E9" w14:textId="77777777" w:rsidR="002F0A13" w:rsidRDefault="00E25CB4" w:rsidP="004B4A60">
      <w:pPr>
        <w:rPr>
          <w:b/>
          <w:u w:val="single"/>
          <w:lang w:val="es-ES_tradnl"/>
        </w:rPr>
      </w:pPr>
    </w:p>
    <w:p w14:paraId="1EAF41E6" w14:textId="77777777" w:rsidR="002F0A13" w:rsidRDefault="00E25CB4" w:rsidP="004B4A60">
      <w:pPr>
        <w:rPr>
          <w:b/>
          <w:u w:val="single"/>
          <w:lang w:val="es-ES_tradnl"/>
        </w:rPr>
      </w:pPr>
    </w:p>
    <w:p w14:paraId="447FD272" w14:textId="77777777" w:rsidR="002F0A13" w:rsidRDefault="00E25CB4" w:rsidP="004B4A60">
      <w:pPr>
        <w:rPr>
          <w:b/>
          <w:u w:val="single"/>
          <w:lang w:val="es-ES_tradnl"/>
        </w:rPr>
      </w:pPr>
    </w:p>
    <w:p w14:paraId="76B93A99" w14:textId="77777777" w:rsidR="00C26F2D" w:rsidRDefault="00E25CB4" w:rsidP="004B4A60">
      <w:pPr>
        <w:rPr>
          <w:b/>
          <w:u w:val="single"/>
          <w:lang w:val="es-ES_tradnl"/>
        </w:rPr>
      </w:pPr>
    </w:p>
    <w:p w14:paraId="3B0A01F5" w14:textId="77777777" w:rsidR="004B4A60" w:rsidRPr="0057246E" w:rsidRDefault="00E25CB4" w:rsidP="001B789F">
      <w:pPr>
        <w:pStyle w:val="ATSTitle"/>
      </w:pPr>
      <w:bookmarkStart w:id="0" w:name="name"/>
      <w:r>
        <w:t>Revised Management Plan for Antarctic Specially Protected Area No. 106 Cape Hallett, Northern Victoria Land, Ross Sea</w:t>
      </w:r>
    </w:p>
    <w:bookmarkEnd w:id="0"/>
    <w:p w14:paraId="09F9EFF2" w14:textId="77777777" w:rsidR="005857DB" w:rsidRDefault="005857DB" w:rsidP="001B789F">
      <w:pPr>
        <w:pStyle w:val="ATSTitle"/>
      </w:pPr>
    </w:p>
    <w:p w14:paraId="5476C585" w14:textId="77777777" w:rsidR="004B4A60" w:rsidRPr="0057246E" w:rsidRDefault="00E25CB4" w:rsidP="00F75424">
      <w:pPr>
        <w:jc w:val="center"/>
      </w:pPr>
    </w:p>
    <w:p w14:paraId="6B845867" w14:textId="77777777" w:rsidR="004B4A60" w:rsidRPr="002F0A13" w:rsidRDefault="00E25CB4" w:rsidP="002F0A13"/>
    <w:p w14:paraId="4F40667F" w14:textId="77777777" w:rsidR="004B4A60" w:rsidRDefault="00E25CB4" w:rsidP="00F75424">
      <w:pPr>
        <w:jc w:val="center"/>
      </w:pPr>
      <w:bookmarkStart w:id="1" w:name="memo"/>
      <w:bookmarkEnd w:id="1"/>
    </w:p>
    <w:p w14:paraId="74A8F25F" w14:textId="77777777" w:rsidR="0097629D" w:rsidRDefault="00E25CB4" w:rsidP="00F75424">
      <w:pPr>
        <w:jc w:val="center"/>
      </w:pPr>
    </w:p>
    <w:p w14:paraId="1067175B" w14:textId="77777777" w:rsidR="0097629D" w:rsidRDefault="00E25CB4" w:rsidP="00F75424">
      <w:pPr>
        <w:jc w:val="center"/>
      </w:pPr>
    </w:p>
    <w:p w14:paraId="5DF7C6D0" w14:textId="77777777" w:rsidR="0097629D" w:rsidRDefault="00E25CB4" w:rsidP="00F75424">
      <w:pPr>
        <w:jc w:val="center"/>
      </w:pPr>
    </w:p>
    <w:p w14:paraId="059301B7" w14:textId="77777777" w:rsidR="0097629D" w:rsidRPr="00C26F2D" w:rsidRDefault="00E25CB4" w:rsidP="00F75424">
      <w:pPr>
        <w:jc w:val="center"/>
      </w:pPr>
    </w:p>
    <w:p w14:paraId="73B58F63" w14:textId="77777777" w:rsidR="004B4A60" w:rsidRPr="0057246E" w:rsidRDefault="00E25CB4" w:rsidP="004B4A60"/>
    <w:p w14:paraId="174AB4DD" w14:textId="77777777" w:rsidR="00C26F2D" w:rsidRDefault="00E25CB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28"/>
        <w:gridCol w:w="3901"/>
      </w:tblGrid>
      <w:tr w:rsidR="005D22F0" w:rsidRPr="00323C65" w14:paraId="7CE8C48F" w14:textId="77777777" w:rsidTr="005D22F0">
        <w:trPr>
          <w:cantSplit/>
          <w:trHeight w:val="434"/>
        </w:trPr>
        <w:tc>
          <w:tcPr>
            <w:tcW w:w="9629" w:type="dxa"/>
            <w:gridSpan w:val="2"/>
          </w:tcPr>
          <w:p w14:paraId="7B22B0E2" w14:textId="77777777" w:rsidR="005D22F0" w:rsidRPr="004A1897" w:rsidRDefault="005D22F0" w:rsidP="00422633">
            <w:pPr>
              <w:pStyle w:val="ATSTitle"/>
              <w:rPr>
                <w:rFonts w:ascii="Times New Roman" w:hAnsi="Times New Roman"/>
                <w:sz w:val="20"/>
                <w:szCs w:val="20"/>
              </w:rPr>
            </w:pPr>
            <w:r w:rsidRPr="004A1897">
              <w:rPr>
                <w:rFonts w:ascii="Times New Roman" w:hAnsi="Times New Roman"/>
                <w:snapToGrid w:val="0"/>
                <w:sz w:val="20"/>
                <w:szCs w:val="20"/>
              </w:rPr>
              <w:lastRenderedPageBreak/>
              <w:t>ASPA No. 1</w:t>
            </w:r>
            <w:r>
              <w:rPr>
                <w:rFonts w:ascii="Times New Roman" w:hAnsi="Times New Roman"/>
                <w:snapToGrid w:val="0"/>
                <w:sz w:val="20"/>
                <w:szCs w:val="20"/>
              </w:rPr>
              <w:t>06</w:t>
            </w:r>
            <w:r w:rsidRPr="004A1897">
              <w:rPr>
                <w:rFonts w:ascii="Times New Roman" w:hAnsi="Times New Roman"/>
                <w:snapToGrid w:val="0"/>
                <w:sz w:val="20"/>
                <w:szCs w:val="20"/>
              </w:rPr>
              <w:t xml:space="preserve"> </w:t>
            </w:r>
            <w:r w:rsidRPr="004A1897">
              <w:rPr>
                <w:rFonts w:ascii="Times New Roman" w:hAnsi="Times New Roman"/>
                <w:sz w:val="20"/>
                <w:szCs w:val="20"/>
              </w:rPr>
              <w:t xml:space="preserve">Cape </w:t>
            </w:r>
            <w:r>
              <w:rPr>
                <w:rFonts w:ascii="Times New Roman" w:hAnsi="Times New Roman"/>
                <w:sz w:val="20"/>
                <w:szCs w:val="20"/>
              </w:rPr>
              <w:t>Hallett</w:t>
            </w:r>
            <w:r w:rsidRPr="004A1897">
              <w:rPr>
                <w:rFonts w:ascii="Times New Roman" w:hAnsi="Times New Roman"/>
                <w:sz w:val="20"/>
                <w:szCs w:val="20"/>
              </w:rPr>
              <w:t>,</w:t>
            </w:r>
            <w:r>
              <w:rPr>
                <w:rFonts w:ascii="Times New Roman" w:hAnsi="Times New Roman"/>
                <w:sz w:val="20"/>
                <w:szCs w:val="20"/>
              </w:rPr>
              <w:t xml:space="preserve"> Northern Victoria Land,</w:t>
            </w:r>
            <w:r w:rsidRPr="004A1897">
              <w:rPr>
                <w:rFonts w:ascii="Times New Roman" w:hAnsi="Times New Roman"/>
                <w:sz w:val="20"/>
                <w:szCs w:val="20"/>
              </w:rPr>
              <w:t xml:space="preserve"> Ross </w:t>
            </w:r>
            <w:r>
              <w:rPr>
                <w:rFonts w:ascii="Times New Roman" w:hAnsi="Times New Roman"/>
                <w:sz w:val="20"/>
                <w:szCs w:val="20"/>
              </w:rPr>
              <w:t>Sea</w:t>
            </w:r>
          </w:p>
        </w:tc>
      </w:tr>
      <w:tr w:rsidR="005D22F0" w:rsidRPr="00323C65" w14:paraId="1BB8C287" w14:textId="77777777" w:rsidTr="005D22F0">
        <w:tc>
          <w:tcPr>
            <w:tcW w:w="5728" w:type="dxa"/>
          </w:tcPr>
          <w:p w14:paraId="08C9A8E6" w14:textId="77777777" w:rsidR="005D22F0" w:rsidRPr="004A1897" w:rsidRDefault="005D22F0" w:rsidP="00422633">
            <w:pPr>
              <w:pStyle w:val="ATSNormal"/>
              <w:rPr>
                <w:b/>
                <w:snapToGrid w:val="0"/>
                <w:sz w:val="20"/>
                <w:szCs w:val="20"/>
              </w:rPr>
            </w:pPr>
            <w:r w:rsidRPr="004A1897">
              <w:rPr>
                <w:b/>
                <w:snapToGrid w:val="0"/>
                <w:sz w:val="20"/>
                <w:szCs w:val="20"/>
              </w:rPr>
              <w:t>1. Is a new ASPA proposed?</w:t>
            </w:r>
          </w:p>
        </w:tc>
        <w:tc>
          <w:tcPr>
            <w:tcW w:w="3901" w:type="dxa"/>
          </w:tcPr>
          <w:p w14:paraId="3B613847" w14:textId="77777777" w:rsidR="005D22F0" w:rsidRPr="004A1897" w:rsidRDefault="005D22F0" w:rsidP="00422633">
            <w:pPr>
              <w:pStyle w:val="ATSNormal"/>
              <w:rPr>
                <w:snapToGrid w:val="0"/>
                <w:sz w:val="20"/>
                <w:szCs w:val="20"/>
              </w:rPr>
            </w:pPr>
            <w:r w:rsidRPr="004A1897">
              <w:rPr>
                <w:snapToGrid w:val="0"/>
                <w:sz w:val="20"/>
                <w:szCs w:val="20"/>
              </w:rPr>
              <w:t>No</w:t>
            </w:r>
          </w:p>
        </w:tc>
      </w:tr>
      <w:tr w:rsidR="005D22F0" w:rsidRPr="00323C65" w14:paraId="2B32140F" w14:textId="77777777" w:rsidTr="005D22F0">
        <w:tc>
          <w:tcPr>
            <w:tcW w:w="5728" w:type="dxa"/>
          </w:tcPr>
          <w:p w14:paraId="1A0B7A81" w14:textId="77777777" w:rsidR="005D22F0" w:rsidRPr="004A1897" w:rsidRDefault="005D22F0" w:rsidP="00422633">
            <w:pPr>
              <w:pStyle w:val="ATSNormal"/>
              <w:rPr>
                <w:b/>
                <w:snapToGrid w:val="0"/>
                <w:sz w:val="20"/>
                <w:szCs w:val="20"/>
              </w:rPr>
            </w:pPr>
            <w:r w:rsidRPr="004A1897">
              <w:rPr>
                <w:b/>
                <w:snapToGrid w:val="0"/>
                <w:sz w:val="20"/>
                <w:szCs w:val="20"/>
              </w:rPr>
              <w:t>2. Is a new ASMA proposed?</w:t>
            </w:r>
          </w:p>
        </w:tc>
        <w:tc>
          <w:tcPr>
            <w:tcW w:w="3901" w:type="dxa"/>
          </w:tcPr>
          <w:p w14:paraId="456768F3" w14:textId="77777777" w:rsidR="005D22F0" w:rsidRPr="004A1897" w:rsidRDefault="005D22F0" w:rsidP="00422633">
            <w:pPr>
              <w:pStyle w:val="ATSNormal"/>
              <w:rPr>
                <w:snapToGrid w:val="0"/>
                <w:sz w:val="20"/>
                <w:szCs w:val="20"/>
              </w:rPr>
            </w:pPr>
            <w:r w:rsidRPr="004A1897">
              <w:rPr>
                <w:snapToGrid w:val="0"/>
                <w:sz w:val="20"/>
                <w:szCs w:val="20"/>
              </w:rPr>
              <w:t>No</w:t>
            </w:r>
          </w:p>
        </w:tc>
      </w:tr>
      <w:tr w:rsidR="005D22F0" w:rsidRPr="00323C65" w14:paraId="09F21DAF" w14:textId="77777777" w:rsidTr="005D22F0">
        <w:tc>
          <w:tcPr>
            <w:tcW w:w="5728" w:type="dxa"/>
          </w:tcPr>
          <w:p w14:paraId="3B385EDD" w14:textId="77777777" w:rsidR="005D22F0" w:rsidRPr="004A1897" w:rsidRDefault="005D22F0" w:rsidP="00422633">
            <w:pPr>
              <w:pStyle w:val="ATSNormal"/>
              <w:rPr>
                <w:b/>
                <w:snapToGrid w:val="0"/>
                <w:sz w:val="20"/>
                <w:szCs w:val="20"/>
              </w:rPr>
            </w:pPr>
            <w:r w:rsidRPr="004A1897">
              <w:rPr>
                <w:b/>
                <w:snapToGrid w:val="0"/>
                <w:sz w:val="20"/>
                <w:szCs w:val="20"/>
              </w:rPr>
              <w:t>3. Does the proposal relate to an existing ASPA or ASMA?</w:t>
            </w:r>
          </w:p>
        </w:tc>
        <w:tc>
          <w:tcPr>
            <w:tcW w:w="3901" w:type="dxa"/>
          </w:tcPr>
          <w:p w14:paraId="7C9C0ED6" w14:textId="77777777" w:rsidR="005D22F0" w:rsidRPr="004A1897" w:rsidRDefault="005D22F0" w:rsidP="00422633">
            <w:pPr>
              <w:pStyle w:val="ATSNormal"/>
              <w:rPr>
                <w:snapToGrid w:val="0"/>
                <w:sz w:val="20"/>
                <w:szCs w:val="20"/>
              </w:rPr>
            </w:pPr>
            <w:r w:rsidRPr="004A1897">
              <w:rPr>
                <w:snapToGrid w:val="0"/>
                <w:sz w:val="20"/>
                <w:szCs w:val="20"/>
              </w:rPr>
              <w:t>Yes</w:t>
            </w:r>
          </w:p>
        </w:tc>
      </w:tr>
      <w:tr w:rsidR="005D22F0" w:rsidRPr="00323C65" w14:paraId="1448FB55" w14:textId="77777777" w:rsidTr="005D22F0">
        <w:tc>
          <w:tcPr>
            <w:tcW w:w="5728" w:type="dxa"/>
          </w:tcPr>
          <w:p w14:paraId="28697275" w14:textId="77777777" w:rsidR="005D22F0" w:rsidRPr="004A1897" w:rsidRDefault="005D22F0" w:rsidP="00422633">
            <w:pPr>
              <w:pStyle w:val="ATSNormal"/>
              <w:jc w:val="center"/>
              <w:rPr>
                <w:i/>
                <w:sz w:val="20"/>
                <w:szCs w:val="20"/>
              </w:rPr>
            </w:pPr>
            <w:r w:rsidRPr="004A1897">
              <w:rPr>
                <w:i/>
                <w:sz w:val="20"/>
                <w:szCs w:val="20"/>
              </w:rPr>
              <w:t>First designation:</w:t>
            </w:r>
          </w:p>
        </w:tc>
        <w:tc>
          <w:tcPr>
            <w:tcW w:w="3901" w:type="dxa"/>
          </w:tcPr>
          <w:p w14:paraId="7058A899" w14:textId="77777777" w:rsidR="005D22F0" w:rsidRPr="004A1897" w:rsidRDefault="005D22F0" w:rsidP="00422633">
            <w:pPr>
              <w:pStyle w:val="ATSNormal"/>
              <w:rPr>
                <w:snapToGrid w:val="0"/>
                <w:sz w:val="20"/>
                <w:szCs w:val="20"/>
              </w:rPr>
            </w:pPr>
            <w:r w:rsidRPr="00E20B2B">
              <w:rPr>
                <w:sz w:val="20"/>
                <w:szCs w:val="20"/>
                <w:lang w:val="en-US"/>
              </w:rPr>
              <w:t xml:space="preserve">Specially Protected Area (SPA) through Recommendation </w:t>
            </w:r>
            <w:r>
              <w:rPr>
                <w:sz w:val="20"/>
                <w:szCs w:val="20"/>
                <w:lang w:val="en-US"/>
              </w:rPr>
              <w:t>I</w:t>
            </w:r>
            <w:r w:rsidRPr="00E20B2B">
              <w:rPr>
                <w:sz w:val="20"/>
                <w:szCs w:val="20"/>
                <w:lang w:val="en-US"/>
              </w:rPr>
              <w:t>V-</w:t>
            </w:r>
            <w:r>
              <w:rPr>
                <w:sz w:val="20"/>
                <w:szCs w:val="20"/>
                <w:lang w:val="en-US"/>
              </w:rPr>
              <w:t>7</w:t>
            </w:r>
            <w:r w:rsidRPr="00E20B2B">
              <w:rPr>
                <w:sz w:val="20"/>
                <w:szCs w:val="20"/>
                <w:lang w:val="en-US"/>
              </w:rPr>
              <w:t xml:space="preserve"> (19</w:t>
            </w:r>
            <w:r>
              <w:rPr>
                <w:sz w:val="20"/>
                <w:szCs w:val="20"/>
                <w:lang w:val="en-US"/>
              </w:rPr>
              <w:t>66</w:t>
            </w:r>
            <w:r w:rsidRPr="00E20B2B">
              <w:rPr>
                <w:sz w:val="20"/>
                <w:szCs w:val="20"/>
                <w:lang w:val="en-US"/>
              </w:rPr>
              <w:t xml:space="preserve">, SPA No. </w:t>
            </w:r>
            <w:r>
              <w:rPr>
                <w:sz w:val="20"/>
                <w:szCs w:val="20"/>
                <w:lang w:val="en-US"/>
              </w:rPr>
              <w:t>7</w:t>
            </w:r>
            <w:r w:rsidRPr="00E20B2B">
              <w:rPr>
                <w:sz w:val="20"/>
                <w:szCs w:val="20"/>
                <w:lang w:val="en-US"/>
              </w:rPr>
              <w:t>)</w:t>
            </w:r>
          </w:p>
        </w:tc>
      </w:tr>
      <w:tr w:rsidR="005D22F0" w:rsidRPr="00323C65" w14:paraId="1E9FA96C" w14:textId="77777777" w:rsidTr="005D22F0">
        <w:tc>
          <w:tcPr>
            <w:tcW w:w="5728" w:type="dxa"/>
          </w:tcPr>
          <w:p w14:paraId="4EDEA832" w14:textId="77777777" w:rsidR="005D22F0" w:rsidRPr="004A1897" w:rsidRDefault="005D22F0" w:rsidP="00422633">
            <w:pPr>
              <w:pStyle w:val="ATSNormal"/>
              <w:jc w:val="center"/>
              <w:rPr>
                <w:i/>
                <w:sz w:val="20"/>
                <w:szCs w:val="20"/>
              </w:rPr>
            </w:pPr>
            <w:r w:rsidRPr="004A1897">
              <w:rPr>
                <w:i/>
                <w:sz w:val="20"/>
                <w:szCs w:val="20"/>
              </w:rPr>
              <w:t>First adoption of management plan:</w:t>
            </w:r>
          </w:p>
        </w:tc>
        <w:tc>
          <w:tcPr>
            <w:tcW w:w="3901" w:type="dxa"/>
          </w:tcPr>
          <w:p w14:paraId="4EE76878" w14:textId="77777777" w:rsidR="005D22F0" w:rsidRPr="004A1897" w:rsidRDefault="005D22F0" w:rsidP="00422633">
            <w:pPr>
              <w:pStyle w:val="ATSNormal"/>
              <w:rPr>
                <w:snapToGrid w:val="0"/>
                <w:sz w:val="20"/>
                <w:szCs w:val="20"/>
              </w:rPr>
            </w:pPr>
            <w:r w:rsidRPr="00E20B2B">
              <w:rPr>
                <w:sz w:val="20"/>
                <w:szCs w:val="20"/>
                <w:lang w:val="en-US"/>
              </w:rPr>
              <w:t xml:space="preserve">Recommendation </w:t>
            </w:r>
            <w:r>
              <w:rPr>
                <w:sz w:val="20"/>
                <w:szCs w:val="20"/>
                <w:lang w:val="en-US"/>
              </w:rPr>
              <w:t>I</w:t>
            </w:r>
            <w:r w:rsidRPr="00E20B2B">
              <w:rPr>
                <w:sz w:val="20"/>
                <w:szCs w:val="20"/>
                <w:lang w:val="en-US"/>
              </w:rPr>
              <w:t>V-</w:t>
            </w:r>
            <w:r>
              <w:rPr>
                <w:sz w:val="20"/>
                <w:szCs w:val="20"/>
                <w:lang w:val="en-US"/>
              </w:rPr>
              <w:t>7</w:t>
            </w:r>
          </w:p>
        </w:tc>
      </w:tr>
      <w:tr w:rsidR="005D22F0" w:rsidRPr="00323C65" w14:paraId="2879274A" w14:textId="77777777" w:rsidTr="005D22F0">
        <w:tc>
          <w:tcPr>
            <w:tcW w:w="5728" w:type="dxa"/>
          </w:tcPr>
          <w:p w14:paraId="6E33684D" w14:textId="77777777" w:rsidR="005D22F0" w:rsidRPr="004A1897" w:rsidRDefault="005D22F0" w:rsidP="00422633">
            <w:pPr>
              <w:pStyle w:val="ATSNormal"/>
              <w:jc w:val="center"/>
              <w:rPr>
                <w:i/>
                <w:sz w:val="20"/>
                <w:szCs w:val="20"/>
              </w:rPr>
            </w:pPr>
            <w:r w:rsidRPr="004A1897">
              <w:rPr>
                <w:i/>
                <w:sz w:val="20"/>
                <w:szCs w:val="20"/>
              </w:rPr>
              <w:t>Any revisions to management plan:</w:t>
            </w:r>
          </w:p>
        </w:tc>
        <w:tc>
          <w:tcPr>
            <w:tcW w:w="3901" w:type="dxa"/>
          </w:tcPr>
          <w:p w14:paraId="45354A88" w14:textId="77777777" w:rsidR="005D22F0" w:rsidRPr="004A1897" w:rsidRDefault="005D22F0" w:rsidP="00422633">
            <w:pPr>
              <w:pStyle w:val="ATSNormal"/>
              <w:rPr>
                <w:sz w:val="20"/>
                <w:szCs w:val="20"/>
              </w:rPr>
            </w:pPr>
            <w:r>
              <w:rPr>
                <w:sz w:val="20"/>
                <w:szCs w:val="20"/>
              </w:rPr>
              <w:t xml:space="preserve">Recommendation XIII-13 (1985), Measure 1 (2002), </w:t>
            </w:r>
            <w:r w:rsidRPr="00E20B2B">
              <w:rPr>
                <w:sz w:val="20"/>
                <w:szCs w:val="20"/>
              </w:rPr>
              <w:t xml:space="preserve">Measure </w:t>
            </w:r>
            <w:r>
              <w:rPr>
                <w:sz w:val="20"/>
                <w:szCs w:val="20"/>
              </w:rPr>
              <w:t>5</w:t>
            </w:r>
            <w:r w:rsidRPr="00E20B2B">
              <w:rPr>
                <w:sz w:val="20"/>
                <w:szCs w:val="20"/>
              </w:rPr>
              <w:t xml:space="preserve"> (2010)</w:t>
            </w:r>
            <w:r>
              <w:rPr>
                <w:sz w:val="20"/>
                <w:szCs w:val="20"/>
              </w:rPr>
              <w:t>, Measure 6 (2015).</w:t>
            </w:r>
          </w:p>
        </w:tc>
      </w:tr>
      <w:tr w:rsidR="005D22F0" w:rsidRPr="00323C65" w14:paraId="08430101" w14:textId="77777777" w:rsidTr="005D22F0">
        <w:tc>
          <w:tcPr>
            <w:tcW w:w="5728" w:type="dxa"/>
          </w:tcPr>
          <w:p w14:paraId="4AE4FA3B" w14:textId="77777777" w:rsidR="005D22F0" w:rsidRPr="004A1897" w:rsidRDefault="005D22F0" w:rsidP="00422633">
            <w:pPr>
              <w:pStyle w:val="ATSNormal"/>
              <w:jc w:val="center"/>
              <w:rPr>
                <w:i/>
                <w:sz w:val="20"/>
                <w:szCs w:val="20"/>
              </w:rPr>
            </w:pPr>
            <w:r w:rsidRPr="004A1897">
              <w:rPr>
                <w:i/>
                <w:sz w:val="20"/>
                <w:szCs w:val="20"/>
              </w:rPr>
              <w:t>Current management plan:</w:t>
            </w:r>
          </w:p>
        </w:tc>
        <w:tc>
          <w:tcPr>
            <w:tcW w:w="3901" w:type="dxa"/>
          </w:tcPr>
          <w:p w14:paraId="4D6073B0" w14:textId="77777777" w:rsidR="005D22F0" w:rsidRPr="004A1897" w:rsidRDefault="005D22F0" w:rsidP="00422633">
            <w:pPr>
              <w:pStyle w:val="ATSNormal"/>
              <w:rPr>
                <w:snapToGrid w:val="0"/>
                <w:sz w:val="20"/>
                <w:szCs w:val="20"/>
              </w:rPr>
            </w:pPr>
            <w:r w:rsidRPr="004A1897">
              <w:rPr>
                <w:sz w:val="20"/>
                <w:szCs w:val="20"/>
              </w:rPr>
              <w:t xml:space="preserve">Measure </w:t>
            </w:r>
            <w:r>
              <w:rPr>
                <w:sz w:val="20"/>
                <w:szCs w:val="20"/>
              </w:rPr>
              <w:t>6 (2015</w:t>
            </w:r>
            <w:r w:rsidRPr="004A1897">
              <w:rPr>
                <w:sz w:val="20"/>
                <w:szCs w:val="20"/>
              </w:rPr>
              <w:t>).</w:t>
            </w:r>
          </w:p>
        </w:tc>
      </w:tr>
      <w:tr w:rsidR="005D22F0" w:rsidRPr="00323C65" w14:paraId="5A01A818" w14:textId="77777777" w:rsidTr="005D22F0">
        <w:tc>
          <w:tcPr>
            <w:tcW w:w="5728" w:type="dxa"/>
          </w:tcPr>
          <w:p w14:paraId="0D8A4395" w14:textId="77777777" w:rsidR="005D22F0" w:rsidRPr="004A1897" w:rsidRDefault="005D22F0" w:rsidP="00422633">
            <w:pPr>
              <w:pStyle w:val="ATSNormal"/>
              <w:jc w:val="center"/>
              <w:rPr>
                <w:i/>
                <w:sz w:val="20"/>
                <w:szCs w:val="20"/>
              </w:rPr>
            </w:pPr>
            <w:r w:rsidRPr="004A1897">
              <w:rPr>
                <w:i/>
                <w:sz w:val="20"/>
                <w:szCs w:val="20"/>
              </w:rPr>
              <w:t>Any extensions of expiry dates of management plan:</w:t>
            </w:r>
          </w:p>
        </w:tc>
        <w:tc>
          <w:tcPr>
            <w:tcW w:w="3901" w:type="dxa"/>
          </w:tcPr>
          <w:p w14:paraId="0C4F51CC" w14:textId="77777777" w:rsidR="005D22F0" w:rsidRPr="004A1897" w:rsidRDefault="005D22F0" w:rsidP="00422633">
            <w:pPr>
              <w:pStyle w:val="ATSNormal"/>
              <w:rPr>
                <w:snapToGrid w:val="0"/>
                <w:sz w:val="20"/>
                <w:szCs w:val="20"/>
                <w:highlight w:val="yellow"/>
              </w:rPr>
            </w:pPr>
            <w:r>
              <w:rPr>
                <w:snapToGrid w:val="0"/>
                <w:sz w:val="20"/>
                <w:szCs w:val="20"/>
              </w:rPr>
              <w:t>N/A</w:t>
            </w:r>
          </w:p>
        </w:tc>
      </w:tr>
      <w:tr w:rsidR="005D22F0" w:rsidRPr="00323C65" w14:paraId="57A10C24" w14:textId="77777777" w:rsidTr="005D22F0">
        <w:tc>
          <w:tcPr>
            <w:tcW w:w="5728" w:type="dxa"/>
          </w:tcPr>
          <w:p w14:paraId="0C9A8846" w14:textId="77777777" w:rsidR="005D22F0" w:rsidRPr="004A1897" w:rsidRDefault="005D22F0" w:rsidP="00422633">
            <w:pPr>
              <w:pStyle w:val="ATSNormal"/>
              <w:jc w:val="center"/>
              <w:rPr>
                <w:i/>
                <w:sz w:val="20"/>
                <w:szCs w:val="20"/>
              </w:rPr>
            </w:pPr>
            <w:r w:rsidRPr="004A1897">
              <w:rPr>
                <w:i/>
                <w:sz w:val="20"/>
                <w:szCs w:val="20"/>
              </w:rPr>
              <w:t>Renamed and renumbered by Decision 1 (2002) as:</w:t>
            </w:r>
          </w:p>
        </w:tc>
        <w:tc>
          <w:tcPr>
            <w:tcW w:w="3901" w:type="dxa"/>
          </w:tcPr>
          <w:p w14:paraId="1F6A99F5" w14:textId="77777777" w:rsidR="005D22F0" w:rsidRPr="004A1897" w:rsidRDefault="005D22F0" w:rsidP="00422633">
            <w:pPr>
              <w:pStyle w:val="ATSNormal"/>
              <w:rPr>
                <w:snapToGrid w:val="0"/>
                <w:sz w:val="20"/>
                <w:szCs w:val="20"/>
                <w:highlight w:val="yellow"/>
              </w:rPr>
            </w:pPr>
            <w:r w:rsidRPr="00E20B2B">
              <w:rPr>
                <w:sz w:val="20"/>
                <w:szCs w:val="20"/>
              </w:rPr>
              <w:t>ASPA No. 1</w:t>
            </w:r>
            <w:r>
              <w:rPr>
                <w:sz w:val="20"/>
                <w:szCs w:val="20"/>
              </w:rPr>
              <w:t>06</w:t>
            </w:r>
            <w:r w:rsidRPr="00E20B2B">
              <w:rPr>
                <w:sz w:val="20"/>
                <w:szCs w:val="20"/>
              </w:rPr>
              <w:t xml:space="preserve"> </w:t>
            </w:r>
            <w:r>
              <w:rPr>
                <w:sz w:val="20"/>
                <w:szCs w:val="20"/>
              </w:rPr>
              <w:t>Cape Hallett, Northern Victoria Land, Ross Sea.</w:t>
            </w:r>
          </w:p>
        </w:tc>
      </w:tr>
      <w:tr w:rsidR="005D22F0" w:rsidRPr="00323C65" w14:paraId="57AC4345" w14:textId="77777777" w:rsidTr="005D22F0">
        <w:tc>
          <w:tcPr>
            <w:tcW w:w="5728" w:type="dxa"/>
          </w:tcPr>
          <w:p w14:paraId="585BAD80" w14:textId="77777777" w:rsidR="005D22F0" w:rsidRPr="004A1897" w:rsidRDefault="005D22F0" w:rsidP="00422633">
            <w:pPr>
              <w:pStyle w:val="ATSNormal"/>
              <w:jc w:val="center"/>
              <w:rPr>
                <w:i/>
                <w:sz w:val="20"/>
                <w:szCs w:val="20"/>
              </w:rPr>
            </w:pPr>
            <w:r w:rsidRPr="004A1897">
              <w:rPr>
                <w:i/>
                <w:sz w:val="20"/>
                <w:szCs w:val="20"/>
              </w:rPr>
              <w:t>Other relevant measures:</w:t>
            </w:r>
          </w:p>
        </w:tc>
        <w:tc>
          <w:tcPr>
            <w:tcW w:w="3901" w:type="dxa"/>
          </w:tcPr>
          <w:p w14:paraId="501BDAF8" w14:textId="77777777" w:rsidR="005D22F0" w:rsidRPr="004A1897" w:rsidRDefault="005D22F0" w:rsidP="00422633">
            <w:pPr>
              <w:pStyle w:val="ATSNormal"/>
              <w:rPr>
                <w:snapToGrid w:val="0"/>
                <w:sz w:val="20"/>
                <w:szCs w:val="20"/>
                <w:highlight w:val="yellow"/>
              </w:rPr>
            </w:pPr>
            <w:r w:rsidRPr="00822C2B">
              <w:rPr>
                <w:snapToGrid w:val="0"/>
                <w:sz w:val="20"/>
                <w:szCs w:val="20"/>
                <w:lang w:eastAsia="en-US"/>
              </w:rPr>
              <w:t>Antarctic Treaty Visitor Site Guidelines for Seabee Hook, Cape Hallett</w:t>
            </w:r>
          </w:p>
        </w:tc>
      </w:tr>
      <w:tr w:rsidR="005D22F0" w:rsidRPr="00323C65" w14:paraId="6522F910" w14:textId="77777777" w:rsidTr="005D22F0">
        <w:trPr>
          <w:cantSplit/>
        </w:trPr>
        <w:tc>
          <w:tcPr>
            <w:tcW w:w="9629" w:type="dxa"/>
            <w:gridSpan w:val="2"/>
          </w:tcPr>
          <w:p w14:paraId="069D8C7B" w14:textId="77777777" w:rsidR="005D22F0" w:rsidRPr="004A1897" w:rsidRDefault="005D22F0" w:rsidP="00422633">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5D22F0" w:rsidRPr="00323C65" w14:paraId="2DF1EC9D" w14:textId="77777777" w:rsidTr="005D22F0">
        <w:tc>
          <w:tcPr>
            <w:tcW w:w="5728" w:type="dxa"/>
          </w:tcPr>
          <w:p w14:paraId="09B9C55D" w14:textId="77777777" w:rsidR="005D22F0" w:rsidRPr="004A1897" w:rsidRDefault="005D22F0" w:rsidP="00422633">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901" w:type="dxa"/>
          </w:tcPr>
          <w:p w14:paraId="36D53F80" w14:textId="77777777" w:rsidR="005D22F0" w:rsidRPr="004A1897" w:rsidRDefault="005D22F0" w:rsidP="00422633">
            <w:pPr>
              <w:pStyle w:val="ATSNormal"/>
              <w:rPr>
                <w:snapToGrid w:val="0"/>
                <w:sz w:val="20"/>
                <w:szCs w:val="20"/>
              </w:rPr>
            </w:pPr>
            <w:r w:rsidRPr="004A1897">
              <w:rPr>
                <w:snapToGrid w:val="0"/>
                <w:sz w:val="20"/>
                <w:szCs w:val="20"/>
              </w:rPr>
              <w:t>Minor.</w:t>
            </w:r>
          </w:p>
        </w:tc>
      </w:tr>
      <w:tr w:rsidR="005D22F0" w:rsidRPr="00323C65" w14:paraId="00891FC0" w14:textId="77777777" w:rsidTr="005D22F0">
        <w:tc>
          <w:tcPr>
            <w:tcW w:w="5728" w:type="dxa"/>
          </w:tcPr>
          <w:p w14:paraId="350F1814" w14:textId="77777777" w:rsidR="005D22F0" w:rsidRPr="004A1897" w:rsidRDefault="005D22F0" w:rsidP="00422633">
            <w:pPr>
              <w:pStyle w:val="ATSNormal"/>
              <w:jc w:val="center"/>
              <w:rPr>
                <w:i/>
                <w:sz w:val="20"/>
                <w:szCs w:val="20"/>
              </w:rPr>
            </w:pPr>
            <w:r w:rsidRPr="004A1897">
              <w:rPr>
                <w:i/>
                <w:sz w:val="20"/>
                <w:szCs w:val="20"/>
              </w:rPr>
              <w:t>(ii) any changes to the boundaries or co-ordinates?</w:t>
            </w:r>
          </w:p>
        </w:tc>
        <w:tc>
          <w:tcPr>
            <w:tcW w:w="3901" w:type="dxa"/>
          </w:tcPr>
          <w:p w14:paraId="1F1B9753" w14:textId="77777777" w:rsidR="005D22F0" w:rsidRPr="004A1897" w:rsidRDefault="005D22F0" w:rsidP="00422633">
            <w:pPr>
              <w:pStyle w:val="ATSNormal"/>
              <w:rPr>
                <w:snapToGrid w:val="0"/>
                <w:sz w:val="20"/>
                <w:szCs w:val="20"/>
              </w:rPr>
            </w:pPr>
            <w:r>
              <w:rPr>
                <w:snapToGrid w:val="0"/>
                <w:sz w:val="20"/>
                <w:szCs w:val="20"/>
              </w:rPr>
              <w:t>The northern boundary of the Area has been adjusted on Seabee Hook to reflect the most recent data on the distribution of breeding penguins</w:t>
            </w:r>
            <w:r w:rsidRPr="004A1897">
              <w:rPr>
                <w:snapToGrid w:val="0"/>
                <w:sz w:val="20"/>
                <w:szCs w:val="20"/>
              </w:rPr>
              <w:t>.</w:t>
            </w:r>
            <w:r>
              <w:rPr>
                <w:snapToGrid w:val="0"/>
                <w:sz w:val="20"/>
                <w:szCs w:val="20"/>
              </w:rPr>
              <w:t xml:space="preserve"> A new Facilities Zone has been designated in the southeast of the Area.</w:t>
            </w:r>
          </w:p>
        </w:tc>
      </w:tr>
      <w:tr w:rsidR="005D22F0" w:rsidRPr="00323C65" w14:paraId="7C3D81DE" w14:textId="77777777" w:rsidTr="005D22F0">
        <w:tc>
          <w:tcPr>
            <w:tcW w:w="5728" w:type="dxa"/>
          </w:tcPr>
          <w:p w14:paraId="2793BF00" w14:textId="77777777" w:rsidR="005D22F0" w:rsidRPr="004A1897" w:rsidRDefault="005D22F0" w:rsidP="00422633">
            <w:pPr>
              <w:pStyle w:val="ATSNormal"/>
              <w:jc w:val="center"/>
              <w:rPr>
                <w:i/>
                <w:sz w:val="20"/>
                <w:szCs w:val="20"/>
              </w:rPr>
            </w:pPr>
            <w:r w:rsidRPr="004A1897">
              <w:rPr>
                <w:i/>
                <w:sz w:val="20"/>
                <w:szCs w:val="20"/>
              </w:rPr>
              <w:t>(iii) any changes to the maps? If yes, are the changes in the captions only or also in the graphics?</w:t>
            </w:r>
          </w:p>
        </w:tc>
        <w:tc>
          <w:tcPr>
            <w:tcW w:w="3901" w:type="dxa"/>
          </w:tcPr>
          <w:p w14:paraId="6A1329F5" w14:textId="77777777" w:rsidR="005D22F0" w:rsidRPr="004A1897" w:rsidRDefault="005D22F0" w:rsidP="00422633">
            <w:pPr>
              <w:pStyle w:val="ATSNormal"/>
              <w:rPr>
                <w:sz w:val="20"/>
                <w:szCs w:val="20"/>
              </w:rPr>
            </w:pPr>
            <w:r w:rsidRPr="004A1897">
              <w:rPr>
                <w:snapToGrid w:val="0"/>
                <w:sz w:val="20"/>
                <w:szCs w:val="20"/>
              </w:rPr>
              <w:t>Yes</w:t>
            </w:r>
            <w:r w:rsidRPr="004A1897">
              <w:rPr>
                <w:sz w:val="20"/>
                <w:szCs w:val="20"/>
              </w:rPr>
              <w:t xml:space="preserve">. </w:t>
            </w:r>
            <w:r>
              <w:rPr>
                <w:sz w:val="20"/>
                <w:szCs w:val="20"/>
              </w:rPr>
              <w:t xml:space="preserve">Changes to graphics with </w:t>
            </w:r>
            <w:proofErr w:type="spellStart"/>
            <w:r>
              <w:rPr>
                <w:sz w:val="20"/>
                <w:szCs w:val="20"/>
              </w:rPr>
              <w:t>color</w:t>
            </w:r>
            <w:proofErr w:type="spellEnd"/>
            <w:r>
              <w:rPr>
                <w:sz w:val="20"/>
                <w:szCs w:val="20"/>
              </w:rPr>
              <w:t xml:space="preserve"> added to all maps. A </w:t>
            </w:r>
            <w:r w:rsidRPr="004A1897">
              <w:rPr>
                <w:sz w:val="20"/>
                <w:szCs w:val="20"/>
              </w:rPr>
              <w:t xml:space="preserve">map </w:t>
            </w:r>
            <w:r>
              <w:rPr>
                <w:sz w:val="20"/>
                <w:szCs w:val="20"/>
              </w:rPr>
              <w:t xml:space="preserve">of the new Facilities Zone has been </w:t>
            </w:r>
            <w:r w:rsidRPr="004A1897">
              <w:rPr>
                <w:sz w:val="20"/>
                <w:szCs w:val="20"/>
              </w:rPr>
              <w:t>added.</w:t>
            </w:r>
          </w:p>
        </w:tc>
      </w:tr>
      <w:tr w:rsidR="005D22F0" w:rsidRPr="00323C65" w14:paraId="22AE5C6B" w14:textId="77777777" w:rsidTr="005D22F0">
        <w:tc>
          <w:tcPr>
            <w:tcW w:w="5728" w:type="dxa"/>
          </w:tcPr>
          <w:p w14:paraId="5EAC0C58" w14:textId="77777777" w:rsidR="005D22F0" w:rsidRPr="004A1897" w:rsidRDefault="005D22F0" w:rsidP="00422633">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01" w:type="dxa"/>
          </w:tcPr>
          <w:p w14:paraId="09627EFD" w14:textId="77777777" w:rsidR="005D22F0" w:rsidRPr="004A1897" w:rsidRDefault="005D22F0" w:rsidP="00422633">
            <w:pPr>
              <w:pStyle w:val="ATSNormal"/>
              <w:rPr>
                <w:snapToGrid w:val="0"/>
                <w:sz w:val="20"/>
                <w:szCs w:val="20"/>
              </w:rPr>
            </w:pPr>
            <w:r>
              <w:rPr>
                <w:snapToGrid w:val="0"/>
                <w:sz w:val="20"/>
                <w:szCs w:val="20"/>
              </w:rPr>
              <w:t>Yes</w:t>
            </w:r>
            <w:r w:rsidRPr="004A1897">
              <w:rPr>
                <w:snapToGrid w:val="0"/>
                <w:sz w:val="20"/>
                <w:szCs w:val="20"/>
              </w:rPr>
              <w:t>.</w:t>
            </w:r>
            <w:r>
              <w:rPr>
                <w:snapToGrid w:val="0"/>
                <w:sz w:val="20"/>
                <w:szCs w:val="20"/>
              </w:rPr>
              <w:t xml:space="preserve"> A Facilities Zone has been added to the description of the Area and to relevant maps.</w:t>
            </w:r>
          </w:p>
        </w:tc>
      </w:tr>
      <w:tr w:rsidR="005D22F0" w:rsidRPr="00323C65" w14:paraId="1D1A61AE" w14:textId="77777777" w:rsidTr="005D22F0">
        <w:tc>
          <w:tcPr>
            <w:tcW w:w="5728" w:type="dxa"/>
          </w:tcPr>
          <w:p w14:paraId="161C4AAB" w14:textId="77777777" w:rsidR="005D22F0" w:rsidRPr="004A1897" w:rsidRDefault="005D22F0" w:rsidP="00422633">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3901" w:type="dxa"/>
          </w:tcPr>
          <w:p w14:paraId="566934C6" w14:textId="77777777" w:rsidR="005D22F0" w:rsidRPr="004A1897" w:rsidRDefault="005D22F0" w:rsidP="00422633">
            <w:pPr>
              <w:pStyle w:val="ATSNormal"/>
              <w:rPr>
                <w:snapToGrid w:val="0"/>
                <w:sz w:val="20"/>
                <w:szCs w:val="20"/>
              </w:rPr>
            </w:pPr>
            <w:r>
              <w:rPr>
                <w:snapToGrid w:val="0"/>
                <w:sz w:val="20"/>
                <w:szCs w:val="20"/>
              </w:rPr>
              <w:t>No</w:t>
            </w:r>
            <w:r w:rsidRPr="004A1897">
              <w:rPr>
                <w:snapToGrid w:val="0"/>
                <w:sz w:val="20"/>
                <w:szCs w:val="20"/>
              </w:rPr>
              <w:t>.</w:t>
            </w:r>
            <w:r>
              <w:rPr>
                <w:snapToGrid w:val="0"/>
                <w:sz w:val="20"/>
                <w:szCs w:val="20"/>
              </w:rPr>
              <w:t xml:space="preserve"> However, minor changes to the boundary affect the adjacent Visitor Site Guidelines area at Seabee Hook.</w:t>
            </w:r>
          </w:p>
        </w:tc>
      </w:tr>
      <w:tr w:rsidR="005D22F0" w:rsidRPr="00323C65" w14:paraId="0F805E8D" w14:textId="77777777" w:rsidTr="005D22F0">
        <w:tc>
          <w:tcPr>
            <w:tcW w:w="5728" w:type="dxa"/>
          </w:tcPr>
          <w:p w14:paraId="18220A35" w14:textId="77777777" w:rsidR="005D22F0" w:rsidRPr="004A1897" w:rsidRDefault="005D22F0" w:rsidP="00422633">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3901" w:type="dxa"/>
          </w:tcPr>
          <w:p w14:paraId="6CEE5D5B" w14:textId="77777777" w:rsidR="005D22F0" w:rsidRPr="004A1897" w:rsidRDefault="005D22F0" w:rsidP="00422633">
            <w:pPr>
              <w:pStyle w:val="ATSNormal"/>
              <w:rPr>
                <w:sz w:val="20"/>
                <w:szCs w:val="20"/>
              </w:rPr>
            </w:pPr>
            <w:r w:rsidRPr="004A1897">
              <w:rPr>
                <w:sz w:val="20"/>
                <w:szCs w:val="20"/>
              </w:rPr>
              <w:t>See below for summary of changes.</w:t>
            </w:r>
          </w:p>
        </w:tc>
      </w:tr>
      <w:tr w:rsidR="005D22F0" w:rsidRPr="00323C65" w14:paraId="7BEF5BCD" w14:textId="77777777" w:rsidTr="005D22F0">
        <w:tc>
          <w:tcPr>
            <w:tcW w:w="5728" w:type="dxa"/>
          </w:tcPr>
          <w:p w14:paraId="4AB80FAE" w14:textId="77777777" w:rsidR="005D22F0" w:rsidRPr="004A1897" w:rsidRDefault="005D22F0" w:rsidP="00422633">
            <w:pPr>
              <w:pStyle w:val="ATSNormal"/>
              <w:rPr>
                <w:b/>
                <w:snapToGrid w:val="0"/>
                <w:sz w:val="20"/>
                <w:szCs w:val="20"/>
              </w:rPr>
            </w:pPr>
            <w:r w:rsidRPr="004A1897">
              <w:rPr>
                <w:b/>
                <w:snapToGrid w:val="0"/>
                <w:sz w:val="20"/>
                <w:szCs w:val="20"/>
              </w:rPr>
              <w:t>5. If a new ASPA or ASMA is proposed, does it contain any marine area?</w:t>
            </w:r>
          </w:p>
        </w:tc>
        <w:tc>
          <w:tcPr>
            <w:tcW w:w="3901" w:type="dxa"/>
          </w:tcPr>
          <w:p w14:paraId="123E527E" w14:textId="77777777" w:rsidR="005D22F0" w:rsidRPr="004A1897" w:rsidRDefault="005D22F0" w:rsidP="00422633">
            <w:pPr>
              <w:pStyle w:val="ATSNormal"/>
              <w:rPr>
                <w:snapToGrid w:val="0"/>
                <w:sz w:val="20"/>
                <w:szCs w:val="20"/>
              </w:rPr>
            </w:pPr>
            <w:r w:rsidRPr="004A1897">
              <w:rPr>
                <w:snapToGrid w:val="0"/>
                <w:sz w:val="20"/>
                <w:szCs w:val="20"/>
              </w:rPr>
              <w:t>N/A</w:t>
            </w:r>
          </w:p>
        </w:tc>
      </w:tr>
      <w:tr w:rsidR="005D22F0" w:rsidRPr="00323C65" w14:paraId="2E4DAE86" w14:textId="77777777" w:rsidTr="005D22F0">
        <w:tc>
          <w:tcPr>
            <w:tcW w:w="5728" w:type="dxa"/>
          </w:tcPr>
          <w:p w14:paraId="28A1B1DF" w14:textId="77777777" w:rsidR="005D22F0" w:rsidRPr="004A1897" w:rsidRDefault="005D22F0" w:rsidP="00422633">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901" w:type="dxa"/>
          </w:tcPr>
          <w:p w14:paraId="5E318F27" w14:textId="77777777" w:rsidR="005D22F0" w:rsidRPr="004A1897" w:rsidRDefault="005D22F0" w:rsidP="00422633">
            <w:pPr>
              <w:pStyle w:val="ATSNormal"/>
              <w:rPr>
                <w:snapToGrid w:val="0"/>
                <w:sz w:val="20"/>
                <w:szCs w:val="20"/>
              </w:rPr>
            </w:pPr>
            <w:r w:rsidRPr="004A1897">
              <w:rPr>
                <w:snapToGrid w:val="0"/>
                <w:sz w:val="20"/>
                <w:szCs w:val="20"/>
              </w:rPr>
              <w:t>N/A</w:t>
            </w:r>
          </w:p>
        </w:tc>
      </w:tr>
      <w:tr w:rsidR="005D22F0" w:rsidRPr="00323C65" w14:paraId="221CCE65" w14:textId="77777777" w:rsidTr="005D22F0">
        <w:tc>
          <w:tcPr>
            <w:tcW w:w="5728" w:type="dxa"/>
          </w:tcPr>
          <w:p w14:paraId="752D1EF9" w14:textId="77777777" w:rsidR="005D22F0" w:rsidRPr="004A1897" w:rsidRDefault="005D22F0" w:rsidP="00422633">
            <w:pPr>
              <w:pStyle w:val="ATSNormal"/>
              <w:rPr>
                <w:b/>
                <w:sz w:val="20"/>
                <w:szCs w:val="20"/>
              </w:rPr>
            </w:pPr>
            <w:r w:rsidRPr="004A1897">
              <w:rPr>
                <w:b/>
                <w:sz w:val="20"/>
                <w:szCs w:val="20"/>
              </w:rPr>
              <w:t xml:space="preserve">7. If yes, has the prior approval of CCAMLR been obtained? </w:t>
            </w:r>
          </w:p>
        </w:tc>
        <w:tc>
          <w:tcPr>
            <w:tcW w:w="3901" w:type="dxa"/>
          </w:tcPr>
          <w:p w14:paraId="5F0A1D8F" w14:textId="77777777" w:rsidR="005D22F0" w:rsidRPr="004A1897" w:rsidRDefault="005D22F0" w:rsidP="00422633">
            <w:pPr>
              <w:pStyle w:val="ATSNormal"/>
              <w:rPr>
                <w:snapToGrid w:val="0"/>
                <w:sz w:val="20"/>
                <w:szCs w:val="20"/>
              </w:rPr>
            </w:pPr>
            <w:r w:rsidRPr="004A1897">
              <w:rPr>
                <w:snapToGrid w:val="0"/>
                <w:sz w:val="20"/>
                <w:szCs w:val="20"/>
              </w:rPr>
              <w:t>N/A</w:t>
            </w:r>
          </w:p>
        </w:tc>
      </w:tr>
      <w:tr w:rsidR="005D22F0" w:rsidRPr="00323C65" w14:paraId="28CF190F" w14:textId="77777777" w:rsidTr="005D22F0">
        <w:tc>
          <w:tcPr>
            <w:tcW w:w="5728" w:type="dxa"/>
          </w:tcPr>
          <w:p w14:paraId="4626AB31" w14:textId="77777777" w:rsidR="005D22F0" w:rsidRPr="004A1897" w:rsidRDefault="005D22F0" w:rsidP="00422633">
            <w:pPr>
              <w:pStyle w:val="ATSNormal"/>
              <w:jc w:val="center"/>
              <w:rPr>
                <w:i/>
                <w:sz w:val="20"/>
                <w:szCs w:val="20"/>
              </w:rPr>
            </w:pPr>
            <w:r w:rsidRPr="004A1897">
              <w:rPr>
                <w:i/>
                <w:sz w:val="20"/>
                <w:szCs w:val="20"/>
              </w:rPr>
              <w:lastRenderedPageBreak/>
              <w:t>If yes, please list the CCAMLR Final Report and Paragraph No.</w:t>
            </w:r>
          </w:p>
        </w:tc>
        <w:tc>
          <w:tcPr>
            <w:tcW w:w="3901" w:type="dxa"/>
          </w:tcPr>
          <w:p w14:paraId="548260F9" w14:textId="77777777" w:rsidR="005D22F0" w:rsidRPr="004A1897" w:rsidRDefault="005D22F0" w:rsidP="00422633">
            <w:pPr>
              <w:pStyle w:val="ATSNormal"/>
              <w:rPr>
                <w:snapToGrid w:val="0"/>
                <w:sz w:val="20"/>
                <w:szCs w:val="20"/>
              </w:rPr>
            </w:pPr>
            <w:r w:rsidRPr="004A1897">
              <w:rPr>
                <w:snapToGrid w:val="0"/>
                <w:sz w:val="20"/>
                <w:szCs w:val="20"/>
              </w:rPr>
              <w:t>N/A</w:t>
            </w:r>
          </w:p>
        </w:tc>
      </w:tr>
      <w:tr w:rsidR="005D22F0" w14:paraId="50D93465" w14:textId="77777777" w:rsidTr="005D22F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2C011DCE" w14:textId="77777777" w:rsidR="005D22F0" w:rsidRPr="004A1897" w:rsidRDefault="005D22F0" w:rsidP="00422633">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01" w:type="dxa"/>
            <w:tcBorders>
              <w:top w:val="single" w:sz="4" w:space="0" w:color="auto"/>
              <w:left w:val="single" w:sz="4" w:space="0" w:color="auto"/>
              <w:bottom w:val="single" w:sz="4" w:space="0" w:color="auto"/>
              <w:right w:val="single" w:sz="4" w:space="0" w:color="auto"/>
            </w:tcBorders>
            <w:hideMark/>
          </w:tcPr>
          <w:p w14:paraId="41E13B02" w14:textId="77777777" w:rsidR="005D22F0" w:rsidRPr="00C545C3" w:rsidRDefault="005D22F0" w:rsidP="00422633">
            <w:pPr>
              <w:pStyle w:val="ATSNormal"/>
              <w:keepNext/>
              <w:rPr>
                <w:sz w:val="20"/>
                <w:szCs w:val="20"/>
              </w:rPr>
            </w:pPr>
            <w:r w:rsidRPr="004A1897">
              <w:rPr>
                <w:sz w:val="20"/>
                <w:szCs w:val="20"/>
              </w:rPr>
              <w:t>(</w:t>
            </w:r>
            <w:r w:rsidRPr="00C545C3">
              <w:rPr>
                <w:sz w:val="20"/>
                <w:szCs w:val="20"/>
              </w:rPr>
              <w:t xml:space="preserve">(b) representative examples of major terrestrial, including glacial and aquatic, </w:t>
            </w:r>
            <w:proofErr w:type="gramStart"/>
            <w:r w:rsidRPr="00C545C3">
              <w:rPr>
                <w:sz w:val="20"/>
                <w:szCs w:val="20"/>
              </w:rPr>
              <w:t>ecosystems;</w:t>
            </w:r>
            <w:proofErr w:type="gramEnd"/>
            <w:r w:rsidRPr="00C545C3">
              <w:rPr>
                <w:sz w:val="20"/>
                <w:szCs w:val="20"/>
              </w:rPr>
              <w:t xml:space="preserve"> </w:t>
            </w:r>
          </w:p>
          <w:p w14:paraId="78A18707" w14:textId="77777777" w:rsidR="005D22F0" w:rsidRDefault="005D22F0" w:rsidP="00422633">
            <w:pPr>
              <w:pStyle w:val="ATSNormal"/>
              <w:keepNext/>
              <w:rPr>
                <w:sz w:val="20"/>
                <w:szCs w:val="20"/>
              </w:rPr>
            </w:pPr>
            <w:r w:rsidRPr="00C545C3">
              <w:rPr>
                <w:sz w:val="20"/>
                <w:szCs w:val="20"/>
              </w:rPr>
              <w:t>(c) areas with important or unusual assemblages of species, including major colonies of breeding na</w:t>
            </w:r>
            <w:r>
              <w:rPr>
                <w:sz w:val="20"/>
                <w:szCs w:val="20"/>
              </w:rPr>
              <w:t xml:space="preserve">tive </w:t>
            </w:r>
            <w:proofErr w:type="gramStart"/>
            <w:r>
              <w:rPr>
                <w:sz w:val="20"/>
                <w:szCs w:val="20"/>
              </w:rPr>
              <w:t>birds;</w:t>
            </w:r>
            <w:proofErr w:type="gramEnd"/>
          </w:p>
          <w:p w14:paraId="67C6066F" w14:textId="77777777" w:rsidR="005D22F0" w:rsidRPr="00913B00" w:rsidRDefault="005D22F0" w:rsidP="00422633">
            <w:pPr>
              <w:pStyle w:val="ATSNormal"/>
              <w:keepNext/>
              <w:rPr>
                <w:sz w:val="20"/>
              </w:rPr>
            </w:pPr>
            <w:r w:rsidRPr="00913B00">
              <w:rPr>
                <w:sz w:val="20"/>
              </w:rPr>
              <w:t xml:space="preserve">(d) the </w:t>
            </w:r>
            <w:proofErr w:type="gramStart"/>
            <w:r w:rsidRPr="00913B00">
              <w:rPr>
                <w:sz w:val="20"/>
              </w:rPr>
              <w:t>type</w:t>
            </w:r>
            <w:proofErr w:type="gramEnd"/>
            <w:r w:rsidRPr="00913B00">
              <w:rPr>
                <w:sz w:val="20"/>
              </w:rPr>
              <w:t xml:space="preserve"> locality of </w:t>
            </w:r>
            <w:r>
              <w:rPr>
                <w:sz w:val="20"/>
              </w:rPr>
              <w:t>two</w:t>
            </w:r>
            <w:r w:rsidRPr="00913B00">
              <w:rPr>
                <w:sz w:val="20"/>
              </w:rPr>
              <w:t xml:space="preserve"> species;</w:t>
            </w:r>
          </w:p>
          <w:p w14:paraId="32F1C9EF" w14:textId="77777777" w:rsidR="005D22F0" w:rsidRPr="00C545C3" w:rsidRDefault="005D22F0" w:rsidP="00422633">
            <w:pPr>
              <w:pStyle w:val="ATSNormal"/>
              <w:keepNext/>
              <w:rPr>
                <w:snapToGrid w:val="0"/>
                <w:sz w:val="20"/>
                <w:szCs w:val="20"/>
              </w:rPr>
            </w:pPr>
            <w:r w:rsidRPr="00C545C3">
              <w:rPr>
                <w:snapToGrid w:val="0"/>
                <w:sz w:val="20"/>
                <w:szCs w:val="20"/>
              </w:rPr>
              <w:t xml:space="preserve">(e) areas of particular interest to on-going or planned scientific </w:t>
            </w:r>
            <w:proofErr w:type="gramStart"/>
            <w:r w:rsidRPr="00C545C3">
              <w:rPr>
                <w:snapToGrid w:val="0"/>
                <w:sz w:val="20"/>
                <w:szCs w:val="20"/>
              </w:rPr>
              <w:t>research</w:t>
            </w:r>
            <w:r>
              <w:rPr>
                <w:snapToGrid w:val="0"/>
                <w:sz w:val="20"/>
                <w:szCs w:val="20"/>
              </w:rPr>
              <w:t>;</w:t>
            </w:r>
            <w:proofErr w:type="gramEnd"/>
          </w:p>
          <w:p w14:paraId="00DCA81A" w14:textId="77777777" w:rsidR="005D22F0" w:rsidRPr="00C545C3" w:rsidRDefault="005D22F0" w:rsidP="00422633">
            <w:pPr>
              <w:pStyle w:val="ATSNormal"/>
              <w:keepNext/>
              <w:rPr>
                <w:sz w:val="20"/>
                <w:szCs w:val="20"/>
              </w:rPr>
            </w:pPr>
            <w:r w:rsidRPr="00C545C3">
              <w:rPr>
                <w:sz w:val="20"/>
                <w:szCs w:val="20"/>
              </w:rPr>
              <w:t xml:space="preserve">(g) areas of outstanding aesthetic </w:t>
            </w:r>
            <w:proofErr w:type="gramStart"/>
            <w:r w:rsidRPr="00C545C3">
              <w:rPr>
                <w:sz w:val="20"/>
                <w:szCs w:val="20"/>
              </w:rPr>
              <w:t>value;</w:t>
            </w:r>
            <w:proofErr w:type="gramEnd"/>
            <w:r w:rsidRPr="00C545C3">
              <w:rPr>
                <w:sz w:val="20"/>
                <w:szCs w:val="20"/>
              </w:rPr>
              <w:t xml:space="preserve"> </w:t>
            </w:r>
          </w:p>
          <w:p w14:paraId="2C298B7E" w14:textId="77777777" w:rsidR="005D22F0" w:rsidRPr="004A1897" w:rsidRDefault="005D22F0" w:rsidP="00422633">
            <w:pPr>
              <w:autoSpaceDE w:val="0"/>
              <w:autoSpaceDN w:val="0"/>
              <w:adjustRightInd w:val="0"/>
              <w:rPr>
                <w:sz w:val="20"/>
                <w:szCs w:val="20"/>
                <w:lang w:eastAsia="en-GB"/>
              </w:rPr>
            </w:pPr>
            <w:r w:rsidRPr="00C545C3">
              <w:rPr>
                <w:sz w:val="20"/>
                <w:szCs w:val="20"/>
              </w:rPr>
              <w:t>(h) sites of r</w:t>
            </w:r>
            <w:r>
              <w:rPr>
                <w:sz w:val="20"/>
                <w:szCs w:val="20"/>
              </w:rPr>
              <w:t>ecognised historic value.</w:t>
            </w:r>
          </w:p>
        </w:tc>
      </w:tr>
      <w:tr w:rsidR="005D22F0" w14:paraId="5918F5FD" w14:textId="77777777" w:rsidTr="005D22F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37BBE0F2" w14:textId="77777777" w:rsidR="005D22F0" w:rsidRPr="004A1897" w:rsidRDefault="005D22F0" w:rsidP="00422633">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01" w:type="dxa"/>
            <w:tcBorders>
              <w:top w:val="single" w:sz="4" w:space="0" w:color="auto"/>
              <w:left w:val="single" w:sz="4" w:space="0" w:color="auto"/>
              <w:bottom w:val="single" w:sz="4" w:space="0" w:color="auto"/>
              <w:right w:val="single" w:sz="4" w:space="0" w:color="auto"/>
            </w:tcBorders>
            <w:hideMark/>
          </w:tcPr>
          <w:p w14:paraId="3DB16268" w14:textId="77777777" w:rsidR="005D22F0" w:rsidRPr="004A1897" w:rsidRDefault="005D22F0" w:rsidP="00422633">
            <w:pPr>
              <w:pStyle w:val="ATSNormal"/>
              <w:rPr>
                <w:snapToGrid w:val="0"/>
                <w:color w:val="000000" w:themeColor="text1"/>
                <w:sz w:val="20"/>
                <w:szCs w:val="20"/>
              </w:rPr>
            </w:pPr>
            <w:r w:rsidRPr="003A295B">
              <w:rPr>
                <w:sz w:val="20"/>
              </w:rPr>
              <w:t>Yes. Environment U – North Victoria Land Geologic’.</w:t>
            </w:r>
          </w:p>
        </w:tc>
      </w:tr>
      <w:tr w:rsidR="005D22F0" w14:paraId="25218E95" w14:textId="77777777" w:rsidTr="005D22F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2DA1CC52" w14:textId="77777777" w:rsidR="005D22F0" w:rsidRPr="004A1897" w:rsidRDefault="005D22F0" w:rsidP="00422633">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01" w:type="dxa"/>
            <w:tcBorders>
              <w:top w:val="single" w:sz="4" w:space="0" w:color="auto"/>
              <w:left w:val="single" w:sz="4" w:space="0" w:color="auto"/>
              <w:bottom w:val="single" w:sz="4" w:space="0" w:color="auto"/>
              <w:right w:val="single" w:sz="4" w:space="0" w:color="auto"/>
            </w:tcBorders>
            <w:hideMark/>
          </w:tcPr>
          <w:p w14:paraId="33281E5C" w14:textId="77777777" w:rsidR="005D22F0" w:rsidRPr="004A1897" w:rsidRDefault="005D22F0" w:rsidP="00422633">
            <w:pPr>
              <w:pStyle w:val="ATSNormal"/>
              <w:rPr>
                <w:snapToGrid w:val="0"/>
                <w:color w:val="000000" w:themeColor="text1"/>
                <w:sz w:val="20"/>
                <w:szCs w:val="20"/>
              </w:rPr>
            </w:pPr>
            <w:r w:rsidRPr="003A295B">
              <w:rPr>
                <w:sz w:val="20"/>
              </w:rPr>
              <w:t>Yes. ACBR8 – North Victoria Land.</w:t>
            </w:r>
          </w:p>
        </w:tc>
      </w:tr>
      <w:tr w:rsidR="005D22F0" w14:paraId="7374804D" w14:textId="77777777" w:rsidTr="005D22F0">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1367B7D5" w14:textId="77777777" w:rsidR="005D22F0" w:rsidRPr="004A1897" w:rsidRDefault="005D22F0" w:rsidP="00422633">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3901" w:type="dxa"/>
            <w:tcBorders>
              <w:top w:val="single" w:sz="4" w:space="0" w:color="auto"/>
              <w:left w:val="single" w:sz="4" w:space="0" w:color="auto"/>
              <w:bottom w:val="single" w:sz="4" w:space="0" w:color="auto"/>
              <w:right w:val="single" w:sz="4" w:space="0" w:color="auto"/>
            </w:tcBorders>
            <w:hideMark/>
          </w:tcPr>
          <w:p w14:paraId="0D0427B8" w14:textId="77777777" w:rsidR="005D22F0" w:rsidRPr="004A1897" w:rsidRDefault="005D22F0" w:rsidP="00422633">
            <w:pPr>
              <w:pStyle w:val="ATSNormal"/>
              <w:rPr>
                <w:snapToGrid w:val="0"/>
                <w:sz w:val="20"/>
                <w:szCs w:val="20"/>
              </w:rPr>
            </w:pPr>
            <w:r w:rsidRPr="004A1897">
              <w:rPr>
                <w:snapToGrid w:val="0"/>
                <w:color w:val="000000" w:themeColor="text1"/>
                <w:sz w:val="20"/>
                <w:szCs w:val="20"/>
              </w:rPr>
              <w:t xml:space="preserve">Cape </w:t>
            </w:r>
            <w:r>
              <w:rPr>
                <w:snapToGrid w:val="0"/>
                <w:color w:val="000000" w:themeColor="text1"/>
                <w:sz w:val="20"/>
                <w:szCs w:val="20"/>
              </w:rPr>
              <w:t xml:space="preserve">Hallett </w:t>
            </w:r>
            <w:r w:rsidRPr="004A1897">
              <w:rPr>
                <w:snapToGrid w:val="0"/>
                <w:color w:val="000000" w:themeColor="text1"/>
                <w:sz w:val="20"/>
                <w:szCs w:val="20"/>
              </w:rPr>
              <w:t>i</w:t>
            </w:r>
            <w:r>
              <w:rPr>
                <w:snapToGrid w:val="0"/>
                <w:color w:val="000000" w:themeColor="text1"/>
                <w:sz w:val="20"/>
                <w:szCs w:val="20"/>
              </w:rPr>
              <w:t>s i</w:t>
            </w:r>
            <w:r w:rsidRPr="004A1897">
              <w:rPr>
                <w:snapToGrid w:val="0"/>
                <w:color w:val="000000" w:themeColor="text1"/>
                <w:sz w:val="20"/>
                <w:szCs w:val="20"/>
              </w:rPr>
              <w:t>dentified as IBA</w:t>
            </w:r>
            <w:r>
              <w:rPr>
                <w:snapToGrid w:val="0"/>
                <w:color w:val="000000" w:themeColor="text1"/>
                <w:sz w:val="20"/>
                <w:szCs w:val="20"/>
              </w:rPr>
              <w:t xml:space="preserve"> No. 170</w:t>
            </w:r>
            <w:r w:rsidRPr="004A1897">
              <w:rPr>
                <w:snapToGrid w:val="0"/>
                <w:color w:val="000000" w:themeColor="text1"/>
                <w:sz w:val="20"/>
                <w:szCs w:val="20"/>
              </w:rPr>
              <w:t xml:space="preserve">. </w:t>
            </w:r>
          </w:p>
        </w:tc>
      </w:tr>
    </w:tbl>
    <w:p w14:paraId="6B4ACE28" w14:textId="3E271F08" w:rsidR="005D22F0" w:rsidRDefault="005D22F0" w:rsidP="00952E9F">
      <w:r>
        <w:br w:type="page"/>
      </w:r>
    </w:p>
    <w:p w14:paraId="52B7BA4D" w14:textId="77777777" w:rsidR="005D22F0" w:rsidRPr="001B4892" w:rsidRDefault="005D22F0" w:rsidP="005D22F0">
      <w:pPr>
        <w:pStyle w:val="ATSHeading1"/>
      </w:pPr>
      <w:r w:rsidRPr="001B4892">
        <w:lastRenderedPageBreak/>
        <w:t>ASPA No. 1</w:t>
      </w:r>
      <w:r>
        <w:t>06</w:t>
      </w:r>
      <w:r w:rsidRPr="001B4892">
        <w:t xml:space="preserve"> </w:t>
      </w:r>
      <w:r>
        <w:t>Cape Hallett, Northern Victoria Land, Ross Sea</w:t>
      </w:r>
    </w:p>
    <w:p w14:paraId="6D7307CB" w14:textId="77777777" w:rsidR="005D22F0" w:rsidRPr="00CA75E4" w:rsidRDefault="005D22F0" w:rsidP="005D22F0">
      <w:pPr>
        <w:pStyle w:val="ATSNumber1"/>
        <w:numPr>
          <w:ilvl w:val="0"/>
          <w:numId w:val="13"/>
        </w:numPr>
      </w:pPr>
      <w:r w:rsidRPr="00CA75E4">
        <w:t>The Management Plan for ASPA No. 1</w:t>
      </w:r>
      <w:r>
        <w:t>06</w:t>
      </w:r>
      <w:r w:rsidRPr="00CA75E4">
        <w:t xml:space="preserve"> Cape </w:t>
      </w:r>
      <w:r>
        <w:t>Hallett was last revised in 2015</w:t>
      </w:r>
      <w:r w:rsidRPr="00CA75E4">
        <w:t>, and review thus fell due in 20</w:t>
      </w:r>
      <w:r>
        <w:t>20</w:t>
      </w:r>
      <w:r w:rsidRPr="00CA75E4">
        <w:t xml:space="preserve">. Accordingly, the United States has made </w:t>
      </w:r>
      <w:proofErr w:type="gramStart"/>
      <w:r w:rsidRPr="00CA75E4">
        <w:t>a number of</w:t>
      </w:r>
      <w:proofErr w:type="gramEnd"/>
      <w:r w:rsidRPr="00CA75E4">
        <w:t xml:space="preserve"> revisions to the Managem</w:t>
      </w:r>
      <w:r>
        <w:t>ent Plan, both as a result of recent changes within</w:t>
      </w:r>
      <w:r w:rsidRPr="00CA75E4">
        <w:t xml:space="preserve"> the Area and in light of agreements reached by the Antarctic Treaty Parties since the last plan was adopted.</w:t>
      </w:r>
    </w:p>
    <w:p w14:paraId="70FEDF32" w14:textId="77777777" w:rsidR="005D22F0" w:rsidRDefault="005D22F0" w:rsidP="005D22F0">
      <w:pPr>
        <w:pStyle w:val="ATSNumber1"/>
        <w:numPr>
          <w:ilvl w:val="0"/>
          <w:numId w:val="13"/>
        </w:numPr>
      </w:pPr>
      <w:r w:rsidRPr="007A1462">
        <w:t xml:space="preserve">Cape </w:t>
      </w:r>
      <w:r>
        <w:t>Hallett</w:t>
      </w:r>
      <w:r w:rsidRPr="007A1462">
        <w:t xml:space="preserve"> was originally</w:t>
      </w:r>
      <w:r w:rsidRPr="0067329C">
        <w:rPr>
          <w:lang w:val="en-US"/>
        </w:rPr>
        <w:t xml:space="preserve"> designated as</w:t>
      </w:r>
      <w:r w:rsidRPr="007A1462">
        <w:t xml:space="preserve"> </w:t>
      </w:r>
      <w:r>
        <w:t xml:space="preserve">Specially Protected Area (SPA) No. 6 through Recommendation </w:t>
      </w:r>
      <w:r>
        <w:rPr>
          <w:color w:val="000000"/>
        </w:rPr>
        <w:t xml:space="preserve">IV-7 (1966) </w:t>
      </w:r>
      <w:r>
        <w:t>after a proposal by the United States of America. The boundaries of the Area were enlarged in Recommendation XIII (1985) to include extensive stands of vegetation to the south and north of the original Area. The Area was re-named and re-numbered as ASPA No.106</w:t>
      </w:r>
      <w:r w:rsidRPr="00313A69">
        <w:t xml:space="preserve"> </w:t>
      </w:r>
      <w:r>
        <w:t xml:space="preserve">by Decision 1 (2002). The Management Plan was </w:t>
      </w:r>
      <w:proofErr w:type="gramStart"/>
      <w:r>
        <w:t>revised</w:t>
      </w:r>
      <w:proofErr w:type="gramEnd"/>
      <w:r>
        <w:t xml:space="preserve"> and the Area was extended to include Seabee Hook, the breeding area of a substantial colony of </w:t>
      </w:r>
      <w:proofErr w:type="spellStart"/>
      <w:r>
        <w:t>Adélie</w:t>
      </w:r>
      <w:proofErr w:type="spellEnd"/>
      <w:r>
        <w:t xml:space="preserve"> penguins, by</w:t>
      </w:r>
      <w:r w:rsidRPr="00313A69">
        <w:t xml:space="preserve"> </w:t>
      </w:r>
      <w:r>
        <w:t>Measure 1 (2002). Measure 5 (2010) deleted the Managed Zone and revised the boundary to exclude two areas on Seabee Hook, which are managed by Antarctic Treaty Visitor Site Guidelines.</w:t>
      </w:r>
    </w:p>
    <w:p w14:paraId="7CC56318" w14:textId="77777777" w:rsidR="005D22F0" w:rsidRPr="0067329C" w:rsidRDefault="005D22F0" w:rsidP="005D22F0">
      <w:pPr>
        <w:pStyle w:val="ATSNumber1"/>
        <w:numPr>
          <w:ilvl w:val="0"/>
          <w:numId w:val="13"/>
        </w:numPr>
      </w:pPr>
      <w:r>
        <w:t xml:space="preserve">The primary reason for designation of the Area is that it provides an outstanding example of biological diversity, </w:t>
      </w:r>
      <w:proofErr w:type="gramStart"/>
      <w:r>
        <w:t>in particular a</w:t>
      </w:r>
      <w:proofErr w:type="gramEnd"/>
      <w:r>
        <w:t xml:space="preserve"> rich and diverse terrestrial ecosystem. The terrestrial ecosystem and rich avifauna present are also of high scientific value. The site has been identified as a </w:t>
      </w:r>
      <w:proofErr w:type="gramStart"/>
      <w:r>
        <w:t>type</w:t>
      </w:r>
      <w:proofErr w:type="gramEnd"/>
      <w:r>
        <w:t xml:space="preserve"> locality for two species of mite (</w:t>
      </w:r>
      <w:proofErr w:type="spellStart"/>
      <w:r w:rsidRPr="003B7C47">
        <w:rPr>
          <w:i/>
          <w:snapToGrid w:val="0"/>
        </w:rPr>
        <w:t>Coccorhagidia</w:t>
      </w:r>
      <w:proofErr w:type="spellEnd"/>
      <w:r w:rsidRPr="003B7C47">
        <w:rPr>
          <w:i/>
          <w:snapToGrid w:val="0"/>
        </w:rPr>
        <w:t xml:space="preserve"> </w:t>
      </w:r>
      <w:proofErr w:type="spellStart"/>
      <w:r w:rsidRPr="003B7C47">
        <w:rPr>
          <w:i/>
          <w:snapToGrid w:val="0"/>
        </w:rPr>
        <w:t>gressitti</w:t>
      </w:r>
      <w:proofErr w:type="spellEnd"/>
      <w:r w:rsidRPr="003B7C47">
        <w:rPr>
          <w:i/>
          <w:snapToGrid w:val="0"/>
        </w:rPr>
        <w:t xml:space="preserve"> </w:t>
      </w:r>
      <w:r>
        <w:rPr>
          <w:snapToGrid w:val="0"/>
        </w:rPr>
        <w:t xml:space="preserve">and </w:t>
      </w:r>
      <w:proofErr w:type="spellStart"/>
      <w:r w:rsidRPr="003B7C47">
        <w:rPr>
          <w:i/>
          <w:snapToGrid w:val="0"/>
        </w:rPr>
        <w:t>Eupodes</w:t>
      </w:r>
      <w:proofErr w:type="spellEnd"/>
      <w:r w:rsidRPr="003B7C47">
        <w:rPr>
          <w:i/>
          <w:snapToGrid w:val="0"/>
        </w:rPr>
        <w:t xml:space="preserve"> </w:t>
      </w:r>
      <w:proofErr w:type="spellStart"/>
      <w:r w:rsidRPr="003B7C47">
        <w:rPr>
          <w:i/>
          <w:snapToGrid w:val="0"/>
        </w:rPr>
        <w:t>wisei</w:t>
      </w:r>
      <w:proofErr w:type="spellEnd"/>
      <w:r>
        <w:t xml:space="preserve">). In </w:t>
      </w:r>
      <w:proofErr w:type="gramStart"/>
      <w:r>
        <w:t>addition</w:t>
      </w:r>
      <w:proofErr w:type="gramEnd"/>
      <w:r>
        <w:t xml:space="preserve"> the site is of important historical and educational value and the location is aesthetically outstanding. </w:t>
      </w:r>
      <w:r w:rsidRPr="0067329C">
        <w:t>The current Management Plan reaffirms the</w:t>
      </w:r>
      <w:r>
        <w:t>se</w:t>
      </w:r>
      <w:r w:rsidRPr="0067329C">
        <w:t xml:space="preserve"> values of the Area.</w:t>
      </w:r>
    </w:p>
    <w:p w14:paraId="3B777925" w14:textId="77777777" w:rsidR="005D22F0" w:rsidRDefault="005D22F0" w:rsidP="005D22F0">
      <w:pPr>
        <w:pStyle w:val="ATSNumber1"/>
        <w:numPr>
          <w:ilvl w:val="0"/>
          <w:numId w:val="13"/>
        </w:numPr>
      </w:pPr>
      <w:r>
        <w:t>Minor changes have been made to the northern boundary of the Area to reflect recent data on the distribution of penguins on Seabee Hook from an orthophotograph acquired by the Republic of Korea (</w:t>
      </w:r>
      <w:proofErr w:type="spellStart"/>
      <w:r>
        <w:t>Jeong-Hoon</w:t>
      </w:r>
      <w:proofErr w:type="spellEnd"/>
      <w:r>
        <w:t xml:space="preserve"> Kim pers. comm. 2019). The northern boundary follows the perimeter of penguin breeding areas along the shoreline</w:t>
      </w:r>
      <w:r w:rsidRPr="001A1402">
        <w:t xml:space="preserve"> </w:t>
      </w:r>
      <w:r>
        <w:t>of Seabee Hook, which allows for access to this beach by tourist parties following Antarctic Treaty Visitor Site Guidelines.</w:t>
      </w:r>
    </w:p>
    <w:p w14:paraId="716F49CB" w14:textId="77777777" w:rsidR="005D22F0" w:rsidRDefault="005D22F0" w:rsidP="005D22F0">
      <w:pPr>
        <w:pStyle w:val="ATSNumber1"/>
        <w:numPr>
          <w:ilvl w:val="0"/>
          <w:numId w:val="13"/>
        </w:numPr>
      </w:pPr>
      <w:r>
        <w:t>Following establishment of a temporary camp by the Republic of Korea at the designated camping site (described in Section 6(iii) of the Management Plan), the present review determined there would be benefit in clarifying the spatial limits of the designated camping area through definition of a new Facilities Zone (Section 6(v)). This zone is designed to contain camping infrastructure (</w:t>
      </w:r>
      <w:proofErr w:type="gramStart"/>
      <w:r>
        <w:t>e.g.</w:t>
      </w:r>
      <w:proofErr w:type="gramEnd"/>
      <w:r>
        <w:t xml:space="preserve"> accommodation, storage and scientific facilities) and associated activities within a defined area, thus minimizing the extent of potential impacts associated with camps. The Facilities Zone is located on beach gravels close to Willett Cove (Map 5), with relatively sparse vegetation and few nesting birds, although South polar skuas (</w:t>
      </w:r>
      <w:proofErr w:type="spellStart"/>
      <w:r w:rsidRPr="005B116F">
        <w:rPr>
          <w:i/>
        </w:rPr>
        <w:t>Catharacta</w:t>
      </w:r>
      <w:proofErr w:type="spellEnd"/>
      <w:r w:rsidRPr="005B116F">
        <w:rPr>
          <w:i/>
        </w:rPr>
        <w:t xml:space="preserve"> </w:t>
      </w:r>
      <w:proofErr w:type="spellStart"/>
      <w:r w:rsidRPr="005B116F">
        <w:rPr>
          <w:i/>
        </w:rPr>
        <w:t>maccormicki</w:t>
      </w:r>
      <w:proofErr w:type="spellEnd"/>
      <w:r>
        <w:t>) are known to nest nearby. The site was formerly part of a ‘road’ used when the former Hallett Station was operational, and thus is considered likely to have been previously impacted by human activities. The zone is ~90 m x 40 m in size at its maximum dimensions.</w:t>
      </w:r>
    </w:p>
    <w:p w14:paraId="556EEA47" w14:textId="77777777" w:rsidR="005D22F0" w:rsidRDefault="005D22F0" w:rsidP="005D22F0">
      <w:pPr>
        <w:pStyle w:val="ATSNumber1"/>
        <w:numPr>
          <w:ilvl w:val="0"/>
          <w:numId w:val="13"/>
        </w:numPr>
      </w:pPr>
      <w:r>
        <w:t xml:space="preserve">An amendment has been made to the Management Plan to allow small vehicles (such as snowmobiles and </w:t>
      </w:r>
      <w:proofErr w:type="spellStart"/>
      <w:r>
        <w:t>All Terrain</w:t>
      </w:r>
      <w:proofErr w:type="spellEnd"/>
      <w:r>
        <w:t xml:space="preserve"> Vehicles) to be parked on land within the Facilities Zone for the purposes of practical storage and maintenance. Vehicles otherwise remain prohibited from the Area.</w:t>
      </w:r>
    </w:p>
    <w:p w14:paraId="1B1E979D" w14:textId="77777777" w:rsidR="005D22F0" w:rsidRDefault="005D22F0" w:rsidP="005D22F0">
      <w:pPr>
        <w:pStyle w:val="ATSNumber1"/>
        <w:numPr>
          <w:ilvl w:val="0"/>
          <w:numId w:val="13"/>
        </w:numPr>
      </w:pPr>
      <w:r>
        <w:t>A new Management Objective has been added to Section 2 of the Management Plan seeking to ‘minimize the possibility of the introduction of pathogens that may cause disease in faunal populations within the Area’. To meet this objective, a new policy has been added to Section 7(vi) of the Management Plan specifying that ‘Raw poultry and raw eggs, or products containing raw poultry or eggs, are prohibited from the Area. Processed and / or cooked poultry and egg products should be avoided where practicable’.</w:t>
      </w:r>
    </w:p>
    <w:p w14:paraId="7FAB1223" w14:textId="77777777" w:rsidR="005D22F0" w:rsidRDefault="005D22F0" w:rsidP="005D22F0">
      <w:pPr>
        <w:pStyle w:val="ATSNumber1"/>
        <w:numPr>
          <w:ilvl w:val="0"/>
          <w:numId w:val="13"/>
        </w:numPr>
      </w:pPr>
      <w:r>
        <w:t xml:space="preserve">Policy on the Disposal of Waste (Section 7(ix)) has been clarified such that </w:t>
      </w:r>
      <w:r>
        <w:rPr>
          <w:lang w:val="en-US"/>
        </w:rPr>
        <w:t xml:space="preserve">Liquid human wastes and Domestic Liquid Wastes may be disposed of into the sea outside of the Area, for example in Willett Cove. Such disposal was considered to pose negligible risks to the environment and local fauna given the assimilative capacity of the ocean and currents in this area, </w:t>
      </w:r>
      <w:proofErr w:type="gramStart"/>
      <w:r>
        <w:rPr>
          <w:lang w:val="en-US"/>
        </w:rPr>
        <w:t>and also</w:t>
      </w:r>
      <w:proofErr w:type="gramEnd"/>
      <w:r>
        <w:rPr>
          <w:lang w:val="en-US"/>
        </w:rPr>
        <w:t xml:space="preserve"> because of the inclusion of the new policy in Section 7(vi), as noted above, prohibiting raw poultry and eggs from the Area.</w:t>
      </w:r>
    </w:p>
    <w:p w14:paraId="60E3BA14" w14:textId="77777777" w:rsidR="005D22F0" w:rsidRPr="0055407B" w:rsidRDefault="005D22F0" w:rsidP="005D22F0">
      <w:pPr>
        <w:pStyle w:val="ATSNumber1"/>
        <w:numPr>
          <w:ilvl w:val="0"/>
          <w:numId w:val="13"/>
        </w:numPr>
      </w:pPr>
      <w:r>
        <w:t xml:space="preserve">No substantive changes to the values of the Area or its overall boundaries have been made. </w:t>
      </w:r>
      <w:proofErr w:type="gramStart"/>
      <w:r>
        <w:t>Therefore</w:t>
      </w:r>
      <w:proofErr w:type="gramEnd"/>
      <w:r>
        <w:t xml:space="preserve"> the revisions have been classified as ‘minor’ in nature and in effect.</w:t>
      </w:r>
    </w:p>
    <w:p w14:paraId="1B668ABA" w14:textId="77777777" w:rsidR="005D22F0" w:rsidRPr="0083144B" w:rsidRDefault="005D22F0" w:rsidP="005D22F0">
      <w:pPr>
        <w:pStyle w:val="ATSNumber1"/>
        <w:numPr>
          <w:ilvl w:val="0"/>
          <w:numId w:val="13"/>
        </w:numPr>
        <w:rPr>
          <w:lang w:val="en-US"/>
        </w:rPr>
      </w:pPr>
      <w:r>
        <w:lastRenderedPageBreak/>
        <w:t>Other</w:t>
      </w:r>
      <w:r w:rsidRPr="0083144B">
        <w:t xml:space="preserve"> </w:t>
      </w:r>
      <w:r>
        <w:t xml:space="preserve">minor </w:t>
      </w:r>
      <w:r w:rsidRPr="0083144B">
        <w:t xml:space="preserve">changes to provisions </w:t>
      </w:r>
      <w:r>
        <w:t xml:space="preserve">in </w:t>
      </w:r>
      <w:r w:rsidRPr="0083144B">
        <w:t>the Management Plan include:</w:t>
      </w:r>
    </w:p>
    <w:p w14:paraId="47E4C5E8" w14:textId="77777777" w:rsidR="005D22F0" w:rsidRPr="005F08D5" w:rsidRDefault="005D22F0" w:rsidP="005D22F0">
      <w:pPr>
        <w:pStyle w:val="ATSNumber2"/>
        <w:numPr>
          <w:ilvl w:val="1"/>
          <w:numId w:val="20"/>
        </w:numPr>
        <w:jc w:val="left"/>
      </w:pPr>
      <w:r w:rsidRPr="005F08D5">
        <w:t xml:space="preserve">Revisions to the scientific description of the Area, including updates on the number of breeding </w:t>
      </w:r>
      <w:proofErr w:type="spellStart"/>
      <w:r>
        <w:t>Adélie</w:t>
      </w:r>
      <w:proofErr w:type="spellEnd"/>
      <w:r>
        <w:t xml:space="preserve"> </w:t>
      </w:r>
      <w:r w:rsidRPr="005F08D5">
        <w:t>penguins within the Area</w:t>
      </w:r>
      <w:r>
        <w:t xml:space="preserve">, which was 47,373 breeding pairs in 2017. Important Bird Area (IBA) No. 170 Seabee Hook has been noted in the Description of the </w:t>
      </w:r>
      <w:proofErr w:type="gramStart"/>
      <w:r>
        <w:t>Area</w:t>
      </w:r>
      <w:r w:rsidRPr="005F08D5">
        <w:t>;</w:t>
      </w:r>
      <w:proofErr w:type="gramEnd"/>
    </w:p>
    <w:p w14:paraId="2E8921EF" w14:textId="77777777" w:rsidR="005D22F0" w:rsidRPr="005F08D5" w:rsidRDefault="005D22F0" w:rsidP="005D22F0">
      <w:pPr>
        <w:pStyle w:val="ATSNumber2"/>
        <w:numPr>
          <w:ilvl w:val="1"/>
          <w:numId w:val="20"/>
        </w:numPr>
        <w:jc w:val="left"/>
      </w:pPr>
      <w:r>
        <w:t xml:space="preserve">The </w:t>
      </w:r>
      <w:r w:rsidRPr="005F08D5">
        <w:t>Latin name for South polar skua (</w:t>
      </w:r>
      <w:proofErr w:type="spellStart"/>
      <w:r w:rsidRPr="003C4D1E">
        <w:rPr>
          <w:i/>
        </w:rPr>
        <w:t>Stercorarius</w:t>
      </w:r>
      <w:proofErr w:type="spellEnd"/>
      <w:r w:rsidRPr="003C4D1E">
        <w:rPr>
          <w:i/>
        </w:rPr>
        <w:t xml:space="preserve"> </w:t>
      </w:r>
      <w:proofErr w:type="spellStart"/>
      <w:r w:rsidRPr="003C4D1E">
        <w:rPr>
          <w:i/>
        </w:rPr>
        <w:t>maccormicki</w:t>
      </w:r>
      <w:proofErr w:type="spellEnd"/>
      <w:r w:rsidRPr="005F08D5">
        <w:t xml:space="preserve">) recently changed to </w:t>
      </w:r>
      <w:proofErr w:type="spellStart"/>
      <w:r w:rsidRPr="003C4D1E">
        <w:rPr>
          <w:i/>
        </w:rPr>
        <w:t>Catharacta</w:t>
      </w:r>
      <w:proofErr w:type="spellEnd"/>
      <w:r w:rsidRPr="003C4D1E">
        <w:rPr>
          <w:i/>
        </w:rPr>
        <w:t xml:space="preserve"> </w:t>
      </w:r>
      <w:proofErr w:type="spellStart"/>
      <w:r w:rsidRPr="003C4D1E">
        <w:rPr>
          <w:i/>
        </w:rPr>
        <w:t>maccormicki</w:t>
      </w:r>
      <w:proofErr w:type="spellEnd"/>
      <w:r w:rsidRPr="005F08D5">
        <w:t xml:space="preserve"> (see </w:t>
      </w:r>
      <w:proofErr w:type="spellStart"/>
      <w:r w:rsidRPr="005F08D5">
        <w:t>BirdLife</w:t>
      </w:r>
      <w:proofErr w:type="spellEnd"/>
      <w:r w:rsidRPr="005F08D5">
        <w:t xml:space="preserve"> International Data Zone: http://datazone.birdlife.org/species/search Accessed Jan 2021). The management plan ha</w:t>
      </w:r>
      <w:r>
        <w:t>s</w:t>
      </w:r>
      <w:r w:rsidRPr="005F08D5">
        <w:t xml:space="preserve"> been amended as appropriate.</w:t>
      </w:r>
    </w:p>
    <w:p w14:paraId="5DE7A0B2" w14:textId="77777777" w:rsidR="005D22F0" w:rsidRPr="005F08D5" w:rsidRDefault="005D22F0" w:rsidP="005D22F0">
      <w:pPr>
        <w:pStyle w:val="ATSNumber2"/>
        <w:numPr>
          <w:ilvl w:val="1"/>
          <w:numId w:val="20"/>
        </w:numPr>
        <w:jc w:val="left"/>
      </w:pPr>
      <w:r w:rsidRPr="005F08D5">
        <w:t xml:space="preserve">Revisions to take account of new agreements and guidance reached by the ATCM since the previous Management Plan was adopted, and with other management plans recently adopted by the </w:t>
      </w:r>
      <w:proofErr w:type="gramStart"/>
      <w:r w:rsidRPr="005F08D5">
        <w:t>ATCM;</w:t>
      </w:r>
      <w:proofErr w:type="gramEnd"/>
    </w:p>
    <w:p w14:paraId="1A0CA276" w14:textId="77777777" w:rsidR="005D22F0" w:rsidRPr="005F08D5" w:rsidRDefault="005D22F0" w:rsidP="005D22F0">
      <w:pPr>
        <w:pStyle w:val="ATSNumber2"/>
        <w:numPr>
          <w:ilvl w:val="1"/>
          <w:numId w:val="20"/>
        </w:numPr>
        <w:jc w:val="left"/>
      </w:pPr>
      <w:r w:rsidRPr="005F08D5">
        <w:t>Section 5 Maps. M</w:t>
      </w:r>
      <w:r>
        <w:t xml:space="preserve">ap graphics have been improved with </w:t>
      </w:r>
      <w:proofErr w:type="spellStart"/>
      <w:r>
        <w:t>color</w:t>
      </w:r>
      <w:proofErr w:type="spellEnd"/>
      <w:r>
        <w:t xml:space="preserve"> used to aid clarity in the context of a relatively complex site. </w:t>
      </w:r>
    </w:p>
    <w:p w14:paraId="71C13B84" w14:textId="77777777" w:rsidR="005D22F0" w:rsidRPr="005F08D5" w:rsidRDefault="005D22F0" w:rsidP="005D22F0">
      <w:pPr>
        <w:pStyle w:val="ATSNumber2"/>
        <w:numPr>
          <w:ilvl w:val="1"/>
          <w:numId w:val="20"/>
        </w:numPr>
        <w:jc w:val="left"/>
      </w:pPr>
      <w:r w:rsidRPr="005F08D5">
        <w:t>Section</w:t>
      </w:r>
      <w:r>
        <w:t>s 6(ii) and</w:t>
      </w:r>
      <w:r w:rsidRPr="005F08D5">
        <w:t xml:space="preserve"> 7(ii) </w:t>
      </w:r>
      <w:r>
        <w:t>relating to a</w:t>
      </w:r>
      <w:r w:rsidRPr="005F08D5">
        <w:t>ircraft access and overflight</w:t>
      </w:r>
      <w:r>
        <w:t xml:space="preserve"> have been rationalised, with policies formerly in Section 6(ii) being set out in Section 7(ii), thus keeping all policies relating to air access in one section and avoiding repetition</w:t>
      </w:r>
      <w:r w:rsidRPr="005F08D5">
        <w:t xml:space="preserve">. </w:t>
      </w:r>
      <w:r>
        <w:t xml:space="preserve">A Helicopter Access Zone has been defined to clarify the recommended access route to the Secondary helicopter landing site. </w:t>
      </w:r>
      <w:r w:rsidRPr="005F08D5">
        <w:t xml:space="preserve">Aircraft access provisions have </w:t>
      </w:r>
      <w:r>
        <w:t xml:space="preserve">also </w:t>
      </w:r>
      <w:r w:rsidRPr="005F08D5">
        <w:t>been updated</w:t>
      </w:r>
      <w:r>
        <w:t xml:space="preserve"> </w:t>
      </w:r>
      <w:r w:rsidRPr="005F08D5">
        <w:t xml:space="preserve">to </w:t>
      </w:r>
      <w:r>
        <w:t xml:space="preserve">include reference to the </w:t>
      </w:r>
      <w:r w:rsidRPr="003F0EAE">
        <w:t>Environmental Guide</w:t>
      </w:r>
      <w:r>
        <w:t>lines for O</w:t>
      </w:r>
      <w:r w:rsidRPr="003F0EAE">
        <w:t>peration of Remotely Piloted Aircraft Systems (RPAS) in A</w:t>
      </w:r>
      <w:r>
        <w:t>ntarctica (Resolution 4 (2018))</w:t>
      </w:r>
      <w:r w:rsidRPr="005F08D5">
        <w:t>.</w:t>
      </w:r>
    </w:p>
    <w:p w14:paraId="1D152F11" w14:textId="77777777" w:rsidR="005D22F0" w:rsidRPr="005F08D5" w:rsidRDefault="005D22F0" w:rsidP="005D22F0">
      <w:pPr>
        <w:pStyle w:val="ATSNumber2"/>
        <w:numPr>
          <w:ilvl w:val="1"/>
          <w:numId w:val="20"/>
        </w:numPr>
        <w:jc w:val="left"/>
      </w:pPr>
      <w:r w:rsidRPr="005F08D5">
        <w:t>Section 8 - Supporting documentation. The reference list has been updated.</w:t>
      </w:r>
    </w:p>
    <w:p w14:paraId="50BB593F" w14:textId="77777777" w:rsidR="005D22F0" w:rsidRDefault="005D22F0" w:rsidP="005D22F0">
      <w:pPr>
        <w:pStyle w:val="ATSHeading3"/>
      </w:pPr>
      <w:r>
        <w:t>Recommendation</w:t>
      </w:r>
    </w:p>
    <w:p w14:paraId="3E5B96F6" w14:textId="77777777" w:rsidR="005D22F0" w:rsidRPr="004A1897" w:rsidRDefault="005D22F0" w:rsidP="005D22F0">
      <w:pPr>
        <w:pStyle w:val="ATSNormal"/>
      </w:pPr>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7DDE42DB" w14:textId="0D423865" w:rsidR="005D22F0" w:rsidRDefault="005D22F0" w:rsidP="00952E9F"/>
    <w:sectPr w:rsidR="005D22F0"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33AA" w14:textId="77777777" w:rsidR="00000000" w:rsidRDefault="00E25CB4">
      <w:r>
        <w:separator/>
      </w:r>
    </w:p>
  </w:endnote>
  <w:endnote w:type="continuationSeparator" w:id="0">
    <w:p w14:paraId="76B1B725" w14:textId="77777777" w:rsidR="00000000" w:rsidRDefault="00E2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5CD" w14:textId="77777777" w:rsidR="00FA0B9F" w:rsidRDefault="00E25CB4" w:rsidP="00CF5C82">
    <w:pPr>
      <w:framePr w:wrap="around" w:vAnchor="text" w:hAnchor="margin" w:xAlign="right" w:y="1"/>
    </w:pPr>
    <w:r>
      <w:fldChar w:fldCharType="begin"/>
    </w:r>
    <w:r>
      <w:instrText xml:space="preserve">PAGE  </w:instrText>
    </w:r>
    <w:r>
      <w:fldChar w:fldCharType="end"/>
    </w:r>
  </w:p>
  <w:p w14:paraId="09EA88DB" w14:textId="77777777" w:rsidR="00FA0B9F" w:rsidRDefault="00E25CB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D1E9" w14:textId="77777777" w:rsidR="00FA0B9F" w:rsidRDefault="00E25CB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90F2F65" w14:textId="77777777" w:rsidR="005D22F0" w:rsidRDefault="00E25CB4" w:rsidP="00FA0B9F">
    <w:pPr>
      <w:ind w:right="360"/>
    </w:pPr>
    <w:r>
      <w:t xml:space="preserve">Attachments: </w:t>
    </w:r>
    <w:r w:rsidR="005D22F0">
      <w:t xml:space="preserve">Atcm43_att028_e.docx: </w:t>
    </w:r>
    <w:r w:rsidR="005D22F0">
      <w:t>ASPA No. 106 Cape Hallett</w:t>
    </w:r>
    <w:r w:rsidR="005D22F0">
      <w:t>. Revised Ma</w:t>
    </w:r>
    <w:r w:rsidR="005D22F0">
      <w:t xml:space="preserve">nagement Plan, </w:t>
    </w:r>
  </w:p>
  <w:p w14:paraId="1B0FAA21" w14:textId="34EF9461" w:rsidR="005D22F0" w:rsidRDefault="005D22F0" w:rsidP="00FA0B9F">
    <w:pPr>
      <w:ind w:right="360"/>
    </w:pPr>
    <w:r>
      <w:t xml:space="preserve">Atcm43_att029_e.pdf: ASPA 106 </w:t>
    </w:r>
    <w:r>
      <w:t>Map 1</w:t>
    </w:r>
    <w:r>
      <w:t>,</w:t>
    </w:r>
  </w:p>
  <w:p w14:paraId="1AD71C16" w14:textId="661C2D4B" w:rsidR="005D22F0" w:rsidRDefault="005D22F0" w:rsidP="00FA0B9F">
    <w:pPr>
      <w:ind w:right="360"/>
    </w:pPr>
    <w:r>
      <w:t>Atcm43_att0</w:t>
    </w:r>
    <w:r>
      <w:t>30</w:t>
    </w:r>
    <w:r>
      <w:t xml:space="preserve">_e.pdf: ASPA 106 Map </w:t>
    </w:r>
    <w:r>
      <w:t>2,</w:t>
    </w:r>
  </w:p>
  <w:p w14:paraId="45C6EFE3" w14:textId="62029134" w:rsidR="005D22F0" w:rsidRDefault="005D22F0" w:rsidP="00FA0B9F">
    <w:pPr>
      <w:ind w:right="360"/>
    </w:pPr>
    <w:r>
      <w:t>Atcm43_att0</w:t>
    </w:r>
    <w:r>
      <w:t>31</w:t>
    </w:r>
    <w:r>
      <w:t xml:space="preserve">_e.pdf: ASPA 106 Map </w:t>
    </w:r>
    <w:r>
      <w:t>3,</w:t>
    </w:r>
  </w:p>
  <w:p w14:paraId="624A350F" w14:textId="2CD2E94B" w:rsidR="005D22F0" w:rsidRDefault="005D22F0" w:rsidP="00FA0B9F">
    <w:pPr>
      <w:ind w:right="360"/>
    </w:pPr>
    <w:r>
      <w:t>Atcm43_att0</w:t>
    </w:r>
    <w:r>
      <w:t>32</w:t>
    </w:r>
    <w:r>
      <w:t xml:space="preserve">_e.pdf: ASPA 106 Map </w:t>
    </w:r>
    <w:r>
      <w:t>4,</w:t>
    </w:r>
  </w:p>
  <w:p w14:paraId="34A0A1C0" w14:textId="0A7B9FD3" w:rsidR="00FA0B9F" w:rsidRDefault="005D22F0" w:rsidP="00FA0B9F">
    <w:pPr>
      <w:ind w:right="360"/>
    </w:pPr>
    <w:r>
      <w:t>Atcm43_att0</w:t>
    </w:r>
    <w:r>
      <w:t>33</w:t>
    </w:r>
    <w:r>
      <w:t xml:space="preserve">_e.pdf: ASPA 106 Map </w:t>
    </w: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5A0E" w14:textId="77777777" w:rsidR="00E311C9" w:rsidRDefault="00E25CB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80387DA" w14:textId="77777777" w:rsidR="00E311C9" w:rsidRDefault="00E25CB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C2645" w14:textId="77777777" w:rsidR="00000000" w:rsidRDefault="00E25CB4">
      <w:r>
        <w:separator/>
      </w:r>
    </w:p>
  </w:footnote>
  <w:footnote w:type="continuationSeparator" w:id="0">
    <w:p w14:paraId="79EEDACD" w14:textId="77777777" w:rsidR="00000000" w:rsidRDefault="00E25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857DB" w14:paraId="479453E2" w14:textId="77777777" w:rsidTr="00490760">
      <w:trPr>
        <w:trHeight w:val="344"/>
        <w:jc w:val="center"/>
      </w:trPr>
      <w:tc>
        <w:tcPr>
          <w:tcW w:w="5495" w:type="dxa"/>
        </w:tcPr>
        <w:p w14:paraId="6C5F1D0F" w14:textId="77777777" w:rsidR="00DB7C09" w:rsidRDefault="00E25CB4" w:rsidP="00F968D4"/>
      </w:tc>
      <w:tc>
        <w:tcPr>
          <w:tcW w:w="4253" w:type="dxa"/>
          <w:gridSpan w:val="2"/>
        </w:tcPr>
        <w:p w14:paraId="17EAC3EF" w14:textId="77777777" w:rsidR="00DB7C09" w:rsidRPr="00BD47E4" w:rsidRDefault="00E25CB4" w:rsidP="002A07BC">
          <w:pPr>
            <w:jc w:val="right"/>
            <w:rPr>
              <w:b/>
              <w:sz w:val="32"/>
              <w:szCs w:val="32"/>
            </w:rPr>
          </w:pPr>
          <w:bookmarkStart w:id="2" w:name="type"/>
          <w:r w:rsidRPr="00BD47E4">
            <w:rPr>
              <w:b/>
              <w:sz w:val="32"/>
              <w:szCs w:val="32"/>
            </w:rPr>
            <w:t>WP</w:t>
          </w:r>
          <w:bookmarkEnd w:id="2"/>
        </w:p>
      </w:tc>
      <w:tc>
        <w:tcPr>
          <w:tcW w:w="1524" w:type="dxa"/>
          <w:gridSpan w:val="2"/>
        </w:tcPr>
        <w:p w14:paraId="246B687D" w14:textId="77777777" w:rsidR="00DB7C09" w:rsidRPr="00BD47E4" w:rsidRDefault="00E25CB4" w:rsidP="00DB7C09">
          <w:pPr>
            <w:rPr>
              <w:b/>
              <w:sz w:val="32"/>
              <w:szCs w:val="32"/>
            </w:rPr>
          </w:pPr>
          <w:bookmarkStart w:id="3" w:name="number"/>
          <w:r w:rsidRPr="00BD47E4">
            <w:rPr>
              <w:b/>
              <w:sz w:val="32"/>
              <w:szCs w:val="32"/>
            </w:rPr>
            <w:t>6</w:t>
          </w:r>
          <w:bookmarkEnd w:id="3"/>
        </w:p>
      </w:tc>
    </w:tr>
    <w:tr w:rsidR="005857DB" w14:paraId="6469E481" w14:textId="77777777" w:rsidTr="00490760">
      <w:trPr>
        <w:trHeight w:val="2165"/>
        <w:jc w:val="center"/>
      </w:trPr>
      <w:tc>
        <w:tcPr>
          <w:tcW w:w="5495" w:type="dxa"/>
        </w:tcPr>
        <w:p w14:paraId="2062E217" w14:textId="77777777" w:rsidR="00490760" w:rsidRPr="00EE4D48" w:rsidRDefault="00E25CB4" w:rsidP="002A07BC">
          <w:pPr>
            <w:rPr>
              <w:b/>
              <w:sz w:val="28"/>
              <w:szCs w:val="28"/>
            </w:rPr>
          </w:pPr>
          <w:r>
            <w:rPr>
              <w:b/>
              <w:noProof/>
              <w:sz w:val="28"/>
              <w:szCs w:val="28"/>
            </w:rPr>
            <w:drawing>
              <wp:inline distT="0" distB="0" distL="0" distR="0" wp14:anchorId="12CBCD4D" wp14:editId="2F8FB7CC">
                <wp:extent cx="2992755" cy="16211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846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C884FCB" w14:textId="77777777" w:rsidR="00490760" w:rsidRPr="00FE5146" w:rsidRDefault="00E25CB4" w:rsidP="00490760">
          <w:pPr>
            <w:jc w:val="right"/>
            <w:rPr>
              <w:sz w:val="144"/>
              <w:szCs w:val="144"/>
            </w:rPr>
          </w:pPr>
          <w:r w:rsidRPr="00FE5146">
            <w:rPr>
              <w:sz w:val="144"/>
              <w:szCs w:val="144"/>
            </w:rPr>
            <w:t>ENG</w:t>
          </w:r>
        </w:p>
      </w:tc>
    </w:tr>
    <w:tr w:rsidR="005857DB" w14:paraId="3B3B2445" w14:textId="77777777" w:rsidTr="00BD47E4">
      <w:trPr>
        <w:trHeight w:val="409"/>
        <w:jc w:val="center"/>
      </w:trPr>
      <w:tc>
        <w:tcPr>
          <w:tcW w:w="9039" w:type="dxa"/>
          <w:gridSpan w:val="2"/>
        </w:tcPr>
        <w:p w14:paraId="4D7006D3" w14:textId="77777777" w:rsidR="00BD47E4" w:rsidRDefault="00E25CB4" w:rsidP="002C30DA">
          <w:pPr>
            <w:jc w:val="right"/>
          </w:pPr>
          <w:r>
            <w:t>Agenda Item:</w:t>
          </w:r>
        </w:p>
      </w:tc>
      <w:tc>
        <w:tcPr>
          <w:tcW w:w="1843" w:type="dxa"/>
          <w:gridSpan w:val="2"/>
        </w:tcPr>
        <w:p w14:paraId="5DC29DF3" w14:textId="77777777" w:rsidR="00BD47E4" w:rsidRDefault="00E25CB4" w:rsidP="002C30DA">
          <w:pPr>
            <w:jc w:val="right"/>
          </w:pPr>
          <w:bookmarkStart w:id="4" w:name="agenda"/>
          <w:r>
            <w:t>CEP 9a</w:t>
          </w:r>
          <w:bookmarkEnd w:id="4"/>
        </w:p>
      </w:tc>
      <w:tc>
        <w:tcPr>
          <w:tcW w:w="390" w:type="dxa"/>
        </w:tcPr>
        <w:p w14:paraId="0E325031" w14:textId="77777777" w:rsidR="00BD47E4" w:rsidRDefault="00E25CB4" w:rsidP="00387A65">
          <w:pPr>
            <w:jc w:val="right"/>
          </w:pPr>
        </w:p>
      </w:tc>
    </w:tr>
    <w:tr w:rsidR="005857DB" w14:paraId="135418F2" w14:textId="77777777" w:rsidTr="00BD47E4">
      <w:trPr>
        <w:trHeight w:val="397"/>
        <w:jc w:val="center"/>
      </w:trPr>
      <w:tc>
        <w:tcPr>
          <w:tcW w:w="9039" w:type="dxa"/>
          <w:gridSpan w:val="2"/>
        </w:tcPr>
        <w:p w14:paraId="66EB34F2" w14:textId="77777777" w:rsidR="00BD47E4" w:rsidRDefault="00E25CB4" w:rsidP="002C30DA">
          <w:pPr>
            <w:jc w:val="right"/>
          </w:pPr>
          <w:r>
            <w:t>Presented by:</w:t>
          </w:r>
        </w:p>
      </w:tc>
      <w:tc>
        <w:tcPr>
          <w:tcW w:w="1843" w:type="dxa"/>
          <w:gridSpan w:val="2"/>
        </w:tcPr>
        <w:p w14:paraId="685B057F" w14:textId="77777777" w:rsidR="00BD47E4" w:rsidRDefault="00E25CB4" w:rsidP="002C30DA">
          <w:pPr>
            <w:jc w:val="right"/>
          </w:pPr>
          <w:bookmarkStart w:id="5" w:name="party"/>
          <w:r>
            <w:t>United States</w:t>
          </w:r>
          <w:bookmarkEnd w:id="5"/>
        </w:p>
      </w:tc>
      <w:tc>
        <w:tcPr>
          <w:tcW w:w="390" w:type="dxa"/>
        </w:tcPr>
        <w:p w14:paraId="06EED453" w14:textId="77777777" w:rsidR="00BD47E4" w:rsidRDefault="00E25CB4" w:rsidP="00387A65">
          <w:pPr>
            <w:jc w:val="right"/>
          </w:pPr>
        </w:p>
      </w:tc>
    </w:tr>
    <w:tr w:rsidR="005857DB" w14:paraId="0D758BD2" w14:textId="77777777" w:rsidTr="00BD47E4">
      <w:trPr>
        <w:trHeight w:val="409"/>
        <w:jc w:val="center"/>
      </w:trPr>
      <w:tc>
        <w:tcPr>
          <w:tcW w:w="9039" w:type="dxa"/>
          <w:gridSpan w:val="2"/>
        </w:tcPr>
        <w:p w14:paraId="1C4DB683" w14:textId="77777777" w:rsidR="00BD47E4" w:rsidRDefault="00E25CB4" w:rsidP="002C30DA">
          <w:pPr>
            <w:jc w:val="right"/>
          </w:pPr>
          <w:r>
            <w:t>Original:</w:t>
          </w:r>
        </w:p>
      </w:tc>
      <w:tc>
        <w:tcPr>
          <w:tcW w:w="1843" w:type="dxa"/>
          <w:gridSpan w:val="2"/>
        </w:tcPr>
        <w:p w14:paraId="6C5F74B6" w14:textId="77777777" w:rsidR="00BD47E4" w:rsidRDefault="00E25CB4" w:rsidP="002C30DA">
          <w:pPr>
            <w:jc w:val="right"/>
          </w:pPr>
          <w:bookmarkStart w:id="6" w:name="language"/>
          <w:r>
            <w:t>English</w:t>
          </w:r>
          <w:bookmarkEnd w:id="6"/>
        </w:p>
      </w:tc>
      <w:tc>
        <w:tcPr>
          <w:tcW w:w="390" w:type="dxa"/>
        </w:tcPr>
        <w:p w14:paraId="250D6201" w14:textId="77777777" w:rsidR="00BD47E4" w:rsidRDefault="00E25CB4" w:rsidP="00387A65">
          <w:pPr>
            <w:jc w:val="right"/>
          </w:pPr>
        </w:p>
      </w:tc>
    </w:tr>
    <w:tr w:rsidR="005857DB" w14:paraId="3643782D" w14:textId="77777777" w:rsidTr="00BD47E4">
      <w:trPr>
        <w:trHeight w:val="409"/>
        <w:jc w:val="center"/>
      </w:trPr>
      <w:tc>
        <w:tcPr>
          <w:tcW w:w="9039" w:type="dxa"/>
          <w:gridSpan w:val="2"/>
        </w:tcPr>
        <w:p w14:paraId="7181A764" w14:textId="77777777" w:rsidR="0097629D" w:rsidRDefault="00E25CB4" w:rsidP="002C30DA">
          <w:pPr>
            <w:jc w:val="right"/>
          </w:pPr>
          <w:r>
            <w:t>Submitted:</w:t>
          </w:r>
        </w:p>
      </w:tc>
      <w:tc>
        <w:tcPr>
          <w:tcW w:w="1843" w:type="dxa"/>
          <w:gridSpan w:val="2"/>
        </w:tcPr>
        <w:p w14:paraId="15FF98B3" w14:textId="77777777" w:rsidR="0097629D" w:rsidRDefault="00E25CB4" w:rsidP="0097629D">
          <w:pPr>
            <w:jc w:val="right"/>
          </w:pPr>
          <w:bookmarkStart w:id="7" w:name="date_submission"/>
          <w:r>
            <w:t>19/4/2021</w:t>
          </w:r>
          <w:bookmarkEnd w:id="7"/>
        </w:p>
      </w:tc>
      <w:tc>
        <w:tcPr>
          <w:tcW w:w="390" w:type="dxa"/>
        </w:tcPr>
        <w:p w14:paraId="0991B7C3" w14:textId="77777777" w:rsidR="0097629D" w:rsidRDefault="00E25CB4" w:rsidP="00387A65">
          <w:pPr>
            <w:jc w:val="right"/>
          </w:pPr>
        </w:p>
      </w:tc>
    </w:tr>
  </w:tbl>
  <w:p w14:paraId="55662300" w14:textId="77777777" w:rsidR="00AE5DD0" w:rsidRDefault="00E25C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857DB" w14:paraId="58C28203" w14:textId="77777777">
      <w:trPr>
        <w:trHeight w:val="354"/>
        <w:jc w:val="center"/>
      </w:trPr>
      <w:tc>
        <w:tcPr>
          <w:tcW w:w="9694" w:type="dxa"/>
        </w:tcPr>
        <w:p w14:paraId="6E1F7CEB" w14:textId="43EDC2AF" w:rsidR="00AE5DD0" w:rsidRPr="00BD47E4" w:rsidRDefault="005D22F0" w:rsidP="00C26F2D">
          <w:pPr>
            <w:jc w:val="right"/>
            <w:rPr>
              <w:b/>
              <w:sz w:val="32"/>
              <w:szCs w:val="32"/>
            </w:rPr>
          </w:pPr>
          <w:r>
            <w:rPr>
              <w:b/>
              <w:sz w:val="32"/>
              <w:szCs w:val="32"/>
            </w:rPr>
            <w:t>WP</w:t>
          </w:r>
        </w:p>
      </w:tc>
      <w:tc>
        <w:tcPr>
          <w:tcW w:w="1332" w:type="dxa"/>
        </w:tcPr>
        <w:p w14:paraId="490826BA" w14:textId="5F923DFE" w:rsidR="00AE5DD0" w:rsidRPr="00BD47E4" w:rsidRDefault="005D22F0" w:rsidP="00080F4C">
          <w:pPr>
            <w:rPr>
              <w:b/>
              <w:sz w:val="32"/>
              <w:szCs w:val="32"/>
            </w:rPr>
          </w:pPr>
          <w:r>
            <w:rPr>
              <w:b/>
              <w:sz w:val="32"/>
              <w:szCs w:val="32"/>
            </w:rPr>
            <w:t>6</w:t>
          </w:r>
        </w:p>
      </w:tc>
    </w:tr>
  </w:tbl>
  <w:p w14:paraId="3902A221" w14:textId="77777777" w:rsidR="00AE5DD0" w:rsidRDefault="00E25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494F562">
      <w:start w:val="1"/>
      <w:numFmt w:val="bullet"/>
      <w:pStyle w:val="ATSBullet1"/>
      <w:lvlText w:val=""/>
      <w:lvlJc w:val="left"/>
      <w:pPr>
        <w:tabs>
          <w:tab w:val="num" w:pos="360"/>
        </w:tabs>
        <w:ind w:left="360" w:hanging="360"/>
      </w:pPr>
      <w:rPr>
        <w:rFonts w:ascii="Symbol" w:hAnsi="Symbol" w:hint="default"/>
        <w:color w:val="auto"/>
      </w:rPr>
    </w:lvl>
    <w:lvl w:ilvl="1" w:tplc="7632DF8E" w:tentative="1">
      <w:start w:val="1"/>
      <w:numFmt w:val="bullet"/>
      <w:lvlText w:val="o"/>
      <w:lvlJc w:val="left"/>
      <w:pPr>
        <w:tabs>
          <w:tab w:val="num" w:pos="1440"/>
        </w:tabs>
        <w:ind w:left="1440" w:hanging="360"/>
      </w:pPr>
      <w:rPr>
        <w:rFonts w:ascii="Courier New" w:hAnsi="Courier New" w:cs="Courier New" w:hint="default"/>
      </w:rPr>
    </w:lvl>
    <w:lvl w:ilvl="2" w:tplc="E1FE6EF2" w:tentative="1">
      <w:start w:val="1"/>
      <w:numFmt w:val="bullet"/>
      <w:lvlText w:val=""/>
      <w:lvlJc w:val="left"/>
      <w:pPr>
        <w:tabs>
          <w:tab w:val="num" w:pos="2160"/>
        </w:tabs>
        <w:ind w:left="2160" w:hanging="360"/>
      </w:pPr>
      <w:rPr>
        <w:rFonts w:ascii="Wingdings" w:hAnsi="Wingdings" w:hint="default"/>
      </w:rPr>
    </w:lvl>
    <w:lvl w:ilvl="3" w:tplc="AD1A41FC" w:tentative="1">
      <w:start w:val="1"/>
      <w:numFmt w:val="bullet"/>
      <w:lvlText w:val=""/>
      <w:lvlJc w:val="left"/>
      <w:pPr>
        <w:tabs>
          <w:tab w:val="num" w:pos="2880"/>
        </w:tabs>
        <w:ind w:left="2880" w:hanging="360"/>
      </w:pPr>
      <w:rPr>
        <w:rFonts w:ascii="Symbol" w:hAnsi="Symbol" w:hint="default"/>
      </w:rPr>
    </w:lvl>
    <w:lvl w:ilvl="4" w:tplc="D50CC4C6" w:tentative="1">
      <w:start w:val="1"/>
      <w:numFmt w:val="bullet"/>
      <w:lvlText w:val="o"/>
      <w:lvlJc w:val="left"/>
      <w:pPr>
        <w:tabs>
          <w:tab w:val="num" w:pos="3600"/>
        </w:tabs>
        <w:ind w:left="3600" w:hanging="360"/>
      </w:pPr>
      <w:rPr>
        <w:rFonts w:ascii="Courier New" w:hAnsi="Courier New" w:cs="Courier New" w:hint="default"/>
      </w:rPr>
    </w:lvl>
    <w:lvl w:ilvl="5" w:tplc="6E308470" w:tentative="1">
      <w:start w:val="1"/>
      <w:numFmt w:val="bullet"/>
      <w:lvlText w:val=""/>
      <w:lvlJc w:val="left"/>
      <w:pPr>
        <w:tabs>
          <w:tab w:val="num" w:pos="4320"/>
        </w:tabs>
        <w:ind w:left="4320" w:hanging="360"/>
      </w:pPr>
      <w:rPr>
        <w:rFonts w:ascii="Wingdings" w:hAnsi="Wingdings" w:hint="default"/>
      </w:rPr>
    </w:lvl>
    <w:lvl w:ilvl="6" w:tplc="2154ECEA" w:tentative="1">
      <w:start w:val="1"/>
      <w:numFmt w:val="bullet"/>
      <w:lvlText w:val=""/>
      <w:lvlJc w:val="left"/>
      <w:pPr>
        <w:tabs>
          <w:tab w:val="num" w:pos="5040"/>
        </w:tabs>
        <w:ind w:left="5040" w:hanging="360"/>
      </w:pPr>
      <w:rPr>
        <w:rFonts w:ascii="Symbol" w:hAnsi="Symbol" w:hint="default"/>
      </w:rPr>
    </w:lvl>
    <w:lvl w:ilvl="7" w:tplc="8E5253FA" w:tentative="1">
      <w:start w:val="1"/>
      <w:numFmt w:val="bullet"/>
      <w:lvlText w:val="o"/>
      <w:lvlJc w:val="left"/>
      <w:pPr>
        <w:tabs>
          <w:tab w:val="num" w:pos="5760"/>
        </w:tabs>
        <w:ind w:left="5760" w:hanging="360"/>
      </w:pPr>
      <w:rPr>
        <w:rFonts w:ascii="Courier New" w:hAnsi="Courier New" w:cs="Courier New" w:hint="default"/>
      </w:rPr>
    </w:lvl>
    <w:lvl w:ilvl="8" w:tplc="306E72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7307986">
      <w:start w:val="1"/>
      <w:numFmt w:val="decimal"/>
      <w:lvlText w:val="%1)"/>
      <w:lvlJc w:val="left"/>
      <w:pPr>
        <w:tabs>
          <w:tab w:val="num" w:pos="340"/>
        </w:tabs>
        <w:ind w:left="340" w:hanging="340"/>
      </w:pPr>
      <w:rPr>
        <w:rFonts w:hint="default"/>
      </w:rPr>
    </w:lvl>
    <w:lvl w:ilvl="1" w:tplc="77649288" w:tentative="1">
      <w:start w:val="1"/>
      <w:numFmt w:val="lowerLetter"/>
      <w:lvlText w:val="%2."/>
      <w:lvlJc w:val="left"/>
      <w:pPr>
        <w:tabs>
          <w:tab w:val="num" w:pos="1440"/>
        </w:tabs>
        <w:ind w:left="1440" w:hanging="360"/>
      </w:pPr>
    </w:lvl>
    <w:lvl w:ilvl="2" w:tplc="DC76338A" w:tentative="1">
      <w:start w:val="1"/>
      <w:numFmt w:val="lowerRoman"/>
      <w:lvlText w:val="%3."/>
      <w:lvlJc w:val="right"/>
      <w:pPr>
        <w:tabs>
          <w:tab w:val="num" w:pos="2160"/>
        </w:tabs>
        <w:ind w:left="2160" w:hanging="180"/>
      </w:pPr>
    </w:lvl>
    <w:lvl w:ilvl="3" w:tplc="8AAA46B6" w:tentative="1">
      <w:start w:val="1"/>
      <w:numFmt w:val="decimal"/>
      <w:lvlText w:val="%4."/>
      <w:lvlJc w:val="left"/>
      <w:pPr>
        <w:tabs>
          <w:tab w:val="num" w:pos="2880"/>
        </w:tabs>
        <w:ind w:left="2880" w:hanging="360"/>
      </w:pPr>
    </w:lvl>
    <w:lvl w:ilvl="4" w:tplc="019E8D2C" w:tentative="1">
      <w:start w:val="1"/>
      <w:numFmt w:val="lowerLetter"/>
      <w:lvlText w:val="%5."/>
      <w:lvlJc w:val="left"/>
      <w:pPr>
        <w:tabs>
          <w:tab w:val="num" w:pos="3600"/>
        </w:tabs>
        <w:ind w:left="3600" w:hanging="360"/>
      </w:pPr>
    </w:lvl>
    <w:lvl w:ilvl="5" w:tplc="6970658E" w:tentative="1">
      <w:start w:val="1"/>
      <w:numFmt w:val="lowerRoman"/>
      <w:lvlText w:val="%6."/>
      <w:lvlJc w:val="right"/>
      <w:pPr>
        <w:tabs>
          <w:tab w:val="num" w:pos="4320"/>
        </w:tabs>
        <w:ind w:left="4320" w:hanging="180"/>
      </w:pPr>
    </w:lvl>
    <w:lvl w:ilvl="6" w:tplc="84D8E828" w:tentative="1">
      <w:start w:val="1"/>
      <w:numFmt w:val="decimal"/>
      <w:lvlText w:val="%7."/>
      <w:lvlJc w:val="left"/>
      <w:pPr>
        <w:tabs>
          <w:tab w:val="num" w:pos="5040"/>
        </w:tabs>
        <w:ind w:left="5040" w:hanging="360"/>
      </w:pPr>
    </w:lvl>
    <w:lvl w:ilvl="7" w:tplc="07942360" w:tentative="1">
      <w:start w:val="1"/>
      <w:numFmt w:val="lowerLetter"/>
      <w:lvlText w:val="%8."/>
      <w:lvlJc w:val="left"/>
      <w:pPr>
        <w:tabs>
          <w:tab w:val="num" w:pos="5760"/>
        </w:tabs>
        <w:ind w:left="5760" w:hanging="360"/>
      </w:pPr>
    </w:lvl>
    <w:lvl w:ilvl="8" w:tplc="9B26842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56C0512">
      <w:start w:val="1"/>
      <w:numFmt w:val="decimal"/>
      <w:lvlText w:val="%1."/>
      <w:lvlJc w:val="left"/>
      <w:pPr>
        <w:tabs>
          <w:tab w:val="num" w:pos="1057"/>
        </w:tabs>
        <w:ind w:left="1057" w:hanging="360"/>
      </w:pPr>
      <w:rPr>
        <w:rFonts w:hint="default"/>
      </w:rPr>
    </w:lvl>
    <w:lvl w:ilvl="1" w:tplc="051425B4" w:tentative="1">
      <w:start w:val="1"/>
      <w:numFmt w:val="lowerLetter"/>
      <w:lvlText w:val="%2."/>
      <w:lvlJc w:val="left"/>
      <w:pPr>
        <w:tabs>
          <w:tab w:val="num" w:pos="2137"/>
        </w:tabs>
        <w:ind w:left="2137" w:hanging="360"/>
      </w:pPr>
    </w:lvl>
    <w:lvl w:ilvl="2" w:tplc="E926D7C6" w:tentative="1">
      <w:start w:val="1"/>
      <w:numFmt w:val="lowerRoman"/>
      <w:lvlText w:val="%3."/>
      <w:lvlJc w:val="right"/>
      <w:pPr>
        <w:tabs>
          <w:tab w:val="num" w:pos="2857"/>
        </w:tabs>
        <w:ind w:left="2857" w:hanging="180"/>
      </w:pPr>
    </w:lvl>
    <w:lvl w:ilvl="3" w:tplc="791EE97C" w:tentative="1">
      <w:start w:val="1"/>
      <w:numFmt w:val="decimal"/>
      <w:lvlText w:val="%4."/>
      <w:lvlJc w:val="left"/>
      <w:pPr>
        <w:tabs>
          <w:tab w:val="num" w:pos="3577"/>
        </w:tabs>
        <w:ind w:left="3577" w:hanging="360"/>
      </w:pPr>
    </w:lvl>
    <w:lvl w:ilvl="4" w:tplc="CC4E7D50" w:tentative="1">
      <w:start w:val="1"/>
      <w:numFmt w:val="lowerLetter"/>
      <w:lvlText w:val="%5."/>
      <w:lvlJc w:val="left"/>
      <w:pPr>
        <w:tabs>
          <w:tab w:val="num" w:pos="4297"/>
        </w:tabs>
        <w:ind w:left="4297" w:hanging="360"/>
      </w:pPr>
    </w:lvl>
    <w:lvl w:ilvl="5" w:tplc="F31E583E" w:tentative="1">
      <w:start w:val="1"/>
      <w:numFmt w:val="lowerRoman"/>
      <w:lvlText w:val="%6."/>
      <w:lvlJc w:val="right"/>
      <w:pPr>
        <w:tabs>
          <w:tab w:val="num" w:pos="5017"/>
        </w:tabs>
        <w:ind w:left="5017" w:hanging="180"/>
      </w:pPr>
    </w:lvl>
    <w:lvl w:ilvl="6" w:tplc="B8AC28A4" w:tentative="1">
      <w:start w:val="1"/>
      <w:numFmt w:val="decimal"/>
      <w:lvlText w:val="%7."/>
      <w:lvlJc w:val="left"/>
      <w:pPr>
        <w:tabs>
          <w:tab w:val="num" w:pos="5737"/>
        </w:tabs>
        <w:ind w:left="5737" w:hanging="360"/>
      </w:pPr>
    </w:lvl>
    <w:lvl w:ilvl="7" w:tplc="65CE169A" w:tentative="1">
      <w:start w:val="1"/>
      <w:numFmt w:val="lowerLetter"/>
      <w:lvlText w:val="%8."/>
      <w:lvlJc w:val="left"/>
      <w:pPr>
        <w:tabs>
          <w:tab w:val="num" w:pos="6457"/>
        </w:tabs>
        <w:ind w:left="6457" w:hanging="360"/>
      </w:pPr>
    </w:lvl>
    <w:lvl w:ilvl="8" w:tplc="78B426B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6565488">
      <w:start w:val="1"/>
      <w:numFmt w:val="decimal"/>
      <w:pStyle w:val="ATSNumber1"/>
      <w:lvlText w:val="%1)"/>
      <w:lvlJc w:val="left"/>
      <w:pPr>
        <w:tabs>
          <w:tab w:val="num" w:pos="720"/>
        </w:tabs>
        <w:ind w:left="720" w:hanging="360"/>
      </w:pPr>
    </w:lvl>
    <w:lvl w:ilvl="1" w:tplc="591E43C2" w:tentative="1">
      <w:start w:val="1"/>
      <w:numFmt w:val="lowerLetter"/>
      <w:lvlText w:val="%2."/>
      <w:lvlJc w:val="left"/>
      <w:pPr>
        <w:tabs>
          <w:tab w:val="num" w:pos="1440"/>
        </w:tabs>
        <w:ind w:left="1440" w:hanging="360"/>
      </w:pPr>
    </w:lvl>
    <w:lvl w:ilvl="2" w:tplc="F51238C0" w:tentative="1">
      <w:start w:val="1"/>
      <w:numFmt w:val="lowerRoman"/>
      <w:lvlText w:val="%3."/>
      <w:lvlJc w:val="right"/>
      <w:pPr>
        <w:tabs>
          <w:tab w:val="num" w:pos="2160"/>
        </w:tabs>
        <w:ind w:left="2160" w:hanging="180"/>
      </w:pPr>
    </w:lvl>
    <w:lvl w:ilvl="3" w:tplc="A1D4B5E0" w:tentative="1">
      <w:start w:val="1"/>
      <w:numFmt w:val="decimal"/>
      <w:lvlText w:val="%4."/>
      <w:lvlJc w:val="left"/>
      <w:pPr>
        <w:tabs>
          <w:tab w:val="num" w:pos="2880"/>
        </w:tabs>
        <w:ind w:left="2880" w:hanging="360"/>
      </w:pPr>
    </w:lvl>
    <w:lvl w:ilvl="4" w:tplc="007CCE9C" w:tentative="1">
      <w:start w:val="1"/>
      <w:numFmt w:val="lowerLetter"/>
      <w:lvlText w:val="%5."/>
      <w:lvlJc w:val="left"/>
      <w:pPr>
        <w:tabs>
          <w:tab w:val="num" w:pos="3600"/>
        </w:tabs>
        <w:ind w:left="3600" w:hanging="360"/>
      </w:pPr>
    </w:lvl>
    <w:lvl w:ilvl="5" w:tplc="F49E12D0" w:tentative="1">
      <w:start w:val="1"/>
      <w:numFmt w:val="lowerRoman"/>
      <w:lvlText w:val="%6."/>
      <w:lvlJc w:val="right"/>
      <w:pPr>
        <w:tabs>
          <w:tab w:val="num" w:pos="4320"/>
        </w:tabs>
        <w:ind w:left="4320" w:hanging="180"/>
      </w:pPr>
    </w:lvl>
    <w:lvl w:ilvl="6" w:tplc="32E60C66" w:tentative="1">
      <w:start w:val="1"/>
      <w:numFmt w:val="decimal"/>
      <w:lvlText w:val="%7."/>
      <w:lvlJc w:val="left"/>
      <w:pPr>
        <w:tabs>
          <w:tab w:val="num" w:pos="5040"/>
        </w:tabs>
        <w:ind w:left="5040" w:hanging="360"/>
      </w:pPr>
    </w:lvl>
    <w:lvl w:ilvl="7" w:tplc="F24005E8" w:tentative="1">
      <w:start w:val="1"/>
      <w:numFmt w:val="lowerLetter"/>
      <w:lvlText w:val="%8."/>
      <w:lvlJc w:val="left"/>
      <w:pPr>
        <w:tabs>
          <w:tab w:val="num" w:pos="5760"/>
        </w:tabs>
        <w:ind w:left="5760" w:hanging="360"/>
      </w:pPr>
    </w:lvl>
    <w:lvl w:ilvl="8" w:tplc="CF7C723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EEA77F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822ED96" w:tentative="1">
      <w:start w:val="1"/>
      <w:numFmt w:val="bullet"/>
      <w:lvlText w:val="o"/>
      <w:lvlJc w:val="left"/>
      <w:pPr>
        <w:tabs>
          <w:tab w:val="num" w:pos="2517"/>
        </w:tabs>
        <w:ind w:left="2517" w:hanging="360"/>
      </w:pPr>
      <w:rPr>
        <w:rFonts w:ascii="Courier New" w:hAnsi="Courier New" w:cs="Courier New" w:hint="default"/>
      </w:rPr>
    </w:lvl>
    <w:lvl w:ilvl="2" w:tplc="3D4C01D2" w:tentative="1">
      <w:start w:val="1"/>
      <w:numFmt w:val="bullet"/>
      <w:lvlText w:val=""/>
      <w:lvlJc w:val="left"/>
      <w:pPr>
        <w:tabs>
          <w:tab w:val="num" w:pos="3237"/>
        </w:tabs>
        <w:ind w:left="3237" w:hanging="360"/>
      </w:pPr>
      <w:rPr>
        <w:rFonts w:ascii="Wingdings" w:hAnsi="Wingdings" w:hint="default"/>
      </w:rPr>
    </w:lvl>
    <w:lvl w:ilvl="3" w:tplc="4AEA7D02" w:tentative="1">
      <w:start w:val="1"/>
      <w:numFmt w:val="bullet"/>
      <w:lvlText w:val=""/>
      <w:lvlJc w:val="left"/>
      <w:pPr>
        <w:tabs>
          <w:tab w:val="num" w:pos="3957"/>
        </w:tabs>
        <w:ind w:left="3957" w:hanging="360"/>
      </w:pPr>
      <w:rPr>
        <w:rFonts w:ascii="Symbol" w:hAnsi="Symbol" w:hint="default"/>
      </w:rPr>
    </w:lvl>
    <w:lvl w:ilvl="4" w:tplc="27DCACEA" w:tentative="1">
      <w:start w:val="1"/>
      <w:numFmt w:val="bullet"/>
      <w:lvlText w:val="o"/>
      <w:lvlJc w:val="left"/>
      <w:pPr>
        <w:tabs>
          <w:tab w:val="num" w:pos="4677"/>
        </w:tabs>
        <w:ind w:left="4677" w:hanging="360"/>
      </w:pPr>
      <w:rPr>
        <w:rFonts w:ascii="Courier New" w:hAnsi="Courier New" w:cs="Courier New" w:hint="default"/>
      </w:rPr>
    </w:lvl>
    <w:lvl w:ilvl="5" w:tplc="2BD2A532" w:tentative="1">
      <w:start w:val="1"/>
      <w:numFmt w:val="bullet"/>
      <w:lvlText w:val=""/>
      <w:lvlJc w:val="left"/>
      <w:pPr>
        <w:tabs>
          <w:tab w:val="num" w:pos="5397"/>
        </w:tabs>
        <w:ind w:left="5397" w:hanging="360"/>
      </w:pPr>
      <w:rPr>
        <w:rFonts w:ascii="Wingdings" w:hAnsi="Wingdings" w:hint="default"/>
      </w:rPr>
    </w:lvl>
    <w:lvl w:ilvl="6" w:tplc="E830FDDC" w:tentative="1">
      <w:start w:val="1"/>
      <w:numFmt w:val="bullet"/>
      <w:lvlText w:val=""/>
      <w:lvlJc w:val="left"/>
      <w:pPr>
        <w:tabs>
          <w:tab w:val="num" w:pos="6117"/>
        </w:tabs>
        <w:ind w:left="6117" w:hanging="360"/>
      </w:pPr>
      <w:rPr>
        <w:rFonts w:ascii="Symbol" w:hAnsi="Symbol" w:hint="default"/>
      </w:rPr>
    </w:lvl>
    <w:lvl w:ilvl="7" w:tplc="882ED66A" w:tentative="1">
      <w:start w:val="1"/>
      <w:numFmt w:val="bullet"/>
      <w:lvlText w:val="o"/>
      <w:lvlJc w:val="left"/>
      <w:pPr>
        <w:tabs>
          <w:tab w:val="num" w:pos="6837"/>
        </w:tabs>
        <w:ind w:left="6837" w:hanging="360"/>
      </w:pPr>
      <w:rPr>
        <w:rFonts w:ascii="Courier New" w:hAnsi="Courier New" w:cs="Courier New" w:hint="default"/>
      </w:rPr>
    </w:lvl>
    <w:lvl w:ilvl="8" w:tplc="4342ADE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6EC6A7E">
      <w:start w:val="1"/>
      <w:numFmt w:val="decimal"/>
      <w:pStyle w:val="ATSNumber2"/>
      <w:lvlText w:val="%1."/>
      <w:lvlJc w:val="left"/>
      <w:pPr>
        <w:tabs>
          <w:tab w:val="num" w:pos="720"/>
        </w:tabs>
        <w:ind w:left="720" w:hanging="360"/>
      </w:pPr>
      <w:rPr>
        <w:rFonts w:hint="default"/>
      </w:rPr>
    </w:lvl>
    <w:lvl w:ilvl="1" w:tplc="E17AB862">
      <w:start w:val="1"/>
      <w:numFmt w:val="lowerLetter"/>
      <w:lvlText w:val="%2."/>
      <w:lvlJc w:val="left"/>
      <w:pPr>
        <w:tabs>
          <w:tab w:val="num" w:pos="1440"/>
        </w:tabs>
        <w:ind w:left="1440" w:hanging="360"/>
      </w:pPr>
    </w:lvl>
    <w:lvl w:ilvl="2" w:tplc="302C8F10" w:tentative="1">
      <w:start w:val="1"/>
      <w:numFmt w:val="lowerRoman"/>
      <w:lvlText w:val="%3."/>
      <w:lvlJc w:val="right"/>
      <w:pPr>
        <w:tabs>
          <w:tab w:val="num" w:pos="2160"/>
        </w:tabs>
        <w:ind w:left="2160" w:hanging="180"/>
      </w:pPr>
    </w:lvl>
    <w:lvl w:ilvl="3" w:tplc="02969FDA" w:tentative="1">
      <w:start w:val="1"/>
      <w:numFmt w:val="decimal"/>
      <w:lvlText w:val="%4."/>
      <w:lvlJc w:val="left"/>
      <w:pPr>
        <w:tabs>
          <w:tab w:val="num" w:pos="2880"/>
        </w:tabs>
        <w:ind w:left="2880" w:hanging="360"/>
      </w:pPr>
    </w:lvl>
    <w:lvl w:ilvl="4" w:tplc="F7003F24" w:tentative="1">
      <w:start w:val="1"/>
      <w:numFmt w:val="lowerLetter"/>
      <w:lvlText w:val="%5."/>
      <w:lvlJc w:val="left"/>
      <w:pPr>
        <w:tabs>
          <w:tab w:val="num" w:pos="3600"/>
        </w:tabs>
        <w:ind w:left="3600" w:hanging="360"/>
      </w:pPr>
    </w:lvl>
    <w:lvl w:ilvl="5" w:tplc="CC182F58" w:tentative="1">
      <w:start w:val="1"/>
      <w:numFmt w:val="lowerRoman"/>
      <w:lvlText w:val="%6."/>
      <w:lvlJc w:val="right"/>
      <w:pPr>
        <w:tabs>
          <w:tab w:val="num" w:pos="4320"/>
        </w:tabs>
        <w:ind w:left="4320" w:hanging="180"/>
      </w:pPr>
    </w:lvl>
    <w:lvl w:ilvl="6" w:tplc="89F4BDD8" w:tentative="1">
      <w:start w:val="1"/>
      <w:numFmt w:val="decimal"/>
      <w:lvlText w:val="%7."/>
      <w:lvlJc w:val="left"/>
      <w:pPr>
        <w:tabs>
          <w:tab w:val="num" w:pos="5040"/>
        </w:tabs>
        <w:ind w:left="5040" w:hanging="360"/>
      </w:pPr>
    </w:lvl>
    <w:lvl w:ilvl="7" w:tplc="7F881642" w:tentative="1">
      <w:start w:val="1"/>
      <w:numFmt w:val="lowerLetter"/>
      <w:lvlText w:val="%8."/>
      <w:lvlJc w:val="left"/>
      <w:pPr>
        <w:tabs>
          <w:tab w:val="num" w:pos="5760"/>
        </w:tabs>
        <w:ind w:left="5760" w:hanging="360"/>
      </w:pPr>
    </w:lvl>
    <w:lvl w:ilvl="8" w:tplc="6286092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DB"/>
    <w:rsid w:val="005857DB"/>
    <w:rsid w:val="005D22F0"/>
    <w:rsid w:val="00E25C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E2632"/>
  <w15:chartTrackingRefBased/>
  <w15:docId w15:val="{184638B3-8BEE-4D61-9F57-F59963AC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5D22F0"/>
    <w:rPr>
      <w:sz w:val="22"/>
      <w:szCs w:val="24"/>
      <w:lang w:val="en-GB" w:eastAsia="en-GB"/>
    </w:rPr>
  </w:style>
  <w:style w:type="paragraph" w:customStyle="1" w:styleId="Default">
    <w:name w:val="Default"/>
    <w:rsid w:val="005D22F0"/>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1589</Words>
  <Characters>8293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2021-04-19T10:51:00Z</dcterms:modified>
</cp:coreProperties>
</file>