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7063" w14:textId="77777777" w:rsidR="00C26F2D" w:rsidRPr="00BF077B" w:rsidRDefault="004932C1" w:rsidP="00BF077B">
      <w:pPr>
        <w:pStyle w:val="ATSNormal"/>
        <w:rPr>
          <w:rStyle w:val="Ttulodellibro"/>
        </w:rPr>
      </w:pPr>
    </w:p>
    <w:p w14:paraId="563D5DEE" w14:textId="77777777" w:rsidR="002F0A13" w:rsidRDefault="004932C1" w:rsidP="004B4A60">
      <w:pPr>
        <w:rPr>
          <w:b/>
          <w:u w:val="single"/>
          <w:lang w:val="es-ES_tradnl"/>
        </w:rPr>
      </w:pPr>
    </w:p>
    <w:p w14:paraId="0B4956BF" w14:textId="77777777" w:rsidR="002F0A13" w:rsidRDefault="004932C1" w:rsidP="004B4A60">
      <w:pPr>
        <w:rPr>
          <w:b/>
          <w:u w:val="single"/>
          <w:lang w:val="es-ES_tradnl"/>
        </w:rPr>
      </w:pPr>
    </w:p>
    <w:p w14:paraId="1791845A" w14:textId="77777777" w:rsidR="002F0A13" w:rsidRDefault="004932C1" w:rsidP="004B4A60">
      <w:pPr>
        <w:rPr>
          <w:b/>
          <w:u w:val="single"/>
          <w:lang w:val="es-ES_tradnl"/>
        </w:rPr>
      </w:pPr>
    </w:p>
    <w:p w14:paraId="448F358E" w14:textId="77777777" w:rsidR="002F0A13" w:rsidRDefault="004932C1" w:rsidP="004B4A60">
      <w:pPr>
        <w:rPr>
          <w:b/>
          <w:u w:val="single"/>
          <w:lang w:val="es-ES_tradnl"/>
        </w:rPr>
      </w:pPr>
    </w:p>
    <w:p w14:paraId="45065FA7" w14:textId="77777777" w:rsidR="00C26F2D" w:rsidRDefault="004932C1" w:rsidP="004B4A60">
      <w:pPr>
        <w:rPr>
          <w:b/>
          <w:u w:val="single"/>
          <w:lang w:val="es-ES_tradnl"/>
        </w:rPr>
      </w:pPr>
    </w:p>
    <w:p w14:paraId="2090660F" w14:textId="77777777" w:rsidR="004B4A60" w:rsidRPr="0057246E" w:rsidRDefault="004932C1" w:rsidP="001B789F">
      <w:pPr>
        <w:pStyle w:val="ATSTitle"/>
      </w:pPr>
      <w:bookmarkStart w:id="0" w:name="name"/>
      <w:r>
        <w:t>Assessment and management of pre-1958 historic remains at Camp Lake, Vestfold Hills, East Antarctica</w:t>
      </w:r>
      <w:bookmarkEnd w:id="0"/>
    </w:p>
    <w:p w14:paraId="5EA7FF80" w14:textId="77777777" w:rsidR="004B4A60" w:rsidRPr="0057246E" w:rsidRDefault="004932C1" w:rsidP="00F75424">
      <w:pPr>
        <w:jc w:val="center"/>
      </w:pPr>
    </w:p>
    <w:p w14:paraId="6E01B839" w14:textId="77777777" w:rsidR="004B4A60" w:rsidRPr="002F0A13" w:rsidRDefault="004932C1" w:rsidP="002F0A13"/>
    <w:p w14:paraId="53056408" w14:textId="77777777" w:rsidR="004B4A60" w:rsidRDefault="004932C1" w:rsidP="00F75424">
      <w:pPr>
        <w:jc w:val="center"/>
      </w:pPr>
      <w:bookmarkStart w:id="1" w:name="memo"/>
      <w:bookmarkEnd w:id="1"/>
    </w:p>
    <w:p w14:paraId="10DB7488" w14:textId="77777777" w:rsidR="0097629D" w:rsidRDefault="004932C1" w:rsidP="00F75424">
      <w:pPr>
        <w:jc w:val="center"/>
      </w:pPr>
    </w:p>
    <w:p w14:paraId="4E122EEA" w14:textId="77777777" w:rsidR="0097629D" w:rsidRDefault="004932C1" w:rsidP="00F75424">
      <w:pPr>
        <w:jc w:val="center"/>
      </w:pPr>
    </w:p>
    <w:p w14:paraId="2A9EB8FA" w14:textId="77777777" w:rsidR="0097629D" w:rsidRDefault="004932C1" w:rsidP="00F75424">
      <w:pPr>
        <w:jc w:val="center"/>
      </w:pPr>
    </w:p>
    <w:p w14:paraId="262B0CDD" w14:textId="77777777" w:rsidR="0097629D" w:rsidRPr="00C26F2D" w:rsidRDefault="004932C1" w:rsidP="00F75424">
      <w:pPr>
        <w:jc w:val="center"/>
      </w:pPr>
    </w:p>
    <w:p w14:paraId="5C993D0B" w14:textId="77777777" w:rsidR="004B4A60" w:rsidRPr="0057246E" w:rsidRDefault="004932C1" w:rsidP="004B4A60"/>
    <w:p w14:paraId="7DC7C920" w14:textId="77777777" w:rsidR="00C26F2D" w:rsidRDefault="004932C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47BD3AC" w14:textId="76C521A0" w:rsidR="004B4A60" w:rsidRDefault="004932C1" w:rsidP="00952E9F"/>
    <w:p w14:paraId="6E10B2CD" w14:textId="77777777" w:rsidR="004932C1" w:rsidRDefault="004932C1" w:rsidP="004932C1">
      <w:pPr>
        <w:pStyle w:val="ATSHeading1"/>
      </w:pPr>
      <w:r>
        <w:t>Assessment and management of pre-1958 historic</w:t>
      </w:r>
      <w:r w:rsidRPr="00D65D4C">
        <w:t xml:space="preserve"> remains at Camp Lake, Vestfold Hills, East Antarctica</w:t>
      </w:r>
    </w:p>
    <w:p w14:paraId="11A863E1" w14:textId="77777777" w:rsidR="004932C1" w:rsidRPr="00844FC9" w:rsidRDefault="004932C1" w:rsidP="004932C1">
      <w:pPr>
        <w:pStyle w:val="ATSNormal"/>
        <w:jc w:val="center"/>
        <w:rPr>
          <w:b/>
        </w:rPr>
      </w:pPr>
      <w:r>
        <w:rPr>
          <w:b/>
        </w:rPr>
        <w:t>Working</w:t>
      </w:r>
      <w:r w:rsidRPr="00844FC9">
        <w:rPr>
          <w:b/>
        </w:rPr>
        <w:t xml:space="preserve"> Paper submitted by </w:t>
      </w:r>
      <w:proofErr w:type="gramStart"/>
      <w:r w:rsidRPr="00844FC9">
        <w:rPr>
          <w:b/>
        </w:rPr>
        <w:t>Australia</w:t>
      </w:r>
      <w:proofErr w:type="gramEnd"/>
    </w:p>
    <w:p w14:paraId="040C5687" w14:textId="77777777" w:rsidR="004932C1" w:rsidRPr="00B1768C" w:rsidRDefault="004932C1" w:rsidP="004932C1">
      <w:pPr>
        <w:pStyle w:val="ATSHeading2"/>
      </w:pPr>
      <w:r w:rsidRPr="00B1768C">
        <w:t>Summary</w:t>
      </w:r>
    </w:p>
    <w:p w14:paraId="68603DD3" w14:textId="77777777" w:rsidR="004932C1" w:rsidRPr="00B1768C" w:rsidRDefault="004932C1" w:rsidP="004932C1">
      <w:pPr>
        <w:pStyle w:val="ATSNormal"/>
      </w:pPr>
      <w:r w:rsidRPr="00B1768C">
        <w:t xml:space="preserve">Australia </w:t>
      </w:r>
      <w:r>
        <w:t xml:space="preserve">has assessed the heritage value of pre-1958 historic remains </w:t>
      </w:r>
      <w:r w:rsidRPr="00B1768C">
        <w:t xml:space="preserve">in the vicinity of </w:t>
      </w:r>
      <w:r>
        <w:t xml:space="preserve">Camp Lake, Vestfold Hills, East Antarctica, in accordance with the </w:t>
      </w:r>
      <w:r w:rsidRPr="00293C58">
        <w:rPr>
          <w:i/>
          <w:iCs/>
        </w:rPr>
        <w:t>Guidelines for the assessment and management of Heritage in Antarctica</w:t>
      </w:r>
      <w:r>
        <w:rPr>
          <w:iCs/>
        </w:rPr>
        <w:t xml:space="preserve"> (</w:t>
      </w:r>
      <w:r>
        <w:t xml:space="preserve">Resolution 2 (2018)). Nomination for HSM listing is not proposed, and the local value of the site for interpreting early landings in the Vestfold Hills will be protected through management arrangements put in place within the Australian Antarctic Program. Accordingly, Australia recommends that the Committee agrees that interim protection of the remains under the </w:t>
      </w:r>
      <w:r w:rsidRPr="00BC28D2">
        <w:rPr>
          <w:i/>
        </w:rPr>
        <w:t>Guidelines for handling pre-1958 historic remains whose existence or present location is not known</w:t>
      </w:r>
      <w:r>
        <w:t xml:space="preserve"> (Resolution 5 (2001)) is no longer required.</w:t>
      </w:r>
    </w:p>
    <w:p w14:paraId="4F30BE1D" w14:textId="77777777" w:rsidR="004932C1" w:rsidRPr="00EA3BC4" w:rsidRDefault="004932C1" w:rsidP="004932C1">
      <w:pPr>
        <w:pStyle w:val="ATSHeading2"/>
      </w:pPr>
      <w:r w:rsidRPr="00EA3BC4">
        <w:t>Background</w:t>
      </w:r>
    </w:p>
    <w:p w14:paraId="1BFA3F0C" w14:textId="77777777" w:rsidR="004932C1" w:rsidRPr="00956C5A" w:rsidRDefault="004932C1" w:rsidP="004932C1">
      <w:pPr>
        <w:pStyle w:val="ATSNormal"/>
      </w:pPr>
      <w:r>
        <w:t xml:space="preserve">At CEP XXII (2019) Australia presented ATCM XLII/WP31 </w:t>
      </w:r>
      <w:r w:rsidRPr="00757C20">
        <w:rPr>
          <w:i/>
        </w:rPr>
        <w:t>Notification of the discovery of pre-1958 historic remains at Camp Lake, Vestfold Hills, East Antarctica</w:t>
      </w:r>
      <w:r>
        <w:t xml:space="preserve">. In accordance with the </w:t>
      </w:r>
      <w:r w:rsidRPr="00757C20">
        <w:rPr>
          <w:i/>
        </w:rPr>
        <w:t>Guidelines for handling pre-1958 historic remains whose existence or present location is not known</w:t>
      </w:r>
      <w:r>
        <w:t xml:space="preserve"> (Resolution 5 (2001)), the paper reported on the discovery of pre-1958 historic remains associated with early Australian National Antarctic Research Expeditions activities in the vicinity of Camp Lake, Vestfold Hills, East Antarctica. It also noted that, c</w:t>
      </w:r>
      <w:r w:rsidRPr="009E579D">
        <w:t>onsistent with</w:t>
      </w:r>
      <w:r w:rsidRPr="00BC28D2">
        <w:t xml:space="preserve"> </w:t>
      </w:r>
      <w:r>
        <w:t xml:space="preserve">the </w:t>
      </w:r>
      <w:r w:rsidRPr="00757C20">
        <w:rPr>
          <w:i/>
          <w:iCs/>
        </w:rPr>
        <w:t>Guidelines for the assessment and management of Heritage in Antarctica</w:t>
      </w:r>
      <w:r>
        <w:rPr>
          <w:iCs/>
        </w:rPr>
        <w:t xml:space="preserve"> (Resolution 2 (2018))</w:t>
      </w:r>
      <w:r w:rsidRPr="00BC28D2">
        <w:rPr>
          <w:iCs/>
        </w:rPr>
        <w:t xml:space="preserve">, </w:t>
      </w:r>
      <w:r w:rsidRPr="00020DC0">
        <w:t xml:space="preserve">Australia </w:t>
      </w:r>
      <w:r>
        <w:t xml:space="preserve">was undertaking an assessment of the heritage value of the historic remains, which would inform management options. The Committee noted the information, acknowledged that the remains would be subject to interim protection </w:t>
      </w:r>
      <w:r w:rsidRPr="00B1768C">
        <w:t xml:space="preserve">in accordance with </w:t>
      </w:r>
      <w:r>
        <w:t>Resolution 5 (200</w:t>
      </w:r>
      <w:r w:rsidRPr="00B1768C">
        <w:t>1)</w:t>
      </w:r>
      <w:r>
        <w:t>, and advised the ATCM accordingly</w:t>
      </w:r>
      <w:r>
        <w:rPr>
          <w:rStyle w:val="Refdenotaalpie"/>
        </w:rPr>
        <w:footnoteReference w:id="1"/>
      </w:r>
      <w:r>
        <w:t>.</w:t>
      </w:r>
    </w:p>
    <w:p w14:paraId="6A516109" w14:textId="77777777" w:rsidR="004932C1" w:rsidRDefault="004932C1" w:rsidP="004932C1">
      <w:pPr>
        <w:pStyle w:val="ATSHeading2"/>
      </w:pPr>
      <w:r>
        <w:t xml:space="preserve">Assessment of heritage value of the historic remains at Camp </w:t>
      </w:r>
      <w:proofErr w:type="gramStart"/>
      <w:r>
        <w:t>Lake</w:t>
      </w:r>
      <w:proofErr w:type="gramEnd"/>
      <w:r>
        <w:t xml:space="preserve"> </w:t>
      </w:r>
    </w:p>
    <w:p w14:paraId="4F048084" w14:textId="77777777" w:rsidR="004932C1" w:rsidRDefault="004932C1" w:rsidP="004932C1">
      <w:pPr>
        <w:pStyle w:val="ATSNormal"/>
      </w:pPr>
      <w:r w:rsidRPr="00B1768C">
        <w:t xml:space="preserve">Australia </w:t>
      </w:r>
      <w:r>
        <w:t xml:space="preserve">engaged a heritage professional with Antarctic expertise to </w:t>
      </w:r>
      <w:r w:rsidRPr="00B1768C">
        <w:t xml:space="preserve">assess the heritage </w:t>
      </w:r>
      <w:r>
        <w:t>significance</w:t>
      </w:r>
      <w:r w:rsidRPr="00B1768C">
        <w:t xml:space="preserve"> of the </w:t>
      </w:r>
      <w:r>
        <w:t>Camp Lake site and associated objects</w:t>
      </w:r>
      <w:r w:rsidRPr="00B1768C">
        <w:t xml:space="preserve"> consistent with the </w:t>
      </w:r>
      <w:r w:rsidRPr="00B1768C">
        <w:rPr>
          <w:i/>
          <w:iCs/>
        </w:rPr>
        <w:t>Guidelines for the assessment and management of Heritage in Antarctica</w:t>
      </w:r>
      <w:r w:rsidRPr="00B1768C">
        <w:t>.</w:t>
      </w:r>
      <w:r>
        <w:t xml:space="preserve"> As noted in ATCM XLII/WP32, the </w:t>
      </w:r>
      <w:r w:rsidRPr="00B1768C">
        <w:t xml:space="preserve">historic remains stem from the Australian National Antarctic Research Expedition’s early exploration of the Vestfold </w:t>
      </w:r>
      <w:r w:rsidRPr="00492BBB">
        <w:t>Hills</w:t>
      </w:r>
      <w:r w:rsidRPr="00B1768C">
        <w:t xml:space="preserve"> in 1955 </w:t>
      </w:r>
      <w:r>
        <w:t xml:space="preserve">and </w:t>
      </w:r>
      <w:r w:rsidRPr="00B1768C">
        <w:t xml:space="preserve">include: a rock cairn; two rock outlines of cleared tent sites; remnants of wooden crates; wire; a bar of soap; amphibious vehicle tracks; and a possible </w:t>
      </w:r>
      <w:proofErr w:type="gramStart"/>
      <w:r w:rsidRPr="00B1768C">
        <w:t>flag pole</w:t>
      </w:r>
      <w:proofErr w:type="gramEnd"/>
      <w:r w:rsidRPr="00B1768C">
        <w:t xml:space="preserve"> foundation.</w:t>
      </w:r>
    </w:p>
    <w:p w14:paraId="7AC33785" w14:textId="77777777" w:rsidR="004932C1" w:rsidRDefault="004932C1" w:rsidP="004932C1">
      <w:pPr>
        <w:pStyle w:val="ATSNormal"/>
      </w:pPr>
      <w:r>
        <w:t xml:space="preserve">The assessment noted that the </w:t>
      </w:r>
      <w:r w:rsidRPr="00E211DA">
        <w:t xml:space="preserve">objects do not appear to be at risk </w:t>
      </w:r>
      <w:r>
        <w:t xml:space="preserve">if left untouched </w:t>
      </w:r>
      <w:r w:rsidRPr="00E211DA">
        <w:t>and, of</w:t>
      </w:r>
      <w:r>
        <w:t xml:space="preserve"> </w:t>
      </w:r>
      <w:r w:rsidRPr="00E211DA">
        <w:t>themselves, do not appear to present an environmental hazard or risk to each other.</w:t>
      </w:r>
      <w:r w:rsidRPr="00B24B9D">
        <w:t xml:space="preserve"> </w:t>
      </w:r>
      <w:r>
        <w:t>It</w:t>
      </w:r>
      <w:r>
        <w:rPr>
          <w:iCs/>
        </w:rPr>
        <w:t xml:space="preserve"> concluded that </w:t>
      </w:r>
      <w:r w:rsidRPr="00B1768C">
        <w:t xml:space="preserve">the </w:t>
      </w:r>
      <w:r>
        <w:t>site and objects are of negligible heritage</w:t>
      </w:r>
      <w:r w:rsidRPr="00B1768C">
        <w:t xml:space="preserve"> significance</w:t>
      </w:r>
      <w:r>
        <w:t xml:space="preserve"> in terms of the criteria presented in the </w:t>
      </w:r>
      <w:r w:rsidRPr="00B1768C">
        <w:rPr>
          <w:i/>
          <w:iCs/>
        </w:rPr>
        <w:t xml:space="preserve">Guidelines for the assessment and management of Heritage in </w:t>
      </w:r>
      <w:proofErr w:type="gramStart"/>
      <w:r w:rsidRPr="00B1768C">
        <w:rPr>
          <w:i/>
          <w:iCs/>
        </w:rPr>
        <w:t>Antarctica</w:t>
      </w:r>
      <w:r w:rsidRPr="00B1768C">
        <w:t>, but</w:t>
      </w:r>
      <w:proofErr w:type="gramEnd"/>
      <w:r w:rsidRPr="00B1768C">
        <w:t xml:space="preserve"> </w:t>
      </w:r>
      <w:r>
        <w:t xml:space="preserve">have </w:t>
      </w:r>
      <w:r w:rsidRPr="00B1768C">
        <w:t>local value for interpreting early landings in the Vestfold Hills</w:t>
      </w:r>
      <w:r>
        <w:t xml:space="preserve">, which is best protected by recording them and leaving them undisturbed. </w:t>
      </w:r>
    </w:p>
    <w:p w14:paraId="2E35D4EA" w14:textId="77777777" w:rsidR="004932C1" w:rsidRPr="00B1768C" w:rsidRDefault="004932C1" w:rsidP="004932C1">
      <w:pPr>
        <w:pStyle w:val="ATSNormal"/>
      </w:pPr>
      <w:r w:rsidRPr="00B1768C">
        <w:t xml:space="preserve">Accordingly, </w:t>
      </w:r>
      <w:r>
        <w:t xml:space="preserve">Australia has </w:t>
      </w:r>
      <w:r w:rsidRPr="00B1768C">
        <w:t>decided to:</w:t>
      </w:r>
    </w:p>
    <w:p w14:paraId="6235E88D" w14:textId="77777777" w:rsidR="004932C1" w:rsidRDefault="004932C1" w:rsidP="004932C1">
      <w:pPr>
        <w:pStyle w:val="ATSNormal"/>
        <w:numPr>
          <w:ilvl w:val="0"/>
          <w:numId w:val="21"/>
        </w:numPr>
        <w:spacing w:before="60" w:after="0"/>
        <w:ind w:left="357" w:hanging="357"/>
        <w:jc w:val="both"/>
      </w:pPr>
      <w:r w:rsidRPr="00B1768C">
        <w:t>not nominate the site for listing</w:t>
      </w:r>
      <w:r>
        <w:t xml:space="preserve"> as a Historic Site or Monument (HSM); and </w:t>
      </w:r>
    </w:p>
    <w:p w14:paraId="4927575E" w14:textId="77777777" w:rsidR="004932C1" w:rsidRPr="00B1768C" w:rsidRDefault="004932C1" w:rsidP="004932C1">
      <w:pPr>
        <w:pStyle w:val="ATSBullet1"/>
        <w:numPr>
          <w:ilvl w:val="0"/>
          <w:numId w:val="11"/>
        </w:numPr>
      </w:pPr>
      <w:r>
        <w:t>put in place arrangements within the Australian Antarctic Program to protect the site and remains, including:</w:t>
      </w:r>
    </w:p>
    <w:p w14:paraId="054F8B71" w14:textId="77777777" w:rsidR="004932C1" w:rsidRPr="00B1768C" w:rsidRDefault="004932C1" w:rsidP="004932C1">
      <w:pPr>
        <w:pStyle w:val="ATSBullet2"/>
        <w:numPr>
          <w:ilvl w:val="0"/>
          <w:numId w:val="12"/>
        </w:numPr>
      </w:pPr>
      <w:r w:rsidRPr="00B1768C">
        <w:t>record</w:t>
      </w:r>
      <w:r>
        <w:t>ing</w:t>
      </w:r>
      <w:r w:rsidRPr="00B1768C">
        <w:t xml:space="preserve"> and monitor</w:t>
      </w:r>
      <w:r>
        <w:t>ing</w:t>
      </w:r>
      <w:r w:rsidRPr="00B1768C">
        <w:t xml:space="preserve"> the site and register</w:t>
      </w:r>
      <w:r>
        <w:t>ing</w:t>
      </w:r>
      <w:r w:rsidRPr="00B1768C">
        <w:t xml:space="preserve"> the artefacts on </w:t>
      </w:r>
      <w:r>
        <w:t xml:space="preserve">Australia’s Antarctic </w:t>
      </w:r>
      <w:r w:rsidRPr="00B1768C">
        <w:t xml:space="preserve">heritage </w:t>
      </w:r>
      <w:proofErr w:type="gramStart"/>
      <w:r w:rsidRPr="00B1768C">
        <w:t>register</w:t>
      </w:r>
      <w:r>
        <w:t>;</w:t>
      </w:r>
      <w:proofErr w:type="gramEnd"/>
    </w:p>
    <w:p w14:paraId="57A51CCE" w14:textId="77777777" w:rsidR="004932C1" w:rsidRPr="00B1768C" w:rsidRDefault="004932C1" w:rsidP="004932C1">
      <w:pPr>
        <w:pStyle w:val="ATSBullet2"/>
        <w:numPr>
          <w:ilvl w:val="0"/>
          <w:numId w:val="12"/>
        </w:numPr>
      </w:pPr>
      <w:r w:rsidRPr="00B1768C">
        <w:lastRenderedPageBreak/>
        <w:t>developing management arrangements for visits to the site</w:t>
      </w:r>
      <w:r>
        <w:t xml:space="preserve"> by Australian Antarctic Program </w:t>
      </w:r>
      <w:proofErr w:type="gramStart"/>
      <w:r>
        <w:t>personnel;</w:t>
      </w:r>
      <w:proofErr w:type="gramEnd"/>
    </w:p>
    <w:p w14:paraId="744EF1DC" w14:textId="77777777" w:rsidR="004932C1" w:rsidRDefault="004932C1" w:rsidP="004932C1">
      <w:pPr>
        <w:pStyle w:val="ATSBullet2"/>
        <w:numPr>
          <w:ilvl w:val="0"/>
          <w:numId w:val="12"/>
        </w:numPr>
      </w:pPr>
      <w:r w:rsidRPr="00B1768C">
        <w:t>providing information about the site to station leaders</w:t>
      </w:r>
      <w:r>
        <w:t xml:space="preserve"> and </w:t>
      </w:r>
      <w:r w:rsidRPr="00B1768C">
        <w:t>on new maps of the area, and</w:t>
      </w:r>
      <w:r>
        <w:t xml:space="preserve"> making</w:t>
      </w:r>
      <w:r w:rsidRPr="00B1768C">
        <w:t xml:space="preserve"> information available to expeditioners</w:t>
      </w:r>
      <w:r>
        <w:t xml:space="preserve"> and to the public; and</w:t>
      </w:r>
    </w:p>
    <w:p w14:paraId="13A17BC3" w14:textId="77777777" w:rsidR="004932C1" w:rsidRPr="00B1768C" w:rsidRDefault="004932C1" w:rsidP="004932C1">
      <w:pPr>
        <w:pStyle w:val="ATSBullet2"/>
        <w:numPr>
          <w:ilvl w:val="0"/>
          <w:numId w:val="12"/>
        </w:numPr>
      </w:pPr>
      <w:r>
        <w:t xml:space="preserve">ensuring that the potential impacts of </w:t>
      </w:r>
      <w:r w:rsidRPr="00B1768C">
        <w:t xml:space="preserve">proposed activities on the </w:t>
      </w:r>
      <w:r>
        <w:t xml:space="preserve">heritage </w:t>
      </w:r>
      <w:r w:rsidRPr="00B1768C">
        <w:t>values of the site</w:t>
      </w:r>
      <w:r>
        <w:t xml:space="preserve"> are assessed </w:t>
      </w:r>
      <w:r w:rsidRPr="00B1768C">
        <w:t xml:space="preserve">through </w:t>
      </w:r>
      <w:r>
        <w:t xml:space="preserve">formal </w:t>
      </w:r>
      <w:r w:rsidRPr="00B1768C">
        <w:t>environmental impact assessment process</w:t>
      </w:r>
      <w:r>
        <w:t>es consistent with the Protocol on Environmental Protection to the Antarctic Treaty.</w:t>
      </w:r>
    </w:p>
    <w:p w14:paraId="35159E9D" w14:textId="77777777" w:rsidR="004932C1" w:rsidRPr="00EA3BC4" w:rsidRDefault="004932C1" w:rsidP="004932C1">
      <w:pPr>
        <w:pStyle w:val="ATSHeading2"/>
      </w:pPr>
      <w:r w:rsidRPr="00EA3BC4">
        <w:t>Recommendations</w:t>
      </w:r>
    </w:p>
    <w:p w14:paraId="1972BE69" w14:textId="77777777" w:rsidR="004932C1" w:rsidRPr="00EA3BC4" w:rsidRDefault="004932C1" w:rsidP="004932C1">
      <w:pPr>
        <w:pStyle w:val="ATSNormal"/>
        <w:jc w:val="both"/>
      </w:pPr>
      <w:r w:rsidRPr="00EA3BC4">
        <w:t>Australia recommends that the C</w:t>
      </w:r>
      <w:r>
        <w:t>ommittee</w:t>
      </w:r>
      <w:r w:rsidRPr="00EA3BC4">
        <w:t>:</w:t>
      </w:r>
      <w:r w:rsidRPr="00EA3BC4" w:rsidDel="00FE7048">
        <w:t xml:space="preserve"> </w:t>
      </w:r>
    </w:p>
    <w:p w14:paraId="61FF7FA9" w14:textId="77777777" w:rsidR="004932C1" w:rsidRDefault="004932C1" w:rsidP="004932C1">
      <w:pPr>
        <w:pStyle w:val="ATSBullet1"/>
        <w:numPr>
          <w:ilvl w:val="0"/>
          <w:numId w:val="11"/>
        </w:numPr>
      </w:pPr>
      <w:r>
        <w:t xml:space="preserve">notes that Australia has assessed </w:t>
      </w:r>
      <w:r w:rsidRPr="00492BBB">
        <w:t>the</w:t>
      </w:r>
      <w:r>
        <w:t xml:space="preserve"> heritage value of the pre-1958 historic remains at Camp Lake, Vestfold Hills, East Antarctica in accordance with the </w:t>
      </w:r>
      <w:r w:rsidRPr="00B1768C">
        <w:rPr>
          <w:i/>
          <w:iCs/>
        </w:rPr>
        <w:t>Guidelines for the assessment and management of Heritage in Antarctica</w:t>
      </w:r>
      <w:r>
        <w:t xml:space="preserve"> (Resolution 2 (2018)</w:t>
      </w:r>
      <w:proofErr w:type="gramStart"/>
      <w:r>
        <w:t>);</w:t>
      </w:r>
      <w:proofErr w:type="gramEnd"/>
    </w:p>
    <w:p w14:paraId="21D1551B" w14:textId="77777777" w:rsidR="004932C1" w:rsidRDefault="004932C1" w:rsidP="004932C1">
      <w:pPr>
        <w:pStyle w:val="ATSBullet1"/>
        <w:numPr>
          <w:ilvl w:val="0"/>
          <w:numId w:val="11"/>
        </w:numPr>
      </w:pPr>
      <w:r>
        <w:t>notes that nomination of the site for HSM</w:t>
      </w:r>
      <w:r w:rsidRPr="00EA3BC4">
        <w:t xml:space="preserve"> </w:t>
      </w:r>
      <w:r>
        <w:t xml:space="preserve">listing is not proposed, and the local value of the site for interpreting early landings in the Vestfold Hills will be protected through management arrangements put in place within the Australian Antarctic Program; and </w:t>
      </w:r>
    </w:p>
    <w:p w14:paraId="76BAB70F" w14:textId="77777777" w:rsidR="004932C1" w:rsidRPr="006A0A7F" w:rsidRDefault="004932C1" w:rsidP="004932C1">
      <w:pPr>
        <w:pStyle w:val="ATSBullet1"/>
        <w:numPr>
          <w:ilvl w:val="0"/>
          <w:numId w:val="11"/>
        </w:numPr>
        <w:rPr>
          <w:color w:val="4472C4" w:themeColor="accent1"/>
        </w:rPr>
      </w:pPr>
      <w:r>
        <w:t xml:space="preserve">agrees that interim protection of the remains in accordance with the </w:t>
      </w:r>
      <w:r w:rsidRPr="00BC28D2">
        <w:rPr>
          <w:i/>
        </w:rPr>
        <w:t>Guidelines for handling pre-1958 historic remains whose existence or present location is not known</w:t>
      </w:r>
      <w:r>
        <w:t xml:space="preserve"> (Resolution 5 (2001)) is no longer required.  </w:t>
      </w:r>
      <w:r w:rsidRPr="00EA3BC4">
        <w:t xml:space="preserve"> </w:t>
      </w:r>
    </w:p>
    <w:p w14:paraId="740DBAE0" w14:textId="77777777" w:rsidR="004932C1" w:rsidRPr="00F32A27" w:rsidRDefault="004932C1" w:rsidP="004932C1">
      <w:pPr>
        <w:pStyle w:val="ATSHeading3"/>
        <w:keepNext/>
      </w:pPr>
    </w:p>
    <w:p w14:paraId="03A7FFF3" w14:textId="77777777" w:rsidR="004932C1" w:rsidRDefault="004932C1" w:rsidP="00952E9F"/>
    <w:sectPr w:rsidR="004932C1"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0F4A" w14:textId="77777777" w:rsidR="00000000" w:rsidRDefault="004932C1">
      <w:r>
        <w:separator/>
      </w:r>
    </w:p>
  </w:endnote>
  <w:endnote w:type="continuationSeparator" w:id="0">
    <w:p w14:paraId="635868EF" w14:textId="77777777" w:rsidR="00000000" w:rsidRDefault="00493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FB80" w14:textId="77777777" w:rsidR="00FA0B9F" w:rsidRDefault="004932C1" w:rsidP="00CF5C82">
    <w:pPr>
      <w:framePr w:wrap="around" w:vAnchor="text" w:hAnchor="margin" w:xAlign="right" w:y="1"/>
    </w:pPr>
    <w:r>
      <w:fldChar w:fldCharType="begin"/>
    </w:r>
    <w:r>
      <w:instrText xml:space="preserve">PAGE  </w:instrText>
    </w:r>
    <w:r>
      <w:fldChar w:fldCharType="end"/>
    </w:r>
  </w:p>
  <w:p w14:paraId="660A2607" w14:textId="77777777" w:rsidR="00FA0B9F" w:rsidRDefault="004932C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AE70" w14:textId="77777777" w:rsidR="00FA0B9F" w:rsidRDefault="004932C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674E977" w14:textId="3B561729" w:rsidR="00FA0B9F" w:rsidRDefault="004932C1" w:rsidP="004932C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6209" w14:textId="77777777" w:rsidR="00E311C9" w:rsidRDefault="004932C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24CDB4" w14:textId="77777777" w:rsidR="00E311C9" w:rsidRDefault="004932C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61D9" w14:textId="77777777" w:rsidR="00000000" w:rsidRDefault="004932C1">
      <w:r>
        <w:separator/>
      </w:r>
    </w:p>
  </w:footnote>
  <w:footnote w:type="continuationSeparator" w:id="0">
    <w:p w14:paraId="52172135" w14:textId="77777777" w:rsidR="00000000" w:rsidRDefault="004932C1">
      <w:r>
        <w:continuationSeparator/>
      </w:r>
    </w:p>
  </w:footnote>
  <w:footnote w:id="1">
    <w:p w14:paraId="4DC70A1A" w14:textId="77777777" w:rsidR="004932C1" w:rsidRPr="005676E1" w:rsidRDefault="004932C1" w:rsidP="004932C1">
      <w:pPr>
        <w:pStyle w:val="Textonotapie"/>
        <w:rPr>
          <w:lang w:val="en-AU"/>
        </w:rPr>
      </w:pPr>
      <w:r>
        <w:rPr>
          <w:rStyle w:val="Refdenotaalpie"/>
        </w:rPr>
        <w:footnoteRef/>
      </w:r>
      <w:r>
        <w:t xml:space="preserve"> </w:t>
      </w:r>
      <w:r>
        <w:rPr>
          <w:lang w:val="en-AU"/>
        </w:rPr>
        <w:t>CEP XXII Final Report, paras. 120 &amp;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3019C" w14:paraId="34BD7CD4" w14:textId="77777777" w:rsidTr="00490760">
      <w:trPr>
        <w:trHeight w:val="344"/>
        <w:jc w:val="center"/>
      </w:trPr>
      <w:tc>
        <w:tcPr>
          <w:tcW w:w="5495" w:type="dxa"/>
        </w:tcPr>
        <w:p w14:paraId="082D3588" w14:textId="77777777" w:rsidR="00DB7C09" w:rsidRDefault="004932C1" w:rsidP="00F968D4"/>
      </w:tc>
      <w:tc>
        <w:tcPr>
          <w:tcW w:w="4253" w:type="dxa"/>
          <w:gridSpan w:val="2"/>
        </w:tcPr>
        <w:p w14:paraId="496B66AA" w14:textId="77777777" w:rsidR="00DB7C09" w:rsidRPr="00BD47E4" w:rsidRDefault="004932C1" w:rsidP="002A07BC">
          <w:pPr>
            <w:jc w:val="right"/>
            <w:rPr>
              <w:b/>
              <w:sz w:val="32"/>
              <w:szCs w:val="32"/>
            </w:rPr>
          </w:pPr>
          <w:bookmarkStart w:id="2" w:name="type"/>
          <w:r w:rsidRPr="00BD47E4">
            <w:rPr>
              <w:b/>
              <w:sz w:val="32"/>
              <w:szCs w:val="32"/>
            </w:rPr>
            <w:t>WP</w:t>
          </w:r>
          <w:bookmarkEnd w:id="2"/>
        </w:p>
      </w:tc>
      <w:tc>
        <w:tcPr>
          <w:tcW w:w="1524" w:type="dxa"/>
          <w:gridSpan w:val="2"/>
        </w:tcPr>
        <w:p w14:paraId="384E73CE" w14:textId="77777777" w:rsidR="00DB7C09" w:rsidRPr="00BD47E4" w:rsidRDefault="004932C1" w:rsidP="00DB7C09">
          <w:pPr>
            <w:rPr>
              <w:b/>
              <w:sz w:val="32"/>
              <w:szCs w:val="32"/>
            </w:rPr>
          </w:pPr>
          <w:bookmarkStart w:id="3" w:name="number"/>
          <w:r w:rsidRPr="00BD47E4">
            <w:rPr>
              <w:b/>
              <w:sz w:val="32"/>
              <w:szCs w:val="32"/>
            </w:rPr>
            <w:t>13</w:t>
          </w:r>
          <w:bookmarkEnd w:id="3"/>
        </w:p>
      </w:tc>
    </w:tr>
    <w:tr w:rsidR="00F3019C" w14:paraId="43E2FA46" w14:textId="77777777" w:rsidTr="00490760">
      <w:trPr>
        <w:trHeight w:val="2165"/>
        <w:jc w:val="center"/>
      </w:trPr>
      <w:tc>
        <w:tcPr>
          <w:tcW w:w="5495" w:type="dxa"/>
        </w:tcPr>
        <w:p w14:paraId="646AA66F" w14:textId="77777777" w:rsidR="00490760" w:rsidRPr="00EE4D48" w:rsidRDefault="004932C1" w:rsidP="002A07BC">
          <w:pPr>
            <w:rPr>
              <w:b/>
              <w:sz w:val="28"/>
              <w:szCs w:val="28"/>
            </w:rPr>
          </w:pPr>
          <w:r>
            <w:rPr>
              <w:b/>
              <w:noProof/>
              <w:sz w:val="28"/>
              <w:szCs w:val="28"/>
            </w:rPr>
            <w:drawing>
              <wp:inline distT="0" distB="0" distL="0" distR="0" wp14:anchorId="7B9F5E82" wp14:editId="2BF9954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891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A7FCCDC" w14:textId="77777777" w:rsidR="00490760" w:rsidRPr="00FE5146" w:rsidRDefault="004932C1" w:rsidP="00490760">
          <w:pPr>
            <w:jc w:val="right"/>
            <w:rPr>
              <w:sz w:val="144"/>
              <w:szCs w:val="144"/>
            </w:rPr>
          </w:pPr>
          <w:r w:rsidRPr="00FE5146">
            <w:rPr>
              <w:sz w:val="144"/>
              <w:szCs w:val="144"/>
            </w:rPr>
            <w:t>ENG</w:t>
          </w:r>
        </w:p>
      </w:tc>
    </w:tr>
    <w:tr w:rsidR="00F3019C" w14:paraId="0F0E5E86" w14:textId="77777777" w:rsidTr="00BD47E4">
      <w:trPr>
        <w:trHeight w:val="409"/>
        <w:jc w:val="center"/>
      </w:trPr>
      <w:tc>
        <w:tcPr>
          <w:tcW w:w="9039" w:type="dxa"/>
          <w:gridSpan w:val="2"/>
        </w:tcPr>
        <w:p w14:paraId="75A82DE9" w14:textId="77777777" w:rsidR="00BD47E4" w:rsidRDefault="004932C1" w:rsidP="002C30DA">
          <w:pPr>
            <w:jc w:val="right"/>
          </w:pPr>
          <w:r>
            <w:t>Agenda Item:</w:t>
          </w:r>
        </w:p>
      </w:tc>
      <w:tc>
        <w:tcPr>
          <w:tcW w:w="1843" w:type="dxa"/>
          <w:gridSpan w:val="2"/>
        </w:tcPr>
        <w:p w14:paraId="4FF645B8" w14:textId="77777777" w:rsidR="00BD47E4" w:rsidRDefault="004932C1" w:rsidP="002C30DA">
          <w:pPr>
            <w:jc w:val="right"/>
          </w:pPr>
          <w:bookmarkStart w:id="4" w:name="agenda"/>
          <w:r>
            <w:t>CEP 9b</w:t>
          </w:r>
          <w:bookmarkEnd w:id="4"/>
        </w:p>
      </w:tc>
      <w:tc>
        <w:tcPr>
          <w:tcW w:w="390" w:type="dxa"/>
        </w:tcPr>
        <w:p w14:paraId="35DD8A46" w14:textId="77777777" w:rsidR="00BD47E4" w:rsidRDefault="004932C1" w:rsidP="00387A65">
          <w:pPr>
            <w:jc w:val="right"/>
          </w:pPr>
        </w:p>
      </w:tc>
    </w:tr>
    <w:tr w:rsidR="00F3019C" w14:paraId="42C3BC4C" w14:textId="77777777" w:rsidTr="00BD47E4">
      <w:trPr>
        <w:trHeight w:val="397"/>
        <w:jc w:val="center"/>
      </w:trPr>
      <w:tc>
        <w:tcPr>
          <w:tcW w:w="9039" w:type="dxa"/>
          <w:gridSpan w:val="2"/>
        </w:tcPr>
        <w:p w14:paraId="354CEBE9" w14:textId="77777777" w:rsidR="00BD47E4" w:rsidRDefault="004932C1" w:rsidP="002C30DA">
          <w:pPr>
            <w:jc w:val="right"/>
          </w:pPr>
          <w:r>
            <w:t>Presented by:</w:t>
          </w:r>
        </w:p>
      </w:tc>
      <w:tc>
        <w:tcPr>
          <w:tcW w:w="1843" w:type="dxa"/>
          <w:gridSpan w:val="2"/>
        </w:tcPr>
        <w:p w14:paraId="63030A15" w14:textId="77777777" w:rsidR="00BD47E4" w:rsidRDefault="004932C1" w:rsidP="002C30DA">
          <w:pPr>
            <w:jc w:val="right"/>
          </w:pPr>
          <w:bookmarkStart w:id="5" w:name="party"/>
          <w:r>
            <w:t>Australia</w:t>
          </w:r>
          <w:bookmarkEnd w:id="5"/>
        </w:p>
      </w:tc>
      <w:tc>
        <w:tcPr>
          <w:tcW w:w="390" w:type="dxa"/>
        </w:tcPr>
        <w:p w14:paraId="06A6A990" w14:textId="77777777" w:rsidR="00BD47E4" w:rsidRDefault="004932C1" w:rsidP="00387A65">
          <w:pPr>
            <w:jc w:val="right"/>
          </w:pPr>
        </w:p>
      </w:tc>
    </w:tr>
    <w:tr w:rsidR="00F3019C" w14:paraId="26E7CAFF" w14:textId="77777777" w:rsidTr="00BD47E4">
      <w:trPr>
        <w:trHeight w:val="409"/>
        <w:jc w:val="center"/>
      </w:trPr>
      <w:tc>
        <w:tcPr>
          <w:tcW w:w="9039" w:type="dxa"/>
          <w:gridSpan w:val="2"/>
        </w:tcPr>
        <w:p w14:paraId="6A1B9848" w14:textId="77777777" w:rsidR="00BD47E4" w:rsidRDefault="004932C1" w:rsidP="002C30DA">
          <w:pPr>
            <w:jc w:val="right"/>
          </w:pPr>
          <w:r>
            <w:t>Original:</w:t>
          </w:r>
        </w:p>
      </w:tc>
      <w:tc>
        <w:tcPr>
          <w:tcW w:w="1843" w:type="dxa"/>
          <w:gridSpan w:val="2"/>
        </w:tcPr>
        <w:p w14:paraId="3FADF8D8" w14:textId="77777777" w:rsidR="00BD47E4" w:rsidRDefault="004932C1" w:rsidP="002C30DA">
          <w:pPr>
            <w:jc w:val="right"/>
          </w:pPr>
          <w:bookmarkStart w:id="6" w:name="language"/>
          <w:r>
            <w:t>English</w:t>
          </w:r>
          <w:bookmarkEnd w:id="6"/>
        </w:p>
      </w:tc>
      <w:tc>
        <w:tcPr>
          <w:tcW w:w="390" w:type="dxa"/>
        </w:tcPr>
        <w:p w14:paraId="10304585" w14:textId="77777777" w:rsidR="00BD47E4" w:rsidRDefault="004932C1" w:rsidP="00387A65">
          <w:pPr>
            <w:jc w:val="right"/>
          </w:pPr>
        </w:p>
      </w:tc>
    </w:tr>
    <w:tr w:rsidR="00F3019C" w14:paraId="403CAFB0" w14:textId="77777777" w:rsidTr="00BD47E4">
      <w:trPr>
        <w:trHeight w:val="409"/>
        <w:jc w:val="center"/>
      </w:trPr>
      <w:tc>
        <w:tcPr>
          <w:tcW w:w="9039" w:type="dxa"/>
          <w:gridSpan w:val="2"/>
        </w:tcPr>
        <w:p w14:paraId="25635DA6" w14:textId="77777777" w:rsidR="0097629D" w:rsidRDefault="004932C1" w:rsidP="002C30DA">
          <w:pPr>
            <w:jc w:val="right"/>
          </w:pPr>
          <w:r>
            <w:t>Submitted:</w:t>
          </w:r>
        </w:p>
      </w:tc>
      <w:tc>
        <w:tcPr>
          <w:tcW w:w="1843" w:type="dxa"/>
          <w:gridSpan w:val="2"/>
        </w:tcPr>
        <w:p w14:paraId="700C67F1" w14:textId="77777777" w:rsidR="0097629D" w:rsidRDefault="004932C1" w:rsidP="0097629D">
          <w:pPr>
            <w:jc w:val="right"/>
          </w:pPr>
          <w:bookmarkStart w:id="7" w:name="date_submission"/>
          <w:r>
            <w:t>28/4/2021</w:t>
          </w:r>
          <w:bookmarkEnd w:id="7"/>
        </w:p>
      </w:tc>
      <w:tc>
        <w:tcPr>
          <w:tcW w:w="390" w:type="dxa"/>
        </w:tcPr>
        <w:p w14:paraId="26FC830F" w14:textId="77777777" w:rsidR="0097629D" w:rsidRDefault="004932C1" w:rsidP="00387A65">
          <w:pPr>
            <w:jc w:val="right"/>
          </w:pPr>
        </w:p>
      </w:tc>
    </w:tr>
  </w:tbl>
  <w:p w14:paraId="732CD996" w14:textId="77777777" w:rsidR="00AE5DD0" w:rsidRDefault="004932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3019C" w14:paraId="013A6490" w14:textId="77777777">
      <w:trPr>
        <w:trHeight w:val="354"/>
        <w:jc w:val="center"/>
      </w:trPr>
      <w:tc>
        <w:tcPr>
          <w:tcW w:w="9694" w:type="dxa"/>
        </w:tcPr>
        <w:p w14:paraId="4004C33E" w14:textId="4BB79F20" w:rsidR="00AE5DD0" w:rsidRPr="00BD47E4" w:rsidRDefault="004932C1" w:rsidP="00C26F2D">
          <w:pPr>
            <w:jc w:val="right"/>
            <w:rPr>
              <w:b/>
              <w:sz w:val="32"/>
              <w:szCs w:val="32"/>
            </w:rPr>
          </w:pPr>
          <w:r>
            <w:rPr>
              <w:b/>
              <w:sz w:val="32"/>
              <w:szCs w:val="32"/>
            </w:rPr>
            <w:t>WP</w:t>
          </w:r>
        </w:p>
      </w:tc>
      <w:tc>
        <w:tcPr>
          <w:tcW w:w="1332" w:type="dxa"/>
        </w:tcPr>
        <w:p w14:paraId="11C30242" w14:textId="3892E76D" w:rsidR="00AE5DD0" w:rsidRPr="00BD47E4" w:rsidRDefault="004932C1" w:rsidP="00080F4C">
          <w:pPr>
            <w:rPr>
              <w:b/>
              <w:sz w:val="32"/>
              <w:szCs w:val="32"/>
            </w:rPr>
          </w:pPr>
          <w:r>
            <w:rPr>
              <w:b/>
              <w:sz w:val="32"/>
              <w:szCs w:val="32"/>
            </w:rPr>
            <w:t>13</w:t>
          </w:r>
        </w:p>
      </w:tc>
    </w:tr>
  </w:tbl>
  <w:p w14:paraId="38309FD6" w14:textId="77777777" w:rsidR="00AE5DD0" w:rsidRDefault="004932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DBE1C5E">
      <w:start w:val="1"/>
      <w:numFmt w:val="bullet"/>
      <w:pStyle w:val="ATSBullet1"/>
      <w:lvlText w:val=""/>
      <w:lvlJc w:val="left"/>
      <w:pPr>
        <w:tabs>
          <w:tab w:val="num" w:pos="360"/>
        </w:tabs>
        <w:ind w:left="360" w:hanging="360"/>
      </w:pPr>
      <w:rPr>
        <w:rFonts w:ascii="Symbol" w:hAnsi="Symbol" w:hint="default"/>
        <w:color w:val="auto"/>
      </w:rPr>
    </w:lvl>
    <w:lvl w:ilvl="1" w:tplc="B1D84DBC" w:tentative="1">
      <w:start w:val="1"/>
      <w:numFmt w:val="bullet"/>
      <w:lvlText w:val="o"/>
      <w:lvlJc w:val="left"/>
      <w:pPr>
        <w:tabs>
          <w:tab w:val="num" w:pos="1440"/>
        </w:tabs>
        <w:ind w:left="1440" w:hanging="360"/>
      </w:pPr>
      <w:rPr>
        <w:rFonts w:ascii="Courier New" w:hAnsi="Courier New" w:cs="Courier New" w:hint="default"/>
      </w:rPr>
    </w:lvl>
    <w:lvl w:ilvl="2" w:tplc="B30418A8" w:tentative="1">
      <w:start w:val="1"/>
      <w:numFmt w:val="bullet"/>
      <w:lvlText w:val=""/>
      <w:lvlJc w:val="left"/>
      <w:pPr>
        <w:tabs>
          <w:tab w:val="num" w:pos="2160"/>
        </w:tabs>
        <w:ind w:left="2160" w:hanging="360"/>
      </w:pPr>
      <w:rPr>
        <w:rFonts w:ascii="Wingdings" w:hAnsi="Wingdings" w:hint="default"/>
      </w:rPr>
    </w:lvl>
    <w:lvl w:ilvl="3" w:tplc="5B729F26" w:tentative="1">
      <w:start w:val="1"/>
      <w:numFmt w:val="bullet"/>
      <w:lvlText w:val=""/>
      <w:lvlJc w:val="left"/>
      <w:pPr>
        <w:tabs>
          <w:tab w:val="num" w:pos="2880"/>
        </w:tabs>
        <w:ind w:left="2880" w:hanging="360"/>
      </w:pPr>
      <w:rPr>
        <w:rFonts w:ascii="Symbol" w:hAnsi="Symbol" w:hint="default"/>
      </w:rPr>
    </w:lvl>
    <w:lvl w:ilvl="4" w:tplc="051446D8" w:tentative="1">
      <w:start w:val="1"/>
      <w:numFmt w:val="bullet"/>
      <w:lvlText w:val="o"/>
      <w:lvlJc w:val="left"/>
      <w:pPr>
        <w:tabs>
          <w:tab w:val="num" w:pos="3600"/>
        </w:tabs>
        <w:ind w:left="3600" w:hanging="360"/>
      </w:pPr>
      <w:rPr>
        <w:rFonts w:ascii="Courier New" w:hAnsi="Courier New" w:cs="Courier New" w:hint="default"/>
      </w:rPr>
    </w:lvl>
    <w:lvl w:ilvl="5" w:tplc="4D52D268" w:tentative="1">
      <w:start w:val="1"/>
      <w:numFmt w:val="bullet"/>
      <w:lvlText w:val=""/>
      <w:lvlJc w:val="left"/>
      <w:pPr>
        <w:tabs>
          <w:tab w:val="num" w:pos="4320"/>
        </w:tabs>
        <w:ind w:left="4320" w:hanging="360"/>
      </w:pPr>
      <w:rPr>
        <w:rFonts w:ascii="Wingdings" w:hAnsi="Wingdings" w:hint="default"/>
      </w:rPr>
    </w:lvl>
    <w:lvl w:ilvl="6" w:tplc="7EA879CC" w:tentative="1">
      <w:start w:val="1"/>
      <w:numFmt w:val="bullet"/>
      <w:lvlText w:val=""/>
      <w:lvlJc w:val="left"/>
      <w:pPr>
        <w:tabs>
          <w:tab w:val="num" w:pos="5040"/>
        </w:tabs>
        <w:ind w:left="5040" w:hanging="360"/>
      </w:pPr>
      <w:rPr>
        <w:rFonts w:ascii="Symbol" w:hAnsi="Symbol" w:hint="default"/>
      </w:rPr>
    </w:lvl>
    <w:lvl w:ilvl="7" w:tplc="24C86002" w:tentative="1">
      <w:start w:val="1"/>
      <w:numFmt w:val="bullet"/>
      <w:lvlText w:val="o"/>
      <w:lvlJc w:val="left"/>
      <w:pPr>
        <w:tabs>
          <w:tab w:val="num" w:pos="5760"/>
        </w:tabs>
        <w:ind w:left="5760" w:hanging="360"/>
      </w:pPr>
      <w:rPr>
        <w:rFonts w:ascii="Courier New" w:hAnsi="Courier New" w:cs="Courier New" w:hint="default"/>
      </w:rPr>
    </w:lvl>
    <w:lvl w:ilvl="8" w:tplc="B4221E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3A434B2">
      <w:start w:val="1"/>
      <w:numFmt w:val="decimal"/>
      <w:lvlText w:val="%1)"/>
      <w:lvlJc w:val="left"/>
      <w:pPr>
        <w:tabs>
          <w:tab w:val="num" w:pos="340"/>
        </w:tabs>
        <w:ind w:left="340" w:hanging="340"/>
      </w:pPr>
      <w:rPr>
        <w:rFonts w:hint="default"/>
      </w:rPr>
    </w:lvl>
    <w:lvl w:ilvl="1" w:tplc="08FC2914" w:tentative="1">
      <w:start w:val="1"/>
      <w:numFmt w:val="lowerLetter"/>
      <w:lvlText w:val="%2."/>
      <w:lvlJc w:val="left"/>
      <w:pPr>
        <w:tabs>
          <w:tab w:val="num" w:pos="1440"/>
        </w:tabs>
        <w:ind w:left="1440" w:hanging="360"/>
      </w:pPr>
    </w:lvl>
    <w:lvl w:ilvl="2" w:tplc="6E5891A8" w:tentative="1">
      <w:start w:val="1"/>
      <w:numFmt w:val="lowerRoman"/>
      <w:lvlText w:val="%3."/>
      <w:lvlJc w:val="right"/>
      <w:pPr>
        <w:tabs>
          <w:tab w:val="num" w:pos="2160"/>
        </w:tabs>
        <w:ind w:left="2160" w:hanging="180"/>
      </w:pPr>
    </w:lvl>
    <w:lvl w:ilvl="3" w:tplc="615A2442" w:tentative="1">
      <w:start w:val="1"/>
      <w:numFmt w:val="decimal"/>
      <w:lvlText w:val="%4."/>
      <w:lvlJc w:val="left"/>
      <w:pPr>
        <w:tabs>
          <w:tab w:val="num" w:pos="2880"/>
        </w:tabs>
        <w:ind w:left="2880" w:hanging="360"/>
      </w:pPr>
    </w:lvl>
    <w:lvl w:ilvl="4" w:tplc="8342F534" w:tentative="1">
      <w:start w:val="1"/>
      <w:numFmt w:val="lowerLetter"/>
      <w:lvlText w:val="%5."/>
      <w:lvlJc w:val="left"/>
      <w:pPr>
        <w:tabs>
          <w:tab w:val="num" w:pos="3600"/>
        </w:tabs>
        <w:ind w:left="3600" w:hanging="360"/>
      </w:pPr>
    </w:lvl>
    <w:lvl w:ilvl="5" w:tplc="6F928E18" w:tentative="1">
      <w:start w:val="1"/>
      <w:numFmt w:val="lowerRoman"/>
      <w:lvlText w:val="%6."/>
      <w:lvlJc w:val="right"/>
      <w:pPr>
        <w:tabs>
          <w:tab w:val="num" w:pos="4320"/>
        </w:tabs>
        <w:ind w:left="4320" w:hanging="180"/>
      </w:pPr>
    </w:lvl>
    <w:lvl w:ilvl="6" w:tplc="9454DE60" w:tentative="1">
      <w:start w:val="1"/>
      <w:numFmt w:val="decimal"/>
      <w:lvlText w:val="%7."/>
      <w:lvlJc w:val="left"/>
      <w:pPr>
        <w:tabs>
          <w:tab w:val="num" w:pos="5040"/>
        </w:tabs>
        <w:ind w:left="5040" w:hanging="360"/>
      </w:pPr>
    </w:lvl>
    <w:lvl w:ilvl="7" w:tplc="9BE2AB6C" w:tentative="1">
      <w:start w:val="1"/>
      <w:numFmt w:val="lowerLetter"/>
      <w:lvlText w:val="%8."/>
      <w:lvlJc w:val="left"/>
      <w:pPr>
        <w:tabs>
          <w:tab w:val="num" w:pos="5760"/>
        </w:tabs>
        <w:ind w:left="5760" w:hanging="360"/>
      </w:pPr>
    </w:lvl>
    <w:lvl w:ilvl="8" w:tplc="EA20617E" w:tentative="1">
      <w:start w:val="1"/>
      <w:numFmt w:val="lowerRoman"/>
      <w:lvlText w:val="%9."/>
      <w:lvlJc w:val="right"/>
      <w:pPr>
        <w:tabs>
          <w:tab w:val="num" w:pos="6480"/>
        </w:tabs>
        <w:ind w:left="6480" w:hanging="180"/>
      </w:pPr>
    </w:lvl>
  </w:abstractNum>
  <w:abstractNum w:abstractNumId="13" w15:restartNumberingAfterBreak="0">
    <w:nsid w:val="59B06F53"/>
    <w:multiLevelType w:val="hybridMultilevel"/>
    <w:tmpl w:val="40B00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D9A07D12">
      <w:start w:val="1"/>
      <w:numFmt w:val="decimal"/>
      <w:lvlText w:val="%1."/>
      <w:lvlJc w:val="left"/>
      <w:pPr>
        <w:tabs>
          <w:tab w:val="num" w:pos="1057"/>
        </w:tabs>
        <w:ind w:left="1057" w:hanging="360"/>
      </w:pPr>
      <w:rPr>
        <w:rFonts w:hint="default"/>
      </w:rPr>
    </w:lvl>
    <w:lvl w:ilvl="1" w:tplc="985694D8" w:tentative="1">
      <w:start w:val="1"/>
      <w:numFmt w:val="lowerLetter"/>
      <w:lvlText w:val="%2."/>
      <w:lvlJc w:val="left"/>
      <w:pPr>
        <w:tabs>
          <w:tab w:val="num" w:pos="2137"/>
        </w:tabs>
        <w:ind w:left="2137" w:hanging="360"/>
      </w:pPr>
    </w:lvl>
    <w:lvl w:ilvl="2" w:tplc="AA18F4E0" w:tentative="1">
      <w:start w:val="1"/>
      <w:numFmt w:val="lowerRoman"/>
      <w:lvlText w:val="%3."/>
      <w:lvlJc w:val="right"/>
      <w:pPr>
        <w:tabs>
          <w:tab w:val="num" w:pos="2857"/>
        </w:tabs>
        <w:ind w:left="2857" w:hanging="180"/>
      </w:pPr>
    </w:lvl>
    <w:lvl w:ilvl="3" w:tplc="F976CAE0" w:tentative="1">
      <w:start w:val="1"/>
      <w:numFmt w:val="decimal"/>
      <w:lvlText w:val="%4."/>
      <w:lvlJc w:val="left"/>
      <w:pPr>
        <w:tabs>
          <w:tab w:val="num" w:pos="3577"/>
        </w:tabs>
        <w:ind w:left="3577" w:hanging="360"/>
      </w:pPr>
    </w:lvl>
    <w:lvl w:ilvl="4" w:tplc="697C1D54" w:tentative="1">
      <w:start w:val="1"/>
      <w:numFmt w:val="lowerLetter"/>
      <w:lvlText w:val="%5."/>
      <w:lvlJc w:val="left"/>
      <w:pPr>
        <w:tabs>
          <w:tab w:val="num" w:pos="4297"/>
        </w:tabs>
        <w:ind w:left="4297" w:hanging="360"/>
      </w:pPr>
    </w:lvl>
    <w:lvl w:ilvl="5" w:tplc="7D441600" w:tentative="1">
      <w:start w:val="1"/>
      <w:numFmt w:val="lowerRoman"/>
      <w:lvlText w:val="%6."/>
      <w:lvlJc w:val="right"/>
      <w:pPr>
        <w:tabs>
          <w:tab w:val="num" w:pos="5017"/>
        </w:tabs>
        <w:ind w:left="5017" w:hanging="180"/>
      </w:pPr>
    </w:lvl>
    <w:lvl w:ilvl="6" w:tplc="4F8661BE" w:tentative="1">
      <w:start w:val="1"/>
      <w:numFmt w:val="decimal"/>
      <w:lvlText w:val="%7."/>
      <w:lvlJc w:val="left"/>
      <w:pPr>
        <w:tabs>
          <w:tab w:val="num" w:pos="5737"/>
        </w:tabs>
        <w:ind w:left="5737" w:hanging="360"/>
      </w:pPr>
    </w:lvl>
    <w:lvl w:ilvl="7" w:tplc="1BBC5C1C" w:tentative="1">
      <w:start w:val="1"/>
      <w:numFmt w:val="lowerLetter"/>
      <w:lvlText w:val="%8."/>
      <w:lvlJc w:val="left"/>
      <w:pPr>
        <w:tabs>
          <w:tab w:val="num" w:pos="6457"/>
        </w:tabs>
        <w:ind w:left="6457" w:hanging="360"/>
      </w:pPr>
    </w:lvl>
    <w:lvl w:ilvl="8" w:tplc="08F277FE"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0006B8E">
      <w:start w:val="1"/>
      <w:numFmt w:val="decimal"/>
      <w:pStyle w:val="ATSNumber1"/>
      <w:lvlText w:val="%1)"/>
      <w:lvlJc w:val="left"/>
      <w:pPr>
        <w:tabs>
          <w:tab w:val="num" w:pos="720"/>
        </w:tabs>
        <w:ind w:left="720" w:hanging="360"/>
      </w:pPr>
    </w:lvl>
    <w:lvl w:ilvl="1" w:tplc="B3B47734" w:tentative="1">
      <w:start w:val="1"/>
      <w:numFmt w:val="lowerLetter"/>
      <w:lvlText w:val="%2."/>
      <w:lvlJc w:val="left"/>
      <w:pPr>
        <w:tabs>
          <w:tab w:val="num" w:pos="1440"/>
        </w:tabs>
        <w:ind w:left="1440" w:hanging="360"/>
      </w:pPr>
    </w:lvl>
    <w:lvl w:ilvl="2" w:tplc="9D844A2A" w:tentative="1">
      <w:start w:val="1"/>
      <w:numFmt w:val="lowerRoman"/>
      <w:lvlText w:val="%3."/>
      <w:lvlJc w:val="right"/>
      <w:pPr>
        <w:tabs>
          <w:tab w:val="num" w:pos="2160"/>
        </w:tabs>
        <w:ind w:left="2160" w:hanging="180"/>
      </w:pPr>
    </w:lvl>
    <w:lvl w:ilvl="3" w:tplc="89FE5D62" w:tentative="1">
      <w:start w:val="1"/>
      <w:numFmt w:val="decimal"/>
      <w:lvlText w:val="%4."/>
      <w:lvlJc w:val="left"/>
      <w:pPr>
        <w:tabs>
          <w:tab w:val="num" w:pos="2880"/>
        </w:tabs>
        <w:ind w:left="2880" w:hanging="360"/>
      </w:pPr>
    </w:lvl>
    <w:lvl w:ilvl="4" w:tplc="D2D84A1E" w:tentative="1">
      <w:start w:val="1"/>
      <w:numFmt w:val="lowerLetter"/>
      <w:lvlText w:val="%5."/>
      <w:lvlJc w:val="left"/>
      <w:pPr>
        <w:tabs>
          <w:tab w:val="num" w:pos="3600"/>
        </w:tabs>
        <w:ind w:left="3600" w:hanging="360"/>
      </w:pPr>
    </w:lvl>
    <w:lvl w:ilvl="5" w:tplc="F60E23F0" w:tentative="1">
      <w:start w:val="1"/>
      <w:numFmt w:val="lowerRoman"/>
      <w:lvlText w:val="%6."/>
      <w:lvlJc w:val="right"/>
      <w:pPr>
        <w:tabs>
          <w:tab w:val="num" w:pos="4320"/>
        </w:tabs>
        <w:ind w:left="4320" w:hanging="180"/>
      </w:pPr>
    </w:lvl>
    <w:lvl w:ilvl="6" w:tplc="31806154" w:tentative="1">
      <w:start w:val="1"/>
      <w:numFmt w:val="decimal"/>
      <w:lvlText w:val="%7."/>
      <w:lvlJc w:val="left"/>
      <w:pPr>
        <w:tabs>
          <w:tab w:val="num" w:pos="5040"/>
        </w:tabs>
        <w:ind w:left="5040" w:hanging="360"/>
      </w:pPr>
    </w:lvl>
    <w:lvl w:ilvl="7" w:tplc="3216BD20" w:tentative="1">
      <w:start w:val="1"/>
      <w:numFmt w:val="lowerLetter"/>
      <w:lvlText w:val="%8."/>
      <w:lvlJc w:val="left"/>
      <w:pPr>
        <w:tabs>
          <w:tab w:val="num" w:pos="5760"/>
        </w:tabs>
        <w:ind w:left="5760" w:hanging="360"/>
      </w:pPr>
    </w:lvl>
    <w:lvl w:ilvl="8" w:tplc="104A6C4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5A82C7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9B0872A" w:tentative="1">
      <w:start w:val="1"/>
      <w:numFmt w:val="bullet"/>
      <w:lvlText w:val="o"/>
      <w:lvlJc w:val="left"/>
      <w:pPr>
        <w:tabs>
          <w:tab w:val="num" w:pos="2517"/>
        </w:tabs>
        <w:ind w:left="2517" w:hanging="360"/>
      </w:pPr>
      <w:rPr>
        <w:rFonts w:ascii="Courier New" w:hAnsi="Courier New" w:cs="Courier New" w:hint="default"/>
      </w:rPr>
    </w:lvl>
    <w:lvl w:ilvl="2" w:tplc="F592656C" w:tentative="1">
      <w:start w:val="1"/>
      <w:numFmt w:val="bullet"/>
      <w:lvlText w:val=""/>
      <w:lvlJc w:val="left"/>
      <w:pPr>
        <w:tabs>
          <w:tab w:val="num" w:pos="3237"/>
        </w:tabs>
        <w:ind w:left="3237" w:hanging="360"/>
      </w:pPr>
      <w:rPr>
        <w:rFonts w:ascii="Wingdings" w:hAnsi="Wingdings" w:hint="default"/>
      </w:rPr>
    </w:lvl>
    <w:lvl w:ilvl="3" w:tplc="8162FEE4" w:tentative="1">
      <w:start w:val="1"/>
      <w:numFmt w:val="bullet"/>
      <w:lvlText w:val=""/>
      <w:lvlJc w:val="left"/>
      <w:pPr>
        <w:tabs>
          <w:tab w:val="num" w:pos="3957"/>
        </w:tabs>
        <w:ind w:left="3957" w:hanging="360"/>
      </w:pPr>
      <w:rPr>
        <w:rFonts w:ascii="Symbol" w:hAnsi="Symbol" w:hint="default"/>
      </w:rPr>
    </w:lvl>
    <w:lvl w:ilvl="4" w:tplc="272042AC" w:tentative="1">
      <w:start w:val="1"/>
      <w:numFmt w:val="bullet"/>
      <w:lvlText w:val="o"/>
      <w:lvlJc w:val="left"/>
      <w:pPr>
        <w:tabs>
          <w:tab w:val="num" w:pos="4677"/>
        </w:tabs>
        <w:ind w:left="4677" w:hanging="360"/>
      </w:pPr>
      <w:rPr>
        <w:rFonts w:ascii="Courier New" w:hAnsi="Courier New" w:cs="Courier New" w:hint="default"/>
      </w:rPr>
    </w:lvl>
    <w:lvl w:ilvl="5" w:tplc="443E719E" w:tentative="1">
      <w:start w:val="1"/>
      <w:numFmt w:val="bullet"/>
      <w:lvlText w:val=""/>
      <w:lvlJc w:val="left"/>
      <w:pPr>
        <w:tabs>
          <w:tab w:val="num" w:pos="5397"/>
        </w:tabs>
        <w:ind w:left="5397" w:hanging="360"/>
      </w:pPr>
      <w:rPr>
        <w:rFonts w:ascii="Wingdings" w:hAnsi="Wingdings" w:hint="default"/>
      </w:rPr>
    </w:lvl>
    <w:lvl w:ilvl="6" w:tplc="27EA9A10" w:tentative="1">
      <w:start w:val="1"/>
      <w:numFmt w:val="bullet"/>
      <w:lvlText w:val=""/>
      <w:lvlJc w:val="left"/>
      <w:pPr>
        <w:tabs>
          <w:tab w:val="num" w:pos="6117"/>
        </w:tabs>
        <w:ind w:left="6117" w:hanging="360"/>
      </w:pPr>
      <w:rPr>
        <w:rFonts w:ascii="Symbol" w:hAnsi="Symbol" w:hint="default"/>
      </w:rPr>
    </w:lvl>
    <w:lvl w:ilvl="7" w:tplc="CF72D6A0" w:tentative="1">
      <w:start w:val="1"/>
      <w:numFmt w:val="bullet"/>
      <w:lvlText w:val="o"/>
      <w:lvlJc w:val="left"/>
      <w:pPr>
        <w:tabs>
          <w:tab w:val="num" w:pos="6837"/>
        </w:tabs>
        <w:ind w:left="6837" w:hanging="360"/>
      </w:pPr>
      <w:rPr>
        <w:rFonts w:ascii="Courier New" w:hAnsi="Courier New" w:cs="Courier New" w:hint="default"/>
      </w:rPr>
    </w:lvl>
    <w:lvl w:ilvl="8" w:tplc="5654570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23A7278">
      <w:start w:val="1"/>
      <w:numFmt w:val="decimal"/>
      <w:pStyle w:val="ATSNumber2"/>
      <w:lvlText w:val="%1."/>
      <w:lvlJc w:val="left"/>
      <w:pPr>
        <w:tabs>
          <w:tab w:val="num" w:pos="720"/>
        </w:tabs>
        <w:ind w:left="720" w:hanging="360"/>
      </w:pPr>
      <w:rPr>
        <w:rFonts w:hint="default"/>
      </w:rPr>
    </w:lvl>
    <w:lvl w:ilvl="1" w:tplc="FAB6AF80" w:tentative="1">
      <w:start w:val="1"/>
      <w:numFmt w:val="lowerLetter"/>
      <w:lvlText w:val="%2."/>
      <w:lvlJc w:val="left"/>
      <w:pPr>
        <w:tabs>
          <w:tab w:val="num" w:pos="1440"/>
        </w:tabs>
        <w:ind w:left="1440" w:hanging="360"/>
      </w:pPr>
    </w:lvl>
    <w:lvl w:ilvl="2" w:tplc="43E2BC04" w:tentative="1">
      <w:start w:val="1"/>
      <w:numFmt w:val="lowerRoman"/>
      <w:lvlText w:val="%3."/>
      <w:lvlJc w:val="right"/>
      <w:pPr>
        <w:tabs>
          <w:tab w:val="num" w:pos="2160"/>
        </w:tabs>
        <w:ind w:left="2160" w:hanging="180"/>
      </w:pPr>
    </w:lvl>
    <w:lvl w:ilvl="3" w:tplc="62A498DA" w:tentative="1">
      <w:start w:val="1"/>
      <w:numFmt w:val="decimal"/>
      <w:lvlText w:val="%4."/>
      <w:lvlJc w:val="left"/>
      <w:pPr>
        <w:tabs>
          <w:tab w:val="num" w:pos="2880"/>
        </w:tabs>
        <w:ind w:left="2880" w:hanging="360"/>
      </w:pPr>
    </w:lvl>
    <w:lvl w:ilvl="4" w:tplc="6C8EF282" w:tentative="1">
      <w:start w:val="1"/>
      <w:numFmt w:val="lowerLetter"/>
      <w:lvlText w:val="%5."/>
      <w:lvlJc w:val="left"/>
      <w:pPr>
        <w:tabs>
          <w:tab w:val="num" w:pos="3600"/>
        </w:tabs>
        <w:ind w:left="3600" w:hanging="360"/>
      </w:pPr>
    </w:lvl>
    <w:lvl w:ilvl="5" w:tplc="1A1AB1C2" w:tentative="1">
      <w:start w:val="1"/>
      <w:numFmt w:val="lowerRoman"/>
      <w:lvlText w:val="%6."/>
      <w:lvlJc w:val="right"/>
      <w:pPr>
        <w:tabs>
          <w:tab w:val="num" w:pos="4320"/>
        </w:tabs>
        <w:ind w:left="4320" w:hanging="180"/>
      </w:pPr>
    </w:lvl>
    <w:lvl w:ilvl="6" w:tplc="E7DA2E02" w:tentative="1">
      <w:start w:val="1"/>
      <w:numFmt w:val="decimal"/>
      <w:lvlText w:val="%7."/>
      <w:lvlJc w:val="left"/>
      <w:pPr>
        <w:tabs>
          <w:tab w:val="num" w:pos="5040"/>
        </w:tabs>
        <w:ind w:left="5040" w:hanging="360"/>
      </w:pPr>
    </w:lvl>
    <w:lvl w:ilvl="7" w:tplc="8BEA1092" w:tentative="1">
      <w:start w:val="1"/>
      <w:numFmt w:val="lowerLetter"/>
      <w:lvlText w:val="%8."/>
      <w:lvlJc w:val="left"/>
      <w:pPr>
        <w:tabs>
          <w:tab w:val="num" w:pos="5760"/>
        </w:tabs>
        <w:ind w:left="5760" w:hanging="360"/>
      </w:pPr>
    </w:lvl>
    <w:lvl w:ilvl="8" w:tplc="1EF60E3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9C"/>
    <w:rsid w:val="004932C1"/>
    <w:rsid w:val="00F301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046FE"/>
  <w15:chartTrackingRefBased/>
  <w15:docId w15:val="{ED04BF25-7C4E-4860-8293-D77BBF62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4932C1"/>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709</Words>
  <Characters>4055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2021-04-28T12:53:00Z</dcterms:modified>
</cp:coreProperties>
</file>