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18C5" w14:textId="77777777" w:rsidR="00C26F2D" w:rsidRPr="00BF077B" w:rsidRDefault="005A0E09" w:rsidP="00BF077B">
      <w:pPr>
        <w:pStyle w:val="ATSNormal"/>
        <w:rPr>
          <w:rStyle w:val="Ttulodellibro"/>
        </w:rPr>
      </w:pPr>
    </w:p>
    <w:p w14:paraId="5B5FF769" w14:textId="77777777" w:rsidR="002F0A13" w:rsidRDefault="005A0E09" w:rsidP="004B4A60">
      <w:pPr>
        <w:rPr>
          <w:b/>
          <w:u w:val="single"/>
          <w:lang w:val="es-ES_tradnl"/>
        </w:rPr>
      </w:pPr>
    </w:p>
    <w:p w14:paraId="0BA359AE" w14:textId="77777777" w:rsidR="002F0A13" w:rsidRDefault="005A0E09" w:rsidP="004B4A60">
      <w:pPr>
        <w:rPr>
          <w:b/>
          <w:u w:val="single"/>
          <w:lang w:val="es-ES_tradnl"/>
        </w:rPr>
      </w:pPr>
    </w:p>
    <w:p w14:paraId="14B41638" w14:textId="77777777" w:rsidR="002F0A13" w:rsidRDefault="005A0E09" w:rsidP="004B4A60">
      <w:pPr>
        <w:rPr>
          <w:b/>
          <w:u w:val="single"/>
          <w:lang w:val="es-ES_tradnl"/>
        </w:rPr>
      </w:pPr>
    </w:p>
    <w:p w14:paraId="5BC52A0C" w14:textId="77777777" w:rsidR="002F0A13" w:rsidRDefault="005A0E09" w:rsidP="004B4A60">
      <w:pPr>
        <w:rPr>
          <w:b/>
          <w:u w:val="single"/>
          <w:lang w:val="es-ES_tradnl"/>
        </w:rPr>
      </w:pPr>
    </w:p>
    <w:p w14:paraId="35EB080B" w14:textId="77777777" w:rsidR="00C26F2D" w:rsidRDefault="005A0E09" w:rsidP="004B4A60">
      <w:pPr>
        <w:rPr>
          <w:b/>
          <w:u w:val="single"/>
          <w:lang w:val="es-ES_tradnl"/>
        </w:rPr>
      </w:pPr>
    </w:p>
    <w:p w14:paraId="14A0673D" w14:textId="77777777" w:rsidR="004B4A60" w:rsidRPr="0057246E" w:rsidRDefault="005A0E09" w:rsidP="001B789F">
      <w:pPr>
        <w:pStyle w:val="ATSTitle"/>
      </w:pPr>
      <w:bookmarkStart w:id="0" w:name="name"/>
      <w:r>
        <w:t>Report on informal discussions on marine protection measures</w:t>
      </w:r>
      <w:bookmarkEnd w:id="0"/>
    </w:p>
    <w:p w14:paraId="68A54F72" w14:textId="77777777" w:rsidR="004B4A60" w:rsidRPr="0057246E" w:rsidRDefault="005A0E09" w:rsidP="00F75424">
      <w:pPr>
        <w:jc w:val="center"/>
      </w:pPr>
    </w:p>
    <w:p w14:paraId="28E5C2C6" w14:textId="77777777" w:rsidR="004B4A60" w:rsidRPr="002F0A13" w:rsidRDefault="005A0E09" w:rsidP="002F0A13"/>
    <w:p w14:paraId="116DF129" w14:textId="77777777" w:rsidR="004B4A60" w:rsidRDefault="005A0E09" w:rsidP="00F75424">
      <w:pPr>
        <w:jc w:val="center"/>
      </w:pPr>
      <w:bookmarkStart w:id="1" w:name="memo"/>
      <w:bookmarkEnd w:id="1"/>
    </w:p>
    <w:p w14:paraId="41C97375" w14:textId="77777777" w:rsidR="0097629D" w:rsidRDefault="005A0E09" w:rsidP="00F75424">
      <w:pPr>
        <w:jc w:val="center"/>
      </w:pPr>
    </w:p>
    <w:p w14:paraId="685F26DE" w14:textId="77777777" w:rsidR="0097629D" w:rsidRDefault="005A0E09" w:rsidP="00F75424">
      <w:pPr>
        <w:jc w:val="center"/>
      </w:pPr>
    </w:p>
    <w:p w14:paraId="25630AE9" w14:textId="77777777" w:rsidR="0097629D" w:rsidRDefault="005A0E09" w:rsidP="00F75424">
      <w:pPr>
        <w:jc w:val="center"/>
      </w:pPr>
    </w:p>
    <w:p w14:paraId="63A65493" w14:textId="77777777" w:rsidR="0097629D" w:rsidRPr="00C26F2D" w:rsidRDefault="005A0E09" w:rsidP="00F75424">
      <w:pPr>
        <w:jc w:val="center"/>
      </w:pPr>
    </w:p>
    <w:p w14:paraId="7F0773A0" w14:textId="77777777" w:rsidR="004B4A60" w:rsidRPr="0057246E" w:rsidRDefault="005A0E09" w:rsidP="004B4A60"/>
    <w:p w14:paraId="5BEBB45D" w14:textId="77777777" w:rsidR="00C26F2D" w:rsidRDefault="005A0E0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34E70CB" w14:textId="77777777" w:rsidR="005A0E09" w:rsidRDefault="005A0E09" w:rsidP="005A0E09">
      <w:pPr>
        <w:pStyle w:val="ATSHeading1"/>
      </w:pPr>
      <w:r>
        <w:lastRenderedPageBreak/>
        <w:t>Report on informal discussions on marine protection measures</w:t>
      </w:r>
    </w:p>
    <w:p w14:paraId="4349D631" w14:textId="77777777" w:rsidR="005A0E09" w:rsidRDefault="005A0E09" w:rsidP="005A0E09">
      <w:pPr>
        <w:pStyle w:val="ATSNormal"/>
        <w:jc w:val="center"/>
        <w:rPr>
          <w:b/>
          <w:lang w:val="en-AU"/>
        </w:rPr>
      </w:pPr>
      <w:r>
        <w:rPr>
          <w:b/>
          <w:lang w:val="en-AU"/>
        </w:rPr>
        <w:t xml:space="preserve">Working Paper submitted by New Zealand </w:t>
      </w:r>
    </w:p>
    <w:p w14:paraId="02AAE35B" w14:textId="77777777" w:rsidR="005A0E09" w:rsidRPr="009C6883" w:rsidRDefault="005A0E09" w:rsidP="005A0E09">
      <w:pPr>
        <w:pStyle w:val="ATSHeading2"/>
        <w:rPr>
          <w:lang w:val="en-AU"/>
        </w:rPr>
      </w:pPr>
      <w:r w:rsidRPr="009C6883">
        <w:rPr>
          <w:lang w:val="en-AU"/>
        </w:rPr>
        <w:t>Summary</w:t>
      </w:r>
    </w:p>
    <w:p w14:paraId="70E0CD75" w14:textId="77777777" w:rsidR="005A0E09" w:rsidRDefault="005A0E09" w:rsidP="005A0E09">
      <w:pPr>
        <w:jc w:val="both"/>
      </w:pPr>
      <w:r w:rsidRPr="005C766C">
        <w:t>This paper reports on informal discussions among interested Members to</w:t>
      </w:r>
      <w:r>
        <w:t xml:space="preserve"> </w:t>
      </w:r>
      <w:r w:rsidRPr="00B86538">
        <w:rPr>
          <w:szCs w:val="22"/>
        </w:rPr>
        <w:t>respond to the request from the ATCM set out in Resolution 5 (2017)</w:t>
      </w:r>
      <w:r>
        <w:rPr>
          <w:szCs w:val="22"/>
        </w:rPr>
        <w:t>.</w:t>
      </w:r>
    </w:p>
    <w:p w14:paraId="7B36F292" w14:textId="77777777" w:rsidR="005A0E09" w:rsidRDefault="005A0E09" w:rsidP="005A0E09">
      <w:pPr>
        <w:pStyle w:val="ATSHeading2"/>
        <w:rPr>
          <w:lang w:val="en-AU"/>
        </w:rPr>
      </w:pPr>
      <w:r>
        <w:rPr>
          <w:lang w:val="en-AU"/>
        </w:rPr>
        <w:t>Background</w:t>
      </w:r>
    </w:p>
    <w:p w14:paraId="0604BF8E" w14:textId="77777777" w:rsidR="005A0E09" w:rsidRPr="00000722" w:rsidRDefault="005A0E09" w:rsidP="005A0E09">
      <w:pPr>
        <w:jc w:val="both"/>
        <w:rPr>
          <w:szCs w:val="22"/>
        </w:rPr>
      </w:pPr>
      <w:r w:rsidRPr="00000722">
        <w:rPr>
          <w:szCs w:val="22"/>
        </w:rPr>
        <w:t xml:space="preserve">At ATCM XL (2017), the Parties agreed </w:t>
      </w:r>
      <w:hyperlink r:id="rId11" w:history="1">
        <w:r w:rsidRPr="00000722">
          <w:rPr>
            <w:szCs w:val="22"/>
          </w:rPr>
          <w:t>Resolution 5 (2017)</w:t>
        </w:r>
      </w:hyperlink>
      <w:r w:rsidRPr="00000722">
        <w:rPr>
          <w:szCs w:val="22"/>
        </w:rPr>
        <w:t xml:space="preserve"> which welcomed the establishment of the Ross Sea Region Marine Protected Area (RSRMPA) and invited the CEP to: </w:t>
      </w:r>
    </w:p>
    <w:p w14:paraId="7F356F71" w14:textId="77777777" w:rsidR="005A0E09" w:rsidRPr="00000722" w:rsidRDefault="005A0E09" w:rsidP="005A0E09">
      <w:pPr>
        <w:jc w:val="both"/>
        <w:rPr>
          <w:szCs w:val="22"/>
        </w:rPr>
      </w:pPr>
    </w:p>
    <w:p w14:paraId="40013F7B" w14:textId="77777777" w:rsidR="005A0E09" w:rsidRPr="00000722" w:rsidRDefault="005A0E09" w:rsidP="005A0E09">
      <w:pPr>
        <w:pStyle w:val="Prrafodelista"/>
        <w:numPr>
          <w:ilvl w:val="0"/>
          <w:numId w:val="28"/>
        </w:numPr>
        <w:jc w:val="both"/>
        <w:rPr>
          <w:szCs w:val="22"/>
        </w:rPr>
      </w:pPr>
      <w:r w:rsidRPr="00000722">
        <w:rPr>
          <w:szCs w:val="22"/>
        </w:rPr>
        <w:t xml:space="preserve">consider any appropriate actions within the Antarctic Treaty Consultative Meeting’s competence to contribute to the achievement of the specific objectives set forth in CCAMLR Conservation Measure 91-05, particularly in the designation and implementation of Antarctic Specially Protected Areas and Antarctic Specially Managed Areas in the Ross Sea region and the management of relevant human activities; and </w:t>
      </w:r>
    </w:p>
    <w:p w14:paraId="0AED2E39" w14:textId="77777777" w:rsidR="005A0E09" w:rsidRPr="00000722" w:rsidRDefault="005A0E09" w:rsidP="005A0E09">
      <w:pPr>
        <w:jc w:val="both"/>
        <w:rPr>
          <w:szCs w:val="22"/>
        </w:rPr>
      </w:pPr>
    </w:p>
    <w:p w14:paraId="481300B2" w14:textId="77777777" w:rsidR="005A0E09" w:rsidRPr="00000722" w:rsidRDefault="005A0E09" w:rsidP="005A0E09">
      <w:pPr>
        <w:pStyle w:val="Prrafodelista"/>
        <w:numPr>
          <w:ilvl w:val="0"/>
          <w:numId w:val="28"/>
        </w:numPr>
        <w:jc w:val="both"/>
        <w:rPr>
          <w:szCs w:val="22"/>
        </w:rPr>
      </w:pPr>
      <w:r w:rsidRPr="00000722">
        <w:rPr>
          <w:szCs w:val="22"/>
        </w:rPr>
        <w:t>identify opportunities to conduct and support relevant research and monitoring activities that support the objectives and the forthcoming Research and Monitoring Plan of the RSRMPA, in particular through international collaborations.</w:t>
      </w:r>
    </w:p>
    <w:p w14:paraId="1C0E8B27" w14:textId="77777777" w:rsidR="005A0E09" w:rsidRPr="005C766C" w:rsidRDefault="005A0E09" w:rsidP="005A0E09">
      <w:pPr>
        <w:jc w:val="both"/>
        <w:rPr>
          <w:szCs w:val="22"/>
        </w:rPr>
      </w:pPr>
    </w:p>
    <w:p w14:paraId="74FD0C84" w14:textId="77777777" w:rsidR="005A0E09" w:rsidRPr="00A27B06" w:rsidRDefault="005A0E09" w:rsidP="005A0E09">
      <w:pPr>
        <w:jc w:val="both"/>
        <w:rPr>
          <w:i/>
          <w:szCs w:val="22"/>
        </w:rPr>
      </w:pPr>
      <w:r>
        <w:rPr>
          <w:szCs w:val="22"/>
        </w:rPr>
        <w:t xml:space="preserve">At </w:t>
      </w:r>
      <w:r w:rsidRPr="005C766C">
        <w:rPr>
          <w:szCs w:val="22"/>
        </w:rPr>
        <w:t>CEP</w:t>
      </w:r>
      <w:r>
        <w:rPr>
          <w:szCs w:val="22"/>
        </w:rPr>
        <w:t xml:space="preserve"> XX (2017) the Committee</w:t>
      </w:r>
      <w:r w:rsidRPr="005C766C">
        <w:rPr>
          <w:szCs w:val="22"/>
        </w:rPr>
        <w:t xml:space="preserve"> discussed the benefit of looking at the connectivity between ocean and land, and </w:t>
      </w:r>
      <w:r>
        <w:rPr>
          <w:szCs w:val="22"/>
        </w:rPr>
        <w:t xml:space="preserve">agreed to </w:t>
      </w:r>
      <w:r w:rsidRPr="005C766C">
        <w:rPr>
          <w:szCs w:val="22"/>
        </w:rPr>
        <w:t>consider</w:t>
      </w:r>
      <w:r>
        <w:rPr>
          <w:szCs w:val="22"/>
        </w:rPr>
        <w:t xml:space="preserve"> </w:t>
      </w:r>
      <w:r w:rsidRPr="005C766C">
        <w:rPr>
          <w:szCs w:val="22"/>
        </w:rPr>
        <w:t>if and how complementary measures within the framework of the Environmental Protocol, in particular Annex V, could support and strengthen marine protection initiatives. An action was added to the CEP Five-year Work Plan under the Priority 2 issue of marine spatial protection and management to “</w:t>
      </w:r>
      <w:r w:rsidRPr="00B22D3C">
        <w:rPr>
          <w:i/>
          <w:szCs w:val="22"/>
        </w:rPr>
        <w:t>consider connectivity between land and ocean, and complementary actions</w:t>
      </w:r>
      <w:r w:rsidRPr="005C766C">
        <w:rPr>
          <w:i/>
          <w:szCs w:val="22"/>
        </w:rPr>
        <w:t xml:space="preserve"> that could be taken by Parties with respect to MPAs.”</w:t>
      </w:r>
      <w:r>
        <w:rPr>
          <w:i/>
          <w:szCs w:val="22"/>
        </w:rPr>
        <w:t xml:space="preserve"> </w:t>
      </w:r>
    </w:p>
    <w:p w14:paraId="2AD60A62" w14:textId="77777777" w:rsidR="005A0E09" w:rsidRDefault="005A0E09" w:rsidP="005A0E09">
      <w:pPr>
        <w:spacing w:before="120" w:after="120"/>
        <w:jc w:val="both"/>
        <w:rPr>
          <w:szCs w:val="22"/>
        </w:rPr>
      </w:pPr>
      <w:r>
        <w:rPr>
          <w:szCs w:val="22"/>
        </w:rPr>
        <w:t>At</w:t>
      </w:r>
      <w:r w:rsidRPr="005C766C">
        <w:rPr>
          <w:szCs w:val="22"/>
        </w:rPr>
        <w:t xml:space="preserve"> CEP</w:t>
      </w:r>
      <w:r>
        <w:rPr>
          <w:szCs w:val="22"/>
        </w:rPr>
        <w:t xml:space="preserve"> XXI</w:t>
      </w:r>
      <w:r w:rsidRPr="005C766C">
        <w:rPr>
          <w:szCs w:val="22"/>
        </w:rPr>
        <w:t xml:space="preserve"> </w:t>
      </w:r>
      <w:r>
        <w:rPr>
          <w:szCs w:val="22"/>
        </w:rPr>
        <w:t>(2018), Belgium, Chile, France, Germany, the Netherlands, New Zealand and the United States submitted</w:t>
      </w:r>
      <w:r w:rsidRPr="005C766C">
        <w:rPr>
          <w:szCs w:val="22"/>
        </w:rPr>
        <w:t xml:space="preserve"> </w:t>
      </w:r>
      <w:hyperlink r:id="rId12" w:history="1">
        <w:r w:rsidRPr="00A27B06">
          <w:rPr>
            <w:rStyle w:val="Hipervnculo"/>
            <w:szCs w:val="22"/>
          </w:rPr>
          <w:t>WP 12 on Harmonisation of Marine Protection Initiatives across the Antarctic Treaty System</w:t>
        </w:r>
      </w:hyperlink>
      <w:r>
        <w:rPr>
          <w:szCs w:val="22"/>
        </w:rPr>
        <w:t xml:space="preserve"> which</w:t>
      </w:r>
      <w:r w:rsidRPr="005C766C">
        <w:rPr>
          <w:szCs w:val="22"/>
        </w:rPr>
        <w:t xml:space="preserve"> proposed that an ICG be established to identify options, within its mandate, to contribute to the RSRMPA. The CEP did not</w:t>
      </w:r>
      <w:r>
        <w:rPr>
          <w:szCs w:val="22"/>
        </w:rPr>
        <w:t xml:space="preserve"> agree to</w:t>
      </w:r>
      <w:r w:rsidRPr="005C766C">
        <w:rPr>
          <w:szCs w:val="22"/>
        </w:rPr>
        <w:t xml:space="preserve"> establish an ICG and New Zealand offered to lead</w:t>
      </w:r>
      <w:r>
        <w:rPr>
          <w:szCs w:val="22"/>
        </w:rPr>
        <w:t xml:space="preserve"> </w:t>
      </w:r>
      <w:r w:rsidRPr="005C766C">
        <w:rPr>
          <w:szCs w:val="22"/>
        </w:rPr>
        <w:t xml:space="preserve">informal </w:t>
      </w:r>
      <w:r>
        <w:rPr>
          <w:szCs w:val="22"/>
        </w:rPr>
        <w:t xml:space="preserve">intersessional discussions </w:t>
      </w:r>
      <w:r w:rsidRPr="005C766C">
        <w:rPr>
          <w:szCs w:val="22"/>
        </w:rPr>
        <w:t xml:space="preserve">on these matters and report back </w:t>
      </w:r>
      <w:r>
        <w:rPr>
          <w:szCs w:val="22"/>
        </w:rPr>
        <w:t>to</w:t>
      </w:r>
      <w:r w:rsidRPr="005C766C">
        <w:rPr>
          <w:szCs w:val="22"/>
        </w:rPr>
        <w:t xml:space="preserve"> CEP XXII.</w:t>
      </w:r>
    </w:p>
    <w:p w14:paraId="705910C3" w14:textId="77777777" w:rsidR="005A0E09" w:rsidRDefault="005A0E09" w:rsidP="005A0E09">
      <w:pPr>
        <w:spacing w:before="120" w:after="120"/>
        <w:jc w:val="both"/>
        <w:rPr>
          <w:szCs w:val="22"/>
        </w:rPr>
      </w:pPr>
      <w:r w:rsidRPr="00000722">
        <w:rPr>
          <w:szCs w:val="22"/>
        </w:rPr>
        <w:t xml:space="preserve">At CEP XXII (2019), New Zealand submitted </w:t>
      </w:r>
      <w:hyperlink r:id="rId13" w:history="1">
        <w:r w:rsidRPr="00A27B06">
          <w:rPr>
            <w:rStyle w:val="Hipervnculo"/>
            <w:lang w:val="en-AU"/>
          </w:rPr>
          <w:t>WP 48 Harmonisation of Marine Protection Initiatives across the Antarctic Treaty System</w:t>
        </w:r>
      </w:hyperlink>
      <w:r w:rsidRPr="00000722">
        <w:rPr>
          <w:szCs w:val="22"/>
        </w:rPr>
        <w:t xml:space="preserve">, which reported on informal discussions held by interested Parties to develop a response to the ATCM’s request in Resolution 5 (2017). </w:t>
      </w:r>
      <w:r w:rsidRPr="005C766C">
        <w:rPr>
          <w:szCs w:val="22"/>
        </w:rPr>
        <w:t>Work focussed on drafting a list of general complementary measures within the framework of the Protocol that could support connectivity between land and ocean, and strengthen marine protection initiatives within the Antarctic Treaty System.</w:t>
      </w:r>
      <w:r>
        <w:rPr>
          <w:szCs w:val="22"/>
        </w:rPr>
        <w:t xml:space="preserve"> </w:t>
      </w:r>
      <w:r w:rsidRPr="00000722">
        <w:rPr>
          <w:szCs w:val="22"/>
        </w:rPr>
        <w:t>The intersessional discussions did not have sufficient time to conclude the discussion and New Zealand offered to continue to facilitate informal discussions during the next intersessional period.</w:t>
      </w:r>
    </w:p>
    <w:p w14:paraId="23E50DC4" w14:textId="77777777" w:rsidR="005A0E09" w:rsidRDefault="005A0E09" w:rsidP="005A0E09">
      <w:pPr>
        <w:pStyle w:val="ATSHeading2"/>
        <w:rPr>
          <w:lang w:val="en-AU"/>
        </w:rPr>
      </w:pPr>
      <w:r>
        <w:rPr>
          <w:lang w:val="en-AU"/>
        </w:rPr>
        <w:t>Intersessional discussions</w:t>
      </w:r>
    </w:p>
    <w:p w14:paraId="254DD4AC" w14:textId="77777777" w:rsidR="005A0E09" w:rsidRDefault="005A0E09" w:rsidP="005A0E09">
      <w:pPr>
        <w:spacing w:before="120" w:after="120"/>
        <w:jc w:val="both"/>
        <w:rPr>
          <w:szCs w:val="22"/>
        </w:rPr>
      </w:pPr>
      <w:r w:rsidRPr="007464CD">
        <w:rPr>
          <w:szCs w:val="22"/>
        </w:rPr>
        <w:t>Since CEP XXII (2019), New Zealand held informal discussions with some Members</w:t>
      </w:r>
      <w:r>
        <w:rPr>
          <w:szCs w:val="22"/>
        </w:rPr>
        <w:t xml:space="preserve"> to consider how to address the request of the ATCM as set out in Resolution 5 (2017) and did not focus on the connectivity between land the ocean. </w:t>
      </w:r>
    </w:p>
    <w:p w14:paraId="35E4945D" w14:textId="77777777" w:rsidR="005A0E09" w:rsidRDefault="005A0E09" w:rsidP="005A0E09">
      <w:pPr>
        <w:spacing w:before="120" w:after="120"/>
        <w:jc w:val="both"/>
        <w:rPr>
          <w:szCs w:val="22"/>
        </w:rPr>
      </w:pPr>
      <w:r w:rsidRPr="00C1424E">
        <w:rPr>
          <w:szCs w:val="22"/>
        </w:rPr>
        <w:t xml:space="preserve">It was noted that the roles of the ATCM and CEP in relation to CCAMLR are considered different by some Parties and the consideration of the term complementary does not accurately reflect the relationship between </w:t>
      </w:r>
      <w:r w:rsidRPr="00C1424E">
        <w:rPr>
          <w:szCs w:val="22"/>
        </w:rPr>
        <w:lastRenderedPageBreak/>
        <w:t>the ATCM and CCAMLR, rather coordination or cooperation are considered more accurate.</w:t>
      </w:r>
      <w:r>
        <w:rPr>
          <w:szCs w:val="22"/>
        </w:rPr>
        <w:t xml:space="preserve"> Therefore, us</w:t>
      </w:r>
      <w:r w:rsidRPr="007464CD">
        <w:rPr>
          <w:szCs w:val="22"/>
        </w:rPr>
        <w:t xml:space="preserve">ing the </w:t>
      </w:r>
      <w:r>
        <w:rPr>
          <w:szCs w:val="22"/>
        </w:rPr>
        <w:t>RSRMPA</w:t>
      </w:r>
      <w:r w:rsidRPr="007464CD">
        <w:rPr>
          <w:szCs w:val="22"/>
        </w:rPr>
        <w:t xml:space="preserve"> as a case study, a number of indicative examples where the ongoing work of the CEP is contributing to the objectives outlined in CM 91-05 </w:t>
      </w:r>
      <w:r>
        <w:rPr>
          <w:szCs w:val="22"/>
        </w:rPr>
        <w:t>were identified</w:t>
      </w:r>
      <w:r w:rsidRPr="007464CD">
        <w:rPr>
          <w:szCs w:val="22"/>
        </w:rPr>
        <w:t>.</w:t>
      </w:r>
      <w:r>
        <w:rPr>
          <w:szCs w:val="22"/>
        </w:rPr>
        <w:t xml:space="preserve"> </w:t>
      </w:r>
    </w:p>
    <w:p w14:paraId="1D1C9160" w14:textId="77777777" w:rsidR="005A0E09" w:rsidRDefault="005A0E09" w:rsidP="005A0E09">
      <w:pPr>
        <w:rPr>
          <w:szCs w:val="22"/>
        </w:rPr>
      </w:pPr>
      <w:r>
        <w:rPr>
          <w:szCs w:val="22"/>
        </w:rPr>
        <w:t xml:space="preserve">The Committee was invited to comment on the identified scientific research and monitoring in the RSRMPA and CEP measures related to the protection of the marine environment through the CEP Forum. Appendix 1 presents the </w:t>
      </w:r>
      <w:r w:rsidRPr="00000722">
        <w:rPr>
          <w:szCs w:val="22"/>
        </w:rPr>
        <w:t xml:space="preserve">actions within the </w:t>
      </w:r>
      <w:r>
        <w:rPr>
          <w:szCs w:val="22"/>
        </w:rPr>
        <w:t>ATCM’s</w:t>
      </w:r>
      <w:r w:rsidRPr="00000722">
        <w:rPr>
          <w:szCs w:val="22"/>
        </w:rPr>
        <w:t xml:space="preserve"> competence t</w:t>
      </w:r>
      <w:r>
        <w:rPr>
          <w:szCs w:val="22"/>
        </w:rPr>
        <w:t>hat can or already is</w:t>
      </w:r>
      <w:r w:rsidRPr="00000722">
        <w:rPr>
          <w:szCs w:val="22"/>
        </w:rPr>
        <w:t xml:space="preserve"> contribut</w:t>
      </w:r>
      <w:r>
        <w:rPr>
          <w:szCs w:val="22"/>
        </w:rPr>
        <w:t>ing</w:t>
      </w:r>
      <w:r w:rsidRPr="00000722">
        <w:rPr>
          <w:szCs w:val="22"/>
        </w:rPr>
        <w:t xml:space="preserve"> to the achievement of the specific objectives set forth in CCAMLR Conservation Measure 91-05</w:t>
      </w:r>
      <w:r>
        <w:rPr>
          <w:szCs w:val="22"/>
        </w:rPr>
        <w:t xml:space="preserve"> and </w:t>
      </w:r>
      <w:r w:rsidRPr="00000722">
        <w:rPr>
          <w:szCs w:val="22"/>
        </w:rPr>
        <w:t>relevant research and monitoring activities</w:t>
      </w:r>
      <w:r>
        <w:rPr>
          <w:szCs w:val="22"/>
        </w:rPr>
        <w:t xml:space="preserve"> in the RSRMPA.</w:t>
      </w:r>
    </w:p>
    <w:p w14:paraId="6C01BE54" w14:textId="77777777" w:rsidR="005A0E09" w:rsidRPr="00FD42E0" w:rsidRDefault="005A0E09" w:rsidP="005A0E09">
      <w:pPr>
        <w:pStyle w:val="ATSHeading2"/>
        <w:rPr>
          <w:lang w:val="en-AU"/>
        </w:rPr>
      </w:pPr>
      <w:r w:rsidRPr="00FD42E0">
        <w:rPr>
          <w:lang w:val="en-AU"/>
        </w:rPr>
        <w:t>Additiona</w:t>
      </w:r>
      <w:r>
        <w:rPr>
          <w:lang w:val="en-AU"/>
        </w:rPr>
        <w:t>l issues</w:t>
      </w:r>
    </w:p>
    <w:p w14:paraId="19EF8E09" w14:textId="77777777" w:rsidR="005A0E09" w:rsidRDefault="005A0E09" w:rsidP="005A0E09">
      <w:pPr>
        <w:rPr>
          <w:szCs w:val="22"/>
        </w:rPr>
      </w:pPr>
      <w:r>
        <w:rPr>
          <w:szCs w:val="22"/>
        </w:rPr>
        <w:t>Participants raised a number of a</w:t>
      </w:r>
      <w:r w:rsidRPr="002F1353">
        <w:rPr>
          <w:szCs w:val="22"/>
        </w:rPr>
        <w:t xml:space="preserve">dditional </w:t>
      </w:r>
      <w:r>
        <w:rPr>
          <w:szCs w:val="22"/>
        </w:rPr>
        <w:t>issues</w:t>
      </w:r>
      <w:r w:rsidRPr="002F1353">
        <w:rPr>
          <w:szCs w:val="22"/>
        </w:rPr>
        <w:t xml:space="preserve"> </w:t>
      </w:r>
      <w:r>
        <w:rPr>
          <w:szCs w:val="22"/>
        </w:rPr>
        <w:t>that were not discussed or agreed during the informal intersessional discussions, but which may warrant further consideration and discussion by the Committee to progress work on marine spatial protection and management. These include:</w:t>
      </w:r>
    </w:p>
    <w:p w14:paraId="1628A9F1" w14:textId="77777777" w:rsidR="005A0E09" w:rsidRDefault="005A0E09" w:rsidP="005A0E09">
      <w:pPr>
        <w:rPr>
          <w:szCs w:val="22"/>
        </w:rPr>
      </w:pPr>
    </w:p>
    <w:p w14:paraId="310C3EA5" w14:textId="77777777" w:rsidR="005A0E09" w:rsidRDefault="005A0E09" w:rsidP="005A0E09">
      <w:pPr>
        <w:pStyle w:val="Prrafodelista"/>
        <w:numPr>
          <w:ilvl w:val="0"/>
          <w:numId w:val="29"/>
        </w:numPr>
        <w:rPr>
          <w:szCs w:val="22"/>
        </w:rPr>
      </w:pPr>
      <w:r>
        <w:rPr>
          <w:szCs w:val="22"/>
        </w:rPr>
        <w:t>F</w:t>
      </w:r>
      <w:r w:rsidRPr="0042794C">
        <w:rPr>
          <w:szCs w:val="22"/>
        </w:rPr>
        <w:t>acilitat</w:t>
      </w:r>
      <w:r>
        <w:rPr>
          <w:szCs w:val="22"/>
        </w:rPr>
        <w:t xml:space="preserve">e </w:t>
      </w:r>
      <w:r w:rsidRPr="0042794C">
        <w:rPr>
          <w:szCs w:val="22"/>
        </w:rPr>
        <w:t xml:space="preserve">access for </w:t>
      </w:r>
      <w:r>
        <w:rPr>
          <w:szCs w:val="22"/>
        </w:rPr>
        <w:t xml:space="preserve">the </w:t>
      </w:r>
      <w:r w:rsidRPr="0042794C">
        <w:rPr>
          <w:szCs w:val="22"/>
        </w:rPr>
        <w:t>CEP to SC-CCAMLR Working Group on Ecosystem Monitoring and Management papers on summaries of past and current research projects in the Ross Sea region MPA</w:t>
      </w:r>
      <w:r w:rsidRPr="002F1353">
        <w:rPr>
          <w:szCs w:val="22"/>
        </w:rPr>
        <w:t>.</w:t>
      </w:r>
    </w:p>
    <w:p w14:paraId="3DCC0D58" w14:textId="77777777" w:rsidR="005A0E09" w:rsidRPr="002F1353" w:rsidRDefault="005A0E09" w:rsidP="005A0E09">
      <w:pPr>
        <w:pStyle w:val="Prrafodelista"/>
        <w:numPr>
          <w:ilvl w:val="0"/>
          <w:numId w:val="29"/>
        </w:numPr>
        <w:rPr>
          <w:szCs w:val="22"/>
        </w:rPr>
      </w:pPr>
      <w:r w:rsidRPr="002F1353">
        <w:rPr>
          <w:szCs w:val="22"/>
        </w:rPr>
        <w:t xml:space="preserve">Consider the criteria from the CCAMLR Ecosystem Monitoring Programme and Annex B and C of CCAMLR Conservation Measure 91-05 when encouraging Parties to conduct research, and monitoring activities related to the protection of the marine environment across the Ross Sea region. </w:t>
      </w:r>
    </w:p>
    <w:p w14:paraId="5828B4CC" w14:textId="77777777" w:rsidR="005A0E09" w:rsidRDefault="005A0E09" w:rsidP="005A0E09">
      <w:pPr>
        <w:pStyle w:val="Prrafodelista"/>
        <w:numPr>
          <w:ilvl w:val="0"/>
          <w:numId w:val="29"/>
        </w:numPr>
        <w:rPr>
          <w:szCs w:val="22"/>
        </w:rPr>
      </w:pPr>
      <w:r>
        <w:rPr>
          <w:szCs w:val="22"/>
        </w:rPr>
        <w:t>I</w:t>
      </w:r>
      <w:r w:rsidRPr="002F1353">
        <w:rPr>
          <w:szCs w:val="22"/>
        </w:rPr>
        <w:t>ntegrate the CCRWP with CCAMLR initiatives</w:t>
      </w:r>
      <w:r>
        <w:rPr>
          <w:szCs w:val="22"/>
        </w:rPr>
        <w:t>,</w:t>
      </w:r>
      <w:r w:rsidRPr="002F1353">
        <w:rPr>
          <w:szCs w:val="22"/>
        </w:rPr>
        <w:t xml:space="preserve"> particularly with regard to climate change resilience building. </w:t>
      </w:r>
    </w:p>
    <w:p w14:paraId="2CACC90E" w14:textId="77777777" w:rsidR="005A0E09" w:rsidRPr="002F1353" w:rsidRDefault="005A0E09" w:rsidP="005A0E09">
      <w:pPr>
        <w:pStyle w:val="Prrafodelista"/>
        <w:numPr>
          <w:ilvl w:val="0"/>
          <w:numId w:val="29"/>
        </w:numPr>
        <w:rPr>
          <w:szCs w:val="22"/>
        </w:rPr>
      </w:pPr>
      <w:r w:rsidRPr="002F1353">
        <w:rPr>
          <w:szCs w:val="22"/>
        </w:rPr>
        <w:t>Consider how the network of ASPAs and ASMAs in the Ross Sea region can be enhanced to support the protection of the terrestrial and marine environment from activities not covered by CCAMLR, such as contributing to climate change resilience, addressing land-based sources of pollution and considering areas exposed by glacial retreat.</w:t>
      </w:r>
    </w:p>
    <w:p w14:paraId="7BA9FAD8" w14:textId="77777777" w:rsidR="005A0E09" w:rsidRPr="00A37D1F" w:rsidRDefault="005A0E09" w:rsidP="005A0E09">
      <w:pPr>
        <w:pStyle w:val="Prrafodelista"/>
        <w:numPr>
          <w:ilvl w:val="0"/>
          <w:numId w:val="29"/>
        </w:numPr>
        <w:rPr>
          <w:szCs w:val="22"/>
        </w:rPr>
      </w:pPr>
      <w:r w:rsidRPr="002F1353">
        <w:rPr>
          <w:szCs w:val="22"/>
        </w:rPr>
        <w:t>Consideration to be given to holding a SC-CAMLR and CEP joint workshop as identified in the CEP Five Year Work Plan under Issue/Environmental Pressure: Marine spatial protection and management</w:t>
      </w:r>
      <w:r>
        <w:rPr>
          <w:szCs w:val="22"/>
        </w:rPr>
        <w:t xml:space="preserve">. The workshop might useful consider </w:t>
      </w:r>
      <w:r w:rsidRPr="00A37D1F">
        <w:rPr>
          <w:szCs w:val="22"/>
        </w:rPr>
        <w:t xml:space="preserve">the CEP Five Year Work Plan </w:t>
      </w:r>
      <w:r>
        <w:rPr>
          <w:szCs w:val="22"/>
        </w:rPr>
        <w:t>task to</w:t>
      </w:r>
      <w:r w:rsidRPr="00A37D1F">
        <w:rPr>
          <w:szCs w:val="22"/>
        </w:rPr>
        <w:t>, ‘</w:t>
      </w:r>
      <w:r w:rsidRPr="00A37D1F">
        <w:rPr>
          <w:i/>
          <w:szCs w:val="22"/>
        </w:rPr>
        <w:t>Consider connectivity between land and ocean, and complementary actions that could be taken by Parties with respect to MPAs</w:t>
      </w:r>
      <w:r w:rsidRPr="00A37D1F">
        <w:rPr>
          <w:szCs w:val="22"/>
        </w:rPr>
        <w:t>.’</w:t>
      </w:r>
    </w:p>
    <w:p w14:paraId="43092BBA" w14:textId="77777777" w:rsidR="005A0E09" w:rsidRDefault="005A0E09" w:rsidP="005A0E09">
      <w:pPr>
        <w:pStyle w:val="Prrafodelista"/>
        <w:numPr>
          <w:ilvl w:val="0"/>
          <w:numId w:val="29"/>
        </w:numPr>
        <w:rPr>
          <w:szCs w:val="22"/>
        </w:rPr>
      </w:pPr>
      <w:r>
        <w:rPr>
          <w:szCs w:val="22"/>
        </w:rPr>
        <w:t>Identify how the identified CEP tools in Appendix 1 address the specific objectives</w:t>
      </w:r>
      <w:r>
        <w:rPr>
          <w:rStyle w:val="Refdenotaalpie"/>
          <w:szCs w:val="22"/>
        </w:rPr>
        <w:footnoteReference w:id="1"/>
      </w:r>
      <w:r>
        <w:rPr>
          <w:szCs w:val="22"/>
        </w:rPr>
        <w:t xml:space="preserve"> of the RSRMPA in paragraph 3 of CM 91-05.</w:t>
      </w:r>
    </w:p>
    <w:p w14:paraId="51DF50C4" w14:textId="77777777" w:rsidR="005A0E09" w:rsidRPr="00C1424E" w:rsidRDefault="005A0E09" w:rsidP="005A0E09">
      <w:pPr>
        <w:pStyle w:val="Prrafodelista"/>
        <w:numPr>
          <w:ilvl w:val="0"/>
          <w:numId w:val="29"/>
        </w:numPr>
        <w:rPr>
          <w:szCs w:val="22"/>
        </w:rPr>
      </w:pPr>
      <w:r w:rsidRPr="00C1424E">
        <w:rPr>
          <w:szCs w:val="22"/>
        </w:rPr>
        <w:lastRenderedPageBreak/>
        <w:t xml:space="preserve">Consider how the designation of Important Marine Mammal Areas and Marine Important Bird and Biodiversity Areas can support protection of the marine environment in the Ross Sea region. </w:t>
      </w:r>
    </w:p>
    <w:p w14:paraId="7F2A5301" w14:textId="77777777" w:rsidR="005A0E09" w:rsidRPr="00C1424E" w:rsidRDefault="005A0E09" w:rsidP="005A0E09">
      <w:pPr>
        <w:pStyle w:val="Prrafodelista"/>
        <w:numPr>
          <w:ilvl w:val="0"/>
          <w:numId w:val="29"/>
        </w:numPr>
        <w:rPr>
          <w:szCs w:val="22"/>
        </w:rPr>
      </w:pPr>
      <w:r w:rsidRPr="00C1424E">
        <w:rPr>
          <w:szCs w:val="22"/>
        </w:rPr>
        <w:t xml:space="preserve">Consider the adoption of standardised monitoring to support future management. </w:t>
      </w:r>
    </w:p>
    <w:p w14:paraId="15BF4B78" w14:textId="77777777" w:rsidR="005A0E09" w:rsidRPr="00C1424E" w:rsidRDefault="005A0E09" w:rsidP="005A0E09">
      <w:pPr>
        <w:pStyle w:val="Prrafodelista"/>
        <w:numPr>
          <w:ilvl w:val="0"/>
          <w:numId w:val="29"/>
        </w:numPr>
        <w:rPr>
          <w:szCs w:val="22"/>
        </w:rPr>
      </w:pPr>
      <w:r w:rsidRPr="00C1424E">
        <w:rPr>
          <w:szCs w:val="22"/>
        </w:rPr>
        <w:t xml:space="preserve">Consideration of </w:t>
      </w:r>
      <w:r w:rsidRPr="00C1424E">
        <w:rPr>
          <w:color w:val="333333"/>
          <w:szCs w:val="22"/>
        </w:rPr>
        <w:t>a step-wise approach to marine protection whereby Parties collaborate to conduct a regional-scale comprehensive environment impact assessment on the scientific basis to identify management needs and gaps. Such an assessment could include a number of elements to be identified in a collaboration between the CEP and SC-CAMLR (see the CEP Forum for further information).</w:t>
      </w:r>
    </w:p>
    <w:p w14:paraId="66BF090B" w14:textId="77777777" w:rsidR="005A0E09" w:rsidRDefault="005A0E09" w:rsidP="005A0E09">
      <w:pPr>
        <w:pStyle w:val="ATSHeading2"/>
        <w:keepNext/>
        <w:rPr>
          <w:lang w:val="en-AU"/>
        </w:rPr>
      </w:pPr>
      <w:r>
        <w:rPr>
          <w:lang w:val="en-AU"/>
        </w:rPr>
        <w:t>Recommendations</w:t>
      </w:r>
    </w:p>
    <w:p w14:paraId="49CACBA7" w14:textId="77777777" w:rsidR="005A0E09" w:rsidRDefault="005A0E09" w:rsidP="005A0E09">
      <w:r>
        <w:t>New Zealand, on behalf of the participants of the informal intersessional discussions, recommend that the CEP:</w:t>
      </w:r>
    </w:p>
    <w:p w14:paraId="03F3ABA6" w14:textId="77777777" w:rsidR="005A0E09" w:rsidRDefault="005A0E09" w:rsidP="005A0E09"/>
    <w:p w14:paraId="360CBAF3" w14:textId="77777777" w:rsidR="005A0E09" w:rsidRDefault="005A0E09" w:rsidP="005A0E09">
      <w:pPr>
        <w:pStyle w:val="Prrafodelista"/>
        <w:numPr>
          <w:ilvl w:val="0"/>
          <w:numId w:val="30"/>
        </w:numPr>
      </w:pPr>
      <w:r>
        <w:t xml:space="preserve">Respond to the request of the ATCM as identified in Resolution 5 (2017) and note Appendix 1, which identifies </w:t>
      </w:r>
    </w:p>
    <w:p w14:paraId="216CC63C" w14:textId="77777777" w:rsidR="005A0E09" w:rsidRDefault="005A0E09" w:rsidP="005A0E09">
      <w:pPr>
        <w:pStyle w:val="Prrafodelista"/>
        <w:numPr>
          <w:ilvl w:val="1"/>
          <w:numId w:val="30"/>
        </w:numPr>
      </w:pPr>
      <w:r w:rsidRPr="00000722">
        <w:rPr>
          <w:szCs w:val="22"/>
        </w:rPr>
        <w:t>relevant research and monitoring activities</w:t>
      </w:r>
      <w:r>
        <w:rPr>
          <w:szCs w:val="22"/>
        </w:rPr>
        <w:t xml:space="preserve"> in the RSRMPA; and</w:t>
      </w:r>
      <w:r>
        <w:t xml:space="preserve"> </w:t>
      </w:r>
    </w:p>
    <w:p w14:paraId="64FDA9FC" w14:textId="77777777" w:rsidR="005A0E09" w:rsidRDefault="005A0E09" w:rsidP="005A0E09">
      <w:pPr>
        <w:pStyle w:val="Prrafodelista"/>
        <w:numPr>
          <w:ilvl w:val="1"/>
          <w:numId w:val="30"/>
        </w:numPr>
      </w:pPr>
      <w:r>
        <w:t>ac</w:t>
      </w:r>
      <w:r w:rsidRPr="00000722">
        <w:rPr>
          <w:szCs w:val="22"/>
        </w:rPr>
        <w:t xml:space="preserve">tions within the </w:t>
      </w:r>
      <w:r>
        <w:rPr>
          <w:szCs w:val="22"/>
        </w:rPr>
        <w:t>ATCMs</w:t>
      </w:r>
      <w:r w:rsidRPr="00000722">
        <w:rPr>
          <w:szCs w:val="22"/>
        </w:rPr>
        <w:t xml:space="preserve"> competence t</w:t>
      </w:r>
      <w:r>
        <w:rPr>
          <w:szCs w:val="22"/>
        </w:rPr>
        <w:t>hat can or already are</w:t>
      </w:r>
      <w:r w:rsidRPr="00000722">
        <w:rPr>
          <w:szCs w:val="22"/>
        </w:rPr>
        <w:t xml:space="preserve"> contribut</w:t>
      </w:r>
      <w:r>
        <w:rPr>
          <w:szCs w:val="22"/>
        </w:rPr>
        <w:t>ing</w:t>
      </w:r>
      <w:r w:rsidRPr="00000722">
        <w:rPr>
          <w:szCs w:val="22"/>
        </w:rPr>
        <w:t xml:space="preserve"> to the achievement of the specific objectives set forth in CCAMLR Conservation Measure 91-05</w:t>
      </w:r>
      <w:r>
        <w:rPr>
          <w:szCs w:val="22"/>
        </w:rPr>
        <w:t>.</w:t>
      </w:r>
    </w:p>
    <w:p w14:paraId="726F1F9B" w14:textId="77777777" w:rsidR="005A0E09" w:rsidRDefault="005A0E09" w:rsidP="005A0E09">
      <w:pPr>
        <w:pStyle w:val="Prrafodelista"/>
        <w:numPr>
          <w:ilvl w:val="0"/>
          <w:numId w:val="30"/>
        </w:numPr>
      </w:pPr>
      <w:r>
        <w:t xml:space="preserve">Discuss the identified additional issues and </w:t>
      </w:r>
      <w:r w:rsidRPr="00393F8A">
        <w:t>consider</w:t>
      </w:r>
      <w:r>
        <w:t xml:space="preserve"> options for how to progress any of these issues as part of the CEP Five Year Work Plan. </w:t>
      </w:r>
    </w:p>
    <w:p w14:paraId="2C1C6F33" w14:textId="77777777" w:rsidR="005A0E09" w:rsidRDefault="005A0E09" w:rsidP="005A0E09">
      <w:pPr>
        <w:pStyle w:val="ATSHeading2"/>
        <w:spacing w:before="0" w:after="0"/>
        <w:rPr>
          <w:rFonts w:ascii="Times New Roman" w:hAnsi="Times New Roman"/>
          <w:b w:val="0"/>
          <w:i w:val="0"/>
          <w:sz w:val="22"/>
          <w:szCs w:val="24"/>
          <w:lang w:eastAsia="en-US"/>
        </w:rPr>
      </w:pPr>
    </w:p>
    <w:p w14:paraId="59E2D4F6" w14:textId="77777777" w:rsidR="005A0E09" w:rsidRDefault="005A0E09" w:rsidP="005A0E09">
      <w:pPr>
        <w:pStyle w:val="ATSHeading2"/>
        <w:rPr>
          <w:lang w:val="en-AU"/>
        </w:rPr>
      </w:pPr>
      <w:r>
        <w:rPr>
          <w:lang w:val="en-AU"/>
        </w:rPr>
        <w:br w:type="page"/>
      </w:r>
    </w:p>
    <w:p w14:paraId="6E10CE9C" w14:textId="77777777" w:rsidR="005A0E09" w:rsidRPr="00700A31" w:rsidRDefault="005A0E09" w:rsidP="005A0E09">
      <w:pPr>
        <w:pStyle w:val="ATSHeading2"/>
        <w:rPr>
          <w:lang w:val="en-AU"/>
        </w:rPr>
      </w:pPr>
      <w:r w:rsidRPr="00700A31">
        <w:rPr>
          <w:lang w:val="en-AU"/>
        </w:rPr>
        <w:lastRenderedPageBreak/>
        <w:t xml:space="preserve">Appendix 1: Existing examples of CEP ‘tools’ that </w:t>
      </w:r>
      <w:r w:rsidRPr="00455BC2">
        <w:rPr>
          <w:rFonts w:cs="Arial"/>
          <w:szCs w:val="24"/>
        </w:rPr>
        <w:t>may contribute to the protection of the marine environment and CCAMLRs objectives, in particular</w:t>
      </w:r>
      <w:r>
        <w:rPr>
          <w:rFonts w:cs="Arial"/>
          <w:szCs w:val="24"/>
        </w:rPr>
        <w:t xml:space="preserve"> </w:t>
      </w:r>
      <w:r w:rsidRPr="00700A31">
        <w:rPr>
          <w:lang w:val="en-AU"/>
        </w:rPr>
        <w:t>to the Ross Sea Region Marine Protected Area (as defined in CCAMLR Conservation Measure 91-05).</w:t>
      </w:r>
    </w:p>
    <w:p w14:paraId="15D3306F" w14:textId="77777777" w:rsidR="005A0E09" w:rsidRDefault="005A0E09" w:rsidP="005A0E09"/>
    <w:tbl>
      <w:tblPr>
        <w:tblStyle w:val="Tablaconcuadrcula"/>
        <w:tblW w:w="10910" w:type="dxa"/>
        <w:jc w:val="center"/>
        <w:tblLayout w:type="fixed"/>
        <w:tblLook w:val="04A0" w:firstRow="1" w:lastRow="0" w:firstColumn="1" w:lastColumn="0" w:noHBand="0" w:noVBand="1"/>
      </w:tblPr>
      <w:tblGrid>
        <w:gridCol w:w="5240"/>
        <w:gridCol w:w="2107"/>
        <w:gridCol w:w="3563"/>
      </w:tblGrid>
      <w:tr w:rsidR="005A0E09" w:rsidRPr="006A387E" w14:paraId="0EB89FCC" w14:textId="77777777" w:rsidTr="00D204BF">
        <w:trPr>
          <w:cantSplit/>
          <w:trHeight w:val="692"/>
          <w:tblHeader/>
          <w:jc w:val="center"/>
        </w:trPr>
        <w:tc>
          <w:tcPr>
            <w:tcW w:w="5240" w:type="dxa"/>
            <w:vAlign w:val="center"/>
          </w:tcPr>
          <w:p w14:paraId="61F5CC3E" w14:textId="77777777" w:rsidR="005A0E09" w:rsidRPr="00315544" w:rsidRDefault="005A0E09" w:rsidP="00D204BF">
            <w:pPr>
              <w:jc w:val="center"/>
              <w:rPr>
                <w:sz w:val="20"/>
                <w:szCs w:val="20"/>
              </w:rPr>
            </w:pPr>
            <w:r w:rsidRPr="00467A89">
              <w:rPr>
                <w:b/>
                <w:sz w:val="24"/>
                <w:szCs w:val="20"/>
              </w:rPr>
              <w:t>CEP Measures</w:t>
            </w:r>
            <w:r>
              <w:rPr>
                <w:b/>
                <w:sz w:val="24"/>
                <w:szCs w:val="20"/>
              </w:rPr>
              <w:t xml:space="preserve"> related to the protection of the marine environment</w:t>
            </w:r>
            <w:r>
              <w:rPr>
                <w:rStyle w:val="Refdenotaalpie"/>
                <w:b/>
                <w:sz w:val="24"/>
                <w:szCs w:val="20"/>
              </w:rPr>
              <w:footnoteReference w:id="2"/>
            </w:r>
          </w:p>
        </w:tc>
        <w:tc>
          <w:tcPr>
            <w:tcW w:w="2107" w:type="dxa"/>
            <w:vAlign w:val="center"/>
          </w:tcPr>
          <w:p w14:paraId="2DA95006" w14:textId="77777777" w:rsidR="005A0E09" w:rsidRPr="006A387E" w:rsidRDefault="005A0E09" w:rsidP="00D204BF">
            <w:pPr>
              <w:jc w:val="center"/>
              <w:rPr>
                <w:sz w:val="20"/>
                <w:szCs w:val="20"/>
              </w:rPr>
            </w:pPr>
            <w:r w:rsidRPr="00467A89">
              <w:rPr>
                <w:b/>
                <w:sz w:val="24"/>
                <w:szCs w:val="20"/>
              </w:rPr>
              <w:t>CEP tool</w:t>
            </w:r>
            <w:r>
              <w:rPr>
                <w:b/>
                <w:sz w:val="24"/>
                <w:szCs w:val="20"/>
              </w:rPr>
              <w:t>s</w:t>
            </w:r>
          </w:p>
        </w:tc>
        <w:tc>
          <w:tcPr>
            <w:tcW w:w="3563" w:type="dxa"/>
            <w:vAlign w:val="center"/>
          </w:tcPr>
          <w:p w14:paraId="536FC66D" w14:textId="77777777" w:rsidR="005A0E09" w:rsidRDefault="005A0E09" w:rsidP="00D204BF">
            <w:pPr>
              <w:jc w:val="center"/>
              <w:rPr>
                <w:b/>
                <w:sz w:val="24"/>
                <w:szCs w:val="20"/>
              </w:rPr>
            </w:pPr>
            <w:r w:rsidRPr="00467A89">
              <w:rPr>
                <w:b/>
                <w:sz w:val="24"/>
                <w:szCs w:val="20"/>
              </w:rPr>
              <w:t xml:space="preserve">Examples within the </w:t>
            </w:r>
            <w:r>
              <w:rPr>
                <w:b/>
                <w:sz w:val="24"/>
                <w:szCs w:val="20"/>
              </w:rPr>
              <w:t xml:space="preserve">       </w:t>
            </w:r>
          </w:p>
          <w:p w14:paraId="021C320C" w14:textId="77777777" w:rsidR="005A0E09" w:rsidRPr="006A387E" w:rsidRDefault="005A0E09" w:rsidP="00D204BF">
            <w:pPr>
              <w:jc w:val="center"/>
              <w:rPr>
                <w:sz w:val="20"/>
                <w:szCs w:val="20"/>
              </w:rPr>
            </w:pPr>
            <w:r w:rsidRPr="00467A89">
              <w:rPr>
                <w:b/>
                <w:sz w:val="24"/>
                <w:szCs w:val="20"/>
              </w:rPr>
              <w:t>Ross Sea Region</w:t>
            </w:r>
          </w:p>
        </w:tc>
      </w:tr>
      <w:tr w:rsidR="005A0E09" w:rsidRPr="006A387E" w14:paraId="66038D8D" w14:textId="77777777" w:rsidTr="00D204BF">
        <w:trPr>
          <w:cantSplit/>
          <w:trHeight w:val="460"/>
          <w:jc w:val="center"/>
        </w:trPr>
        <w:tc>
          <w:tcPr>
            <w:tcW w:w="10910" w:type="dxa"/>
            <w:gridSpan w:val="3"/>
            <w:shd w:val="clear" w:color="auto" w:fill="D9D9D9" w:themeFill="background1" w:themeFillShade="D9"/>
            <w:vAlign w:val="center"/>
          </w:tcPr>
          <w:p w14:paraId="5BD719BF" w14:textId="77777777" w:rsidR="005A0E09" w:rsidRPr="00467A89" w:rsidRDefault="005A0E09" w:rsidP="00D204BF">
            <w:pPr>
              <w:rPr>
                <w:color w:val="000000"/>
                <w:sz w:val="20"/>
                <w:szCs w:val="20"/>
              </w:rPr>
            </w:pPr>
            <w:r w:rsidRPr="00467A89">
              <w:rPr>
                <w:b/>
                <w:sz w:val="24"/>
                <w:szCs w:val="20"/>
              </w:rPr>
              <w:t>Scientific research and monitoring</w:t>
            </w:r>
            <w:r>
              <w:rPr>
                <w:b/>
                <w:sz w:val="24"/>
                <w:szCs w:val="20"/>
              </w:rPr>
              <w:t xml:space="preserve"> to support decision-making</w:t>
            </w:r>
          </w:p>
        </w:tc>
      </w:tr>
      <w:tr w:rsidR="005A0E09" w:rsidRPr="006A387E" w14:paraId="062743D3" w14:textId="77777777" w:rsidTr="00D204BF">
        <w:trPr>
          <w:cantSplit/>
          <w:trHeight w:val="1240"/>
          <w:jc w:val="center"/>
        </w:trPr>
        <w:tc>
          <w:tcPr>
            <w:tcW w:w="5240" w:type="dxa"/>
            <w:vAlign w:val="center"/>
          </w:tcPr>
          <w:p w14:paraId="315A39E8" w14:textId="77777777" w:rsidR="005A0E09" w:rsidRPr="00DF5D6C" w:rsidRDefault="005A0E09" w:rsidP="00D204BF">
            <w:pPr>
              <w:rPr>
                <w:sz w:val="20"/>
                <w:szCs w:val="20"/>
              </w:rPr>
            </w:pPr>
            <w:r>
              <w:rPr>
                <w:sz w:val="20"/>
                <w:szCs w:val="20"/>
              </w:rPr>
              <w:t>Encourage Parties</w:t>
            </w:r>
            <w:r w:rsidRPr="00315544">
              <w:rPr>
                <w:sz w:val="20"/>
                <w:szCs w:val="20"/>
              </w:rPr>
              <w:t xml:space="preserve">, where appropriate, to </w:t>
            </w:r>
            <w:r>
              <w:rPr>
                <w:sz w:val="20"/>
                <w:szCs w:val="20"/>
              </w:rPr>
              <w:t>conduct</w:t>
            </w:r>
            <w:r w:rsidRPr="00315544">
              <w:rPr>
                <w:sz w:val="20"/>
                <w:szCs w:val="20"/>
              </w:rPr>
              <w:t xml:space="preserve"> research</w:t>
            </w:r>
            <w:r>
              <w:rPr>
                <w:sz w:val="20"/>
                <w:szCs w:val="20"/>
              </w:rPr>
              <w:t>,</w:t>
            </w:r>
            <w:r w:rsidRPr="00315544">
              <w:rPr>
                <w:sz w:val="20"/>
                <w:szCs w:val="20"/>
              </w:rPr>
              <w:t xml:space="preserve"> and monitoring</w:t>
            </w:r>
            <w:r>
              <w:rPr>
                <w:sz w:val="20"/>
                <w:szCs w:val="20"/>
              </w:rPr>
              <w:t xml:space="preserve"> activities</w:t>
            </w:r>
            <w:r w:rsidRPr="00315544">
              <w:rPr>
                <w:sz w:val="20"/>
                <w:szCs w:val="20"/>
              </w:rPr>
              <w:t xml:space="preserve"> </w:t>
            </w:r>
            <w:r>
              <w:rPr>
                <w:sz w:val="20"/>
                <w:szCs w:val="20"/>
              </w:rPr>
              <w:t>related to</w:t>
            </w:r>
            <w:r w:rsidRPr="00315544">
              <w:rPr>
                <w:sz w:val="20"/>
                <w:szCs w:val="20"/>
              </w:rPr>
              <w:t xml:space="preserve"> the protection of the marine environment</w:t>
            </w:r>
            <w:r>
              <w:rPr>
                <w:sz w:val="20"/>
                <w:szCs w:val="20"/>
              </w:rPr>
              <w:t xml:space="preserve"> across the Ross Sea region. </w:t>
            </w:r>
          </w:p>
        </w:tc>
        <w:tc>
          <w:tcPr>
            <w:tcW w:w="2107" w:type="dxa"/>
            <w:vAlign w:val="center"/>
          </w:tcPr>
          <w:p w14:paraId="6D6C5165" w14:textId="77777777" w:rsidR="005A0E09" w:rsidRPr="006A387E" w:rsidRDefault="005A0E09" w:rsidP="005A0E09">
            <w:pPr>
              <w:pStyle w:val="Prrafodelista"/>
              <w:numPr>
                <w:ilvl w:val="0"/>
                <w:numId w:val="22"/>
              </w:numPr>
              <w:ind w:left="56" w:hanging="113"/>
              <w:contextualSpacing/>
              <w:rPr>
                <w:sz w:val="20"/>
                <w:szCs w:val="20"/>
              </w:rPr>
            </w:pPr>
            <w:r w:rsidRPr="006A387E">
              <w:rPr>
                <w:sz w:val="20"/>
                <w:szCs w:val="20"/>
              </w:rPr>
              <w:t>Consider existing and planned research.</w:t>
            </w:r>
          </w:p>
        </w:tc>
        <w:tc>
          <w:tcPr>
            <w:tcW w:w="3563" w:type="dxa"/>
            <w:vAlign w:val="center"/>
          </w:tcPr>
          <w:p w14:paraId="6F7B80E8" w14:textId="77777777" w:rsidR="005A0E09" w:rsidRPr="00333772" w:rsidRDefault="005A0E09" w:rsidP="005A0E09">
            <w:pPr>
              <w:pStyle w:val="Prrafodelista"/>
              <w:numPr>
                <w:ilvl w:val="0"/>
                <w:numId w:val="24"/>
              </w:numPr>
              <w:ind w:left="56" w:hanging="113"/>
              <w:contextualSpacing/>
              <w:rPr>
                <w:sz w:val="20"/>
                <w:szCs w:val="20"/>
              </w:rPr>
            </w:pPr>
            <w:r w:rsidRPr="00333772">
              <w:rPr>
                <w:sz w:val="20"/>
                <w:szCs w:val="20"/>
              </w:rPr>
              <w:t>Ross Sea region Adelie penguin census</w:t>
            </w:r>
          </w:p>
          <w:p w14:paraId="700D2FCD" w14:textId="77777777" w:rsidR="005A0E09" w:rsidRPr="00333772" w:rsidRDefault="005A0E09" w:rsidP="005A0E09">
            <w:pPr>
              <w:pStyle w:val="Prrafodelista"/>
              <w:numPr>
                <w:ilvl w:val="0"/>
                <w:numId w:val="24"/>
              </w:numPr>
              <w:ind w:left="56" w:hanging="113"/>
              <w:contextualSpacing/>
              <w:rPr>
                <w:sz w:val="20"/>
                <w:szCs w:val="20"/>
              </w:rPr>
            </w:pPr>
            <w:r w:rsidRPr="00333772">
              <w:rPr>
                <w:sz w:val="20"/>
                <w:szCs w:val="20"/>
              </w:rPr>
              <w:t>Ross RAMP project</w:t>
            </w:r>
          </w:p>
          <w:p w14:paraId="44EFBE7D" w14:textId="77777777" w:rsidR="005A0E09" w:rsidRPr="00D2493E" w:rsidRDefault="005A0E09" w:rsidP="005A0E09">
            <w:pPr>
              <w:pStyle w:val="Prrafodelista"/>
              <w:numPr>
                <w:ilvl w:val="0"/>
                <w:numId w:val="24"/>
              </w:numPr>
              <w:ind w:left="56" w:hanging="113"/>
              <w:contextualSpacing/>
              <w:rPr>
                <w:color w:val="FF0000"/>
                <w:sz w:val="20"/>
                <w:szCs w:val="20"/>
              </w:rPr>
            </w:pPr>
            <w:r w:rsidRPr="00333772">
              <w:rPr>
                <w:sz w:val="20"/>
                <w:szCs w:val="20"/>
              </w:rPr>
              <w:t>Top Predators study</w:t>
            </w:r>
          </w:p>
          <w:p w14:paraId="3C6B945B" w14:textId="77777777" w:rsidR="005A0E09" w:rsidRPr="00356072" w:rsidRDefault="005A0E09" w:rsidP="005A0E09">
            <w:pPr>
              <w:pStyle w:val="Prrafodelista"/>
              <w:numPr>
                <w:ilvl w:val="0"/>
                <w:numId w:val="24"/>
              </w:numPr>
              <w:ind w:left="56" w:hanging="113"/>
              <w:contextualSpacing/>
              <w:rPr>
                <w:color w:val="FF0000"/>
                <w:sz w:val="20"/>
                <w:szCs w:val="20"/>
              </w:rPr>
            </w:pPr>
            <w:hyperlink r:id="rId14" w:history="1">
              <w:r w:rsidRPr="00CA37D6">
                <w:rPr>
                  <w:rStyle w:val="Hipervnculo"/>
                  <w:sz w:val="20"/>
                  <w:szCs w:val="20"/>
                </w:rPr>
                <w:t>CCAMLR Ecosystem Monitoring Programme</w:t>
              </w:r>
            </w:hyperlink>
            <w:r w:rsidRPr="00FB277E">
              <w:rPr>
                <w:sz w:val="20"/>
                <w:szCs w:val="20"/>
              </w:rPr>
              <w:t xml:space="preserve"> </w:t>
            </w:r>
            <w:r>
              <w:rPr>
                <w:sz w:val="20"/>
                <w:szCs w:val="20"/>
              </w:rPr>
              <w:t>(Note: Papers are not publicly available)</w:t>
            </w:r>
          </w:p>
        </w:tc>
      </w:tr>
      <w:tr w:rsidR="005A0E09" w:rsidRPr="006A387E" w14:paraId="6D442348" w14:textId="77777777" w:rsidTr="00D204BF">
        <w:trPr>
          <w:cantSplit/>
          <w:trHeight w:val="1269"/>
          <w:jc w:val="center"/>
        </w:trPr>
        <w:tc>
          <w:tcPr>
            <w:tcW w:w="5240" w:type="dxa"/>
            <w:vAlign w:val="center"/>
          </w:tcPr>
          <w:p w14:paraId="2B61A42F" w14:textId="77777777" w:rsidR="005A0E09" w:rsidRPr="008233B7" w:rsidRDefault="005A0E09" w:rsidP="00D204BF">
            <w:pPr>
              <w:rPr>
                <w:b/>
                <w:sz w:val="20"/>
                <w:szCs w:val="20"/>
              </w:rPr>
            </w:pPr>
            <w:r w:rsidRPr="008233B7">
              <w:rPr>
                <w:sz w:val="20"/>
                <w:szCs w:val="20"/>
              </w:rPr>
              <w:t>Provide advice and recommendations to the Parties on the need for scientific research, including environmental monitoring related to the implementation of the Protocol, and on the state of the environment, including the marine environment.</w:t>
            </w:r>
          </w:p>
        </w:tc>
        <w:tc>
          <w:tcPr>
            <w:tcW w:w="2107" w:type="dxa"/>
            <w:vAlign w:val="center"/>
          </w:tcPr>
          <w:p w14:paraId="5BE47132" w14:textId="77777777" w:rsidR="005A0E09" w:rsidRPr="00FB277E" w:rsidRDefault="005A0E09" w:rsidP="005A0E09">
            <w:pPr>
              <w:pStyle w:val="Prrafodelista"/>
              <w:numPr>
                <w:ilvl w:val="0"/>
                <w:numId w:val="21"/>
              </w:numPr>
              <w:ind w:left="56" w:hanging="113"/>
              <w:contextualSpacing/>
              <w:rPr>
                <w:sz w:val="20"/>
                <w:szCs w:val="20"/>
              </w:rPr>
            </w:pPr>
            <w:r w:rsidRPr="00FB277E">
              <w:rPr>
                <w:sz w:val="20"/>
                <w:szCs w:val="20"/>
              </w:rPr>
              <w:t>CEP Five-Year Work Plan and incorporated science, knowledge and information needs</w:t>
            </w:r>
          </w:p>
          <w:p w14:paraId="65D76800" w14:textId="77777777" w:rsidR="005A0E09" w:rsidRPr="00CB17CA" w:rsidRDefault="005A0E09" w:rsidP="005A0E09">
            <w:pPr>
              <w:pStyle w:val="Prrafodelista"/>
              <w:numPr>
                <w:ilvl w:val="0"/>
                <w:numId w:val="21"/>
              </w:numPr>
              <w:ind w:left="56" w:hanging="113"/>
              <w:contextualSpacing/>
              <w:rPr>
                <w:sz w:val="20"/>
                <w:szCs w:val="20"/>
              </w:rPr>
            </w:pPr>
            <w:r w:rsidRPr="00CB17CA">
              <w:rPr>
                <w:sz w:val="20"/>
                <w:szCs w:val="20"/>
              </w:rPr>
              <w:t>State of the Environment report</w:t>
            </w:r>
          </w:p>
        </w:tc>
        <w:tc>
          <w:tcPr>
            <w:tcW w:w="3563" w:type="dxa"/>
            <w:vAlign w:val="center"/>
          </w:tcPr>
          <w:p w14:paraId="13BDA3DD" w14:textId="77777777" w:rsidR="005A0E09" w:rsidRPr="006A387E" w:rsidRDefault="005A0E09" w:rsidP="005A0E09">
            <w:pPr>
              <w:pStyle w:val="Prrafodelista"/>
              <w:numPr>
                <w:ilvl w:val="0"/>
                <w:numId w:val="24"/>
              </w:numPr>
              <w:ind w:left="56" w:hanging="113"/>
              <w:contextualSpacing/>
              <w:rPr>
                <w:sz w:val="20"/>
                <w:szCs w:val="20"/>
              </w:rPr>
            </w:pPr>
            <w:r>
              <w:rPr>
                <w:sz w:val="20"/>
                <w:szCs w:val="20"/>
              </w:rPr>
              <w:t>No examples identified.</w:t>
            </w:r>
          </w:p>
        </w:tc>
      </w:tr>
      <w:tr w:rsidR="005A0E09" w:rsidRPr="006A387E" w14:paraId="3092D246" w14:textId="77777777" w:rsidTr="00D204BF">
        <w:trPr>
          <w:cantSplit/>
          <w:trHeight w:val="415"/>
          <w:jc w:val="center"/>
        </w:trPr>
        <w:tc>
          <w:tcPr>
            <w:tcW w:w="10910" w:type="dxa"/>
            <w:gridSpan w:val="3"/>
            <w:shd w:val="clear" w:color="auto" w:fill="D9D9D9" w:themeFill="background1" w:themeFillShade="D9"/>
            <w:vAlign w:val="center"/>
          </w:tcPr>
          <w:p w14:paraId="6A0A84BA" w14:textId="77777777" w:rsidR="005A0E09" w:rsidRPr="006A387E" w:rsidRDefault="005A0E09" w:rsidP="00D204BF">
            <w:pPr>
              <w:rPr>
                <w:sz w:val="20"/>
                <w:szCs w:val="20"/>
              </w:rPr>
            </w:pPr>
            <w:r w:rsidRPr="00467A89">
              <w:rPr>
                <w:b/>
                <w:sz w:val="24"/>
                <w:szCs w:val="20"/>
              </w:rPr>
              <w:t>Management of human activities through the provisions of the Environ</w:t>
            </w:r>
            <w:r>
              <w:rPr>
                <w:b/>
                <w:sz w:val="24"/>
                <w:szCs w:val="20"/>
              </w:rPr>
              <w:t>mental Protocol and its Annexes</w:t>
            </w:r>
          </w:p>
        </w:tc>
      </w:tr>
      <w:tr w:rsidR="005A0E09" w:rsidRPr="006A387E" w14:paraId="611C242F" w14:textId="77777777" w:rsidTr="00D204BF">
        <w:trPr>
          <w:cantSplit/>
          <w:trHeight w:val="982"/>
          <w:jc w:val="center"/>
        </w:trPr>
        <w:tc>
          <w:tcPr>
            <w:tcW w:w="5240" w:type="dxa"/>
            <w:vAlign w:val="center"/>
          </w:tcPr>
          <w:p w14:paraId="0B99A731" w14:textId="77777777" w:rsidR="005A0E09" w:rsidRDefault="005A0E09" w:rsidP="00D204BF">
            <w:pPr>
              <w:rPr>
                <w:sz w:val="20"/>
                <w:szCs w:val="20"/>
              </w:rPr>
            </w:pPr>
            <w:r>
              <w:rPr>
                <w:sz w:val="20"/>
                <w:szCs w:val="20"/>
              </w:rPr>
              <w:t>S</w:t>
            </w:r>
            <w:r w:rsidRPr="006A387E">
              <w:rPr>
                <w:sz w:val="20"/>
                <w:szCs w:val="20"/>
              </w:rPr>
              <w:t xml:space="preserve">upport prior environmental impact assessment of all proposed activities (Annex I), and the planning, management and monitoring of activities to avoid or minimise </w:t>
            </w:r>
            <w:r>
              <w:rPr>
                <w:sz w:val="20"/>
                <w:szCs w:val="20"/>
              </w:rPr>
              <w:t xml:space="preserve">significant </w:t>
            </w:r>
            <w:r w:rsidRPr="006A387E">
              <w:rPr>
                <w:sz w:val="20"/>
                <w:szCs w:val="20"/>
              </w:rPr>
              <w:t>adverse effects on the environment, i</w:t>
            </w:r>
            <w:r>
              <w:rPr>
                <w:sz w:val="20"/>
                <w:szCs w:val="20"/>
              </w:rPr>
              <w:t>ncluding the marine environment.</w:t>
            </w:r>
          </w:p>
        </w:tc>
        <w:tc>
          <w:tcPr>
            <w:tcW w:w="2107" w:type="dxa"/>
            <w:vAlign w:val="center"/>
          </w:tcPr>
          <w:p w14:paraId="20AFBB86" w14:textId="77777777" w:rsidR="005A0E09" w:rsidRPr="00FB277E" w:rsidRDefault="005A0E09" w:rsidP="005A0E09">
            <w:pPr>
              <w:pStyle w:val="Prrafodelista"/>
              <w:numPr>
                <w:ilvl w:val="0"/>
                <w:numId w:val="22"/>
              </w:numPr>
              <w:ind w:left="56" w:hanging="113"/>
              <w:contextualSpacing/>
              <w:rPr>
                <w:sz w:val="20"/>
                <w:szCs w:val="20"/>
              </w:rPr>
            </w:pPr>
            <w:r w:rsidRPr="00FB277E">
              <w:rPr>
                <w:sz w:val="20"/>
                <w:szCs w:val="20"/>
              </w:rPr>
              <w:t>Environmental Impact Assessment (Annex 1)</w:t>
            </w:r>
          </w:p>
          <w:p w14:paraId="10B9CA6A" w14:textId="77777777" w:rsidR="005A0E09" w:rsidRPr="00FB277E" w:rsidRDefault="005A0E09" w:rsidP="005A0E09">
            <w:pPr>
              <w:pStyle w:val="Prrafodelista"/>
              <w:numPr>
                <w:ilvl w:val="0"/>
                <w:numId w:val="22"/>
              </w:numPr>
              <w:ind w:left="56" w:hanging="113"/>
              <w:contextualSpacing/>
              <w:rPr>
                <w:sz w:val="20"/>
                <w:szCs w:val="20"/>
              </w:rPr>
            </w:pPr>
            <w:r w:rsidRPr="00FB277E">
              <w:rPr>
                <w:sz w:val="20"/>
                <w:szCs w:val="20"/>
              </w:rPr>
              <w:t>Enviro</w:t>
            </w:r>
            <w:r>
              <w:rPr>
                <w:sz w:val="20"/>
                <w:szCs w:val="20"/>
              </w:rPr>
              <w:t>n</w:t>
            </w:r>
            <w:r w:rsidRPr="00FB277E">
              <w:rPr>
                <w:sz w:val="20"/>
                <w:szCs w:val="20"/>
              </w:rPr>
              <w:t>mental Impact Assessments and related environmental monitoring</w:t>
            </w:r>
          </w:p>
          <w:p w14:paraId="429709F7" w14:textId="77777777" w:rsidR="005A0E09" w:rsidRPr="00FB277E" w:rsidRDefault="005A0E09" w:rsidP="005A0E09">
            <w:pPr>
              <w:pStyle w:val="Prrafodelista"/>
              <w:numPr>
                <w:ilvl w:val="0"/>
                <w:numId w:val="22"/>
              </w:numPr>
              <w:ind w:left="56" w:hanging="113"/>
              <w:contextualSpacing/>
              <w:rPr>
                <w:sz w:val="20"/>
                <w:szCs w:val="20"/>
              </w:rPr>
            </w:pPr>
            <w:r w:rsidRPr="00FB277E">
              <w:rPr>
                <w:sz w:val="20"/>
                <w:szCs w:val="20"/>
              </w:rPr>
              <w:t>Guidelines for Environmental Impact Assessment in Antarctica (Resolution 1 (2016))</w:t>
            </w:r>
          </w:p>
        </w:tc>
        <w:tc>
          <w:tcPr>
            <w:tcW w:w="3563" w:type="dxa"/>
            <w:vAlign w:val="center"/>
          </w:tcPr>
          <w:p w14:paraId="3766312E"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 xml:space="preserve">All activities undergo an EIA. </w:t>
            </w:r>
          </w:p>
          <w:p w14:paraId="6679937E"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View the EIA Database and consult with National Antarctic Programmes operating in the region.</w:t>
            </w:r>
          </w:p>
        </w:tc>
      </w:tr>
      <w:tr w:rsidR="005A0E09" w:rsidRPr="006A387E" w14:paraId="1F8B66A0" w14:textId="77777777" w:rsidTr="00D204BF">
        <w:trPr>
          <w:cantSplit/>
          <w:trHeight w:val="1266"/>
          <w:jc w:val="center"/>
        </w:trPr>
        <w:tc>
          <w:tcPr>
            <w:tcW w:w="5240" w:type="dxa"/>
            <w:vAlign w:val="center"/>
          </w:tcPr>
          <w:p w14:paraId="0FA50FFF" w14:textId="77777777" w:rsidR="005A0E09" w:rsidRDefault="005A0E09" w:rsidP="00D204BF">
            <w:pPr>
              <w:rPr>
                <w:b/>
                <w:sz w:val="20"/>
                <w:szCs w:val="20"/>
              </w:rPr>
            </w:pPr>
            <w:r>
              <w:rPr>
                <w:sz w:val="20"/>
                <w:szCs w:val="20"/>
              </w:rPr>
              <w:t>P</w:t>
            </w:r>
            <w:r w:rsidRPr="006A387E">
              <w:rPr>
                <w:sz w:val="20"/>
                <w:szCs w:val="20"/>
              </w:rPr>
              <w:t>repare for, and build resilience to, the environmental impacts of a changing climate, including through the implementation of the Climate Change Response Work Program, which addresses climate-related issues relevant to the marine environment (Resolution 4 (2015)).</w:t>
            </w:r>
          </w:p>
        </w:tc>
        <w:tc>
          <w:tcPr>
            <w:tcW w:w="2107" w:type="dxa"/>
            <w:vAlign w:val="center"/>
          </w:tcPr>
          <w:p w14:paraId="4A6352D9" w14:textId="77777777" w:rsidR="005A0E09" w:rsidRPr="006A387E" w:rsidRDefault="005A0E09" w:rsidP="005A0E09">
            <w:pPr>
              <w:pStyle w:val="Prrafodelista"/>
              <w:numPr>
                <w:ilvl w:val="0"/>
                <w:numId w:val="22"/>
              </w:numPr>
              <w:ind w:left="56" w:hanging="113"/>
              <w:contextualSpacing/>
              <w:rPr>
                <w:sz w:val="20"/>
                <w:szCs w:val="20"/>
              </w:rPr>
            </w:pPr>
            <w:r w:rsidRPr="006A387E">
              <w:rPr>
                <w:sz w:val="20"/>
                <w:szCs w:val="20"/>
              </w:rPr>
              <w:t>Climate Change Response Work Programme (Resolution 4, 2015)</w:t>
            </w:r>
          </w:p>
        </w:tc>
        <w:tc>
          <w:tcPr>
            <w:tcW w:w="3563" w:type="dxa"/>
            <w:vAlign w:val="center"/>
          </w:tcPr>
          <w:p w14:paraId="5F6E24EC" w14:textId="77777777" w:rsidR="005A0E09" w:rsidRPr="006A387E" w:rsidRDefault="005A0E09" w:rsidP="005A0E09">
            <w:pPr>
              <w:pStyle w:val="Prrafodelista"/>
              <w:numPr>
                <w:ilvl w:val="0"/>
                <w:numId w:val="24"/>
              </w:numPr>
              <w:ind w:left="56" w:hanging="113"/>
              <w:contextualSpacing/>
              <w:rPr>
                <w:sz w:val="20"/>
                <w:szCs w:val="20"/>
              </w:rPr>
            </w:pPr>
            <w:r>
              <w:rPr>
                <w:sz w:val="20"/>
                <w:szCs w:val="20"/>
              </w:rPr>
              <w:t>CCRWP applicable across all of Antarctica</w:t>
            </w:r>
          </w:p>
        </w:tc>
      </w:tr>
      <w:tr w:rsidR="005A0E09" w:rsidRPr="006A387E" w14:paraId="6576D15C" w14:textId="77777777" w:rsidTr="00D204BF">
        <w:trPr>
          <w:cantSplit/>
          <w:trHeight w:val="986"/>
          <w:jc w:val="center"/>
        </w:trPr>
        <w:tc>
          <w:tcPr>
            <w:tcW w:w="5240" w:type="dxa"/>
            <w:vAlign w:val="center"/>
          </w:tcPr>
          <w:p w14:paraId="41ECC963" w14:textId="77777777" w:rsidR="005A0E09" w:rsidRDefault="005A0E09" w:rsidP="00D204BF">
            <w:pPr>
              <w:rPr>
                <w:b/>
                <w:sz w:val="20"/>
                <w:szCs w:val="20"/>
              </w:rPr>
            </w:pPr>
            <w:r>
              <w:rPr>
                <w:sz w:val="20"/>
                <w:szCs w:val="20"/>
              </w:rPr>
              <w:t>P</w:t>
            </w:r>
            <w:r w:rsidRPr="006A387E">
              <w:rPr>
                <w:sz w:val="20"/>
                <w:szCs w:val="20"/>
              </w:rPr>
              <w:t>revent non-native species introductions to Antarctica, including to the marine environment (including through the ongoing development of</w:t>
            </w:r>
            <w:r>
              <w:rPr>
                <w:sz w:val="20"/>
                <w:szCs w:val="20"/>
              </w:rPr>
              <w:t xml:space="preserve"> the Non-Native Species Manual).</w:t>
            </w:r>
          </w:p>
        </w:tc>
        <w:tc>
          <w:tcPr>
            <w:tcW w:w="2107" w:type="dxa"/>
            <w:vAlign w:val="center"/>
          </w:tcPr>
          <w:p w14:paraId="33F6BCD2" w14:textId="77777777" w:rsidR="005A0E09" w:rsidRPr="00FB277E" w:rsidRDefault="005A0E09" w:rsidP="005A0E09">
            <w:pPr>
              <w:pStyle w:val="Prrafodelista"/>
              <w:numPr>
                <w:ilvl w:val="0"/>
                <w:numId w:val="23"/>
              </w:numPr>
              <w:ind w:left="56" w:hanging="113"/>
              <w:contextualSpacing/>
              <w:rPr>
                <w:sz w:val="20"/>
                <w:szCs w:val="20"/>
              </w:rPr>
            </w:pPr>
            <w:r w:rsidRPr="00FB277E">
              <w:rPr>
                <w:sz w:val="20"/>
                <w:szCs w:val="20"/>
              </w:rPr>
              <w:t>Conservation of Antarctic Fauna and Flora (Annex II)</w:t>
            </w:r>
          </w:p>
          <w:p w14:paraId="1BB6A6AC" w14:textId="77777777" w:rsidR="005A0E09" w:rsidRPr="00FB277E" w:rsidRDefault="005A0E09" w:rsidP="005A0E09">
            <w:pPr>
              <w:pStyle w:val="Prrafodelista"/>
              <w:numPr>
                <w:ilvl w:val="0"/>
                <w:numId w:val="23"/>
              </w:numPr>
              <w:ind w:left="56" w:hanging="113"/>
              <w:contextualSpacing/>
              <w:rPr>
                <w:sz w:val="20"/>
                <w:szCs w:val="20"/>
              </w:rPr>
            </w:pPr>
            <w:r w:rsidRPr="00FB277E">
              <w:rPr>
                <w:sz w:val="20"/>
                <w:szCs w:val="20"/>
              </w:rPr>
              <w:t>CEP Non-Native Species Manual. Revision 2019.</w:t>
            </w:r>
          </w:p>
        </w:tc>
        <w:tc>
          <w:tcPr>
            <w:tcW w:w="3563" w:type="dxa"/>
            <w:vAlign w:val="center"/>
          </w:tcPr>
          <w:p w14:paraId="4924DAEB"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Annex II and the CEP Non-native Species manual applicable across all of Antarctica.</w:t>
            </w:r>
          </w:p>
          <w:p w14:paraId="25EF3952"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National Antarctic Programme specific examples.</w:t>
            </w:r>
          </w:p>
        </w:tc>
      </w:tr>
      <w:tr w:rsidR="005A0E09" w:rsidRPr="006A387E" w14:paraId="593930FC" w14:textId="77777777" w:rsidTr="00D204BF">
        <w:trPr>
          <w:cantSplit/>
          <w:trHeight w:val="1255"/>
          <w:jc w:val="center"/>
        </w:trPr>
        <w:tc>
          <w:tcPr>
            <w:tcW w:w="5240" w:type="dxa"/>
            <w:vAlign w:val="center"/>
          </w:tcPr>
          <w:p w14:paraId="1A4A96B5" w14:textId="77777777" w:rsidR="005A0E09" w:rsidRDefault="005A0E09" w:rsidP="00D204BF">
            <w:pPr>
              <w:rPr>
                <w:b/>
                <w:sz w:val="20"/>
                <w:szCs w:val="20"/>
              </w:rPr>
            </w:pPr>
            <w:r>
              <w:rPr>
                <w:sz w:val="20"/>
                <w:szCs w:val="20"/>
              </w:rPr>
              <w:t>C</w:t>
            </w:r>
            <w:r w:rsidRPr="006A387E">
              <w:rPr>
                <w:sz w:val="20"/>
                <w:szCs w:val="20"/>
              </w:rPr>
              <w:t>lean-up of past and present waste disposal sites, abandoned facilities and contaminated sites in coastal areas, noting the potential impact to the marine environment (including through the ongoing deve</w:t>
            </w:r>
            <w:r>
              <w:rPr>
                <w:sz w:val="20"/>
                <w:szCs w:val="20"/>
              </w:rPr>
              <w:t>lopment of the Clean-Up Manual).</w:t>
            </w:r>
          </w:p>
        </w:tc>
        <w:tc>
          <w:tcPr>
            <w:tcW w:w="2107" w:type="dxa"/>
            <w:vAlign w:val="center"/>
          </w:tcPr>
          <w:p w14:paraId="3A8460E4"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Waste Disposal and Waste Management (Annex III)</w:t>
            </w:r>
          </w:p>
          <w:p w14:paraId="0385DB15"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Revised Clean-up Manual 2019</w:t>
            </w:r>
          </w:p>
        </w:tc>
        <w:tc>
          <w:tcPr>
            <w:tcW w:w="3563" w:type="dxa"/>
            <w:vAlign w:val="center"/>
          </w:tcPr>
          <w:p w14:paraId="41325659"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Annex III and the Clean-up manual area applicable across all of Antarctica.</w:t>
            </w:r>
          </w:p>
          <w:p w14:paraId="43276421"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 xml:space="preserve">Former joint USA/NZ Cape Hallett Station site cleaned up by USA/New Zealand effort, aided by Italy, to remove remaining staged waste. </w:t>
            </w:r>
          </w:p>
        </w:tc>
      </w:tr>
      <w:tr w:rsidR="005A0E09" w:rsidRPr="006A387E" w14:paraId="1D6843C1" w14:textId="77777777" w:rsidTr="00D204BF">
        <w:trPr>
          <w:cantSplit/>
          <w:trHeight w:val="191"/>
          <w:jc w:val="center"/>
        </w:trPr>
        <w:tc>
          <w:tcPr>
            <w:tcW w:w="5240" w:type="dxa"/>
            <w:vAlign w:val="center"/>
          </w:tcPr>
          <w:p w14:paraId="02191C13" w14:textId="77777777" w:rsidR="005A0E09" w:rsidRPr="00FB277E" w:rsidRDefault="005A0E09" w:rsidP="00D204BF">
            <w:pPr>
              <w:rPr>
                <w:b/>
                <w:sz w:val="20"/>
                <w:szCs w:val="20"/>
              </w:rPr>
            </w:pPr>
            <w:r>
              <w:rPr>
                <w:sz w:val="20"/>
                <w:szCs w:val="20"/>
              </w:rPr>
              <w:lastRenderedPageBreak/>
              <w:t>P</w:t>
            </w:r>
            <w:r w:rsidRPr="00FB277E">
              <w:rPr>
                <w:sz w:val="20"/>
                <w:szCs w:val="20"/>
              </w:rPr>
              <w:t>revent marine pollution (Annex IV), reduce plastic pollution in Antarctica and the Southern Ocean (Resolution 5 (2019) and manage ballast water (Resolution 3 (2006)).</w:t>
            </w:r>
          </w:p>
        </w:tc>
        <w:tc>
          <w:tcPr>
            <w:tcW w:w="2107" w:type="dxa"/>
            <w:vAlign w:val="center"/>
          </w:tcPr>
          <w:p w14:paraId="1856C74B" w14:textId="77777777" w:rsidR="005A0E09" w:rsidRPr="005A0E09" w:rsidRDefault="005A0E09" w:rsidP="005A0E09">
            <w:pPr>
              <w:pStyle w:val="Prrafodelista"/>
              <w:numPr>
                <w:ilvl w:val="0"/>
                <w:numId w:val="25"/>
              </w:numPr>
              <w:ind w:left="56" w:hanging="113"/>
              <w:contextualSpacing/>
              <w:rPr>
                <w:sz w:val="20"/>
                <w:szCs w:val="20"/>
                <w:lang w:val="fr-FR"/>
              </w:rPr>
            </w:pPr>
            <w:r w:rsidRPr="005A0E09">
              <w:rPr>
                <w:sz w:val="20"/>
                <w:szCs w:val="20"/>
                <w:lang w:val="fr-FR"/>
              </w:rPr>
              <w:t>Prevent marine pollution (Annex IV)</w:t>
            </w:r>
          </w:p>
          <w:p w14:paraId="5428392D" w14:textId="77777777" w:rsidR="005A0E09" w:rsidRPr="00FB277E" w:rsidRDefault="005A0E09" w:rsidP="005A0E09">
            <w:pPr>
              <w:pStyle w:val="Prrafodelista"/>
              <w:numPr>
                <w:ilvl w:val="0"/>
                <w:numId w:val="25"/>
              </w:numPr>
              <w:ind w:left="56" w:hanging="113"/>
              <w:contextualSpacing/>
              <w:rPr>
                <w:sz w:val="20"/>
                <w:szCs w:val="20"/>
              </w:rPr>
            </w:pPr>
            <w:r w:rsidRPr="00FB277E">
              <w:rPr>
                <w:sz w:val="20"/>
                <w:szCs w:val="20"/>
              </w:rPr>
              <w:t>Ballast water exchange (Resolution 3, 2006).</w:t>
            </w:r>
          </w:p>
          <w:p w14:paraId="26265548" w14:textId="77777777" w:rsidR="005A0E09" w:rsidRPr="00FB277E" w:rsidRDefault="005A0E09" w:rsidP="005A0E09">
            <w:pPr>
              <w:pStyle w:val="Prrafodelista"/>
              <w:numPr>
                <w:ilvl w:val="0"/>
                <w:numId w:val="25"/>
              </w:numPr>
              <w:ind w:left="56" w:hanging="113"/>
              <w:contextualSpacing/>
              <w:rPr>
                <w:sz w:val="20"/>
                <w:szCs w:val="20"/>
              </w:rPr>
            </w:pPr>
            <w:r w:rsidRPr="00FB277E">
              <w:rPr>
                <w:sz w:val="20"/>
                <w:szCs w:val="20"/>
              </w:rPr>
              <w:t>Reducing Plastic Pollution in Antarctica and the Southern Ocean (Resolution 5, (2019)).</w:t>
            </w:r>
          </w:p>
        </w:tc>
        <w:tc>
          <w:tcPr>
            <w:tcW w:w="3563" w:type="dxa"/>
            <w:vAlign w:val="center"/>
          </w:tcPr>
          <w:p w14:paraId="27A26E25" w14:textId="77777777" w:rsidR="005A0E09" w:rsidRPr="006A387E" w:rsidRDefault="005A0E09" w:rsidP="005A0E09">
            <w:pPr>
              <w:pStyle w:val="Prrafodelista"/>
              <w:numPr>
                <w:ilvl w:val="0"/>
                <w:numId w:val="24"/>
              </w:numPr>
              <w:ind w:left="56" w:hanging="113"/>
              <w:contextualSpacing/>
              <w:rPr>
                <w:sz w:val="20"/>
                <w:szCs w:val="20"/>
              </w:rPr>
            </w:pPr>
            <w:r>
              <w:rPr>
                <w:sz w:val="20"/>
                <w:szCs w:val="20"/>
              </w:rPr>
              <w:t>Measures applicable across all of Antarctica. No specific Ross Sea Region examples.</w:t>
            </w:r>
          </w:p>
        </w:tc>
      </w:tr>
      <w:tr w:rsidR="005A0E09" w:rsidRPr="006A387E" w14:paraId="4AF8A29D" w14:textId="77777777" w:rsidTr="00D204BF">
        <w:trPr>
          <w:cantSplit/>
          <w:trHeight w:val="763"/>
          <w:jc w:val="center"/>
        </w:trPr>
        <w:tc>
          <w:tcPr>
            <w:tcW w:w="5240" w:type="dxa"/>
            <w:vAlign w:val="center"/>
          </w:tcPr>
          <w:p w14:paraId="43FC1370" w14:textId="77777777" w:rsidR="005A0E09" w:rsidRDefault="005A0E09" w:rsidP="00D204BF">
            <w:pPr>
              <w:rPr>
                <w:b/>
                <w:sz w:val="20"/>
                <w:szCs w:val="20"/>
              </w:rPr>
            </w:pPr>
            <w:r>
              <w:rPr>
                <w:sz w:val="20"/>
                <w:szCs w:val="20"/>
              </w:rPr>
              <w:t>M</w:t>
            </w:r>
            <w:r w:rsidRPr="006A387E">
              <w:rPr>
                <w:sz w:val="20"/>
                <w:szCs w:val="20"/>
              </w:rPr>
              <w:t>inimise potential impacts arising from waste disposal and waste management, including in the marine environment (Annex III).</w:t>
            </w:r>
          </w:p>
        </w:tc>
        <w:tc>
          <w:tcPr>
            <w:tcW w:w="2107" w:type="dxa"/>
            <w:vAlign w:val="center"/>
          </w:tcPr>
          <w:p w14:paraId="38827EBD" w14:textId="77777777" w:rsidR="005A0E09" w:rsidRPr="006A387E" w:rsidRDefault="005A0E09" w:rsidP="005A0E09">
            <w:pPr>
              <w:pStyle w:val="Prrafodelista"/>
              <w:numPr>
                <w:ilvl w:val="0"/>
                <w:numId w:val="22"/>
              </w:numPr>
              <w:ind w:left="56" w:hanging="113"/>
              <w:contextualSpacing/>
              <w:rPr>
                <w:sz w:val="20"/>
                <w:szCs w:val="20"/>
              </w:rPr>
            </w:pPr>
            <w:r w:rsidRPr="006A387E">
              <w:rPr>
                <w:sz w:val="20"/>
                <w:szCs w:val="20"/>
              </w:rPr>
              <w:t>Waste disposal and waste management (Annex III)</w:t>
            </w:r>
          </w:p>
        </w:tc>
        <w:tc>
          <w:tcPr>
            <w:tcW w:w="3563" w:type="dxa"/>
            <w:vAlign w:val="center"/>
          </w:tcPr>
          <w:p w14:paraId="0144E458" w14:textId="77777777" w:rsidR="005A0E09" w:rsidRPr="006A387E" w:rsidRDefault="005A0E09" w:rsidP="005A0E09">
            <w:pPr>
              <w:pStyle w:val="Prrafodelista"/>
              <w:numPr>
                <w:ilvl w:val="0"/>
                <w:numId w:val="24"/>
              </w:numPr>
              <w:ind w:left="56" w:hanging="113"/>
              <w:contextualSpacing/>
              <w:rPr>
                <w:sz w:val="20"/>
                <w:szCs w:val="20"/>
              </w:rPr>
            </w:pPr>
            <w:r>
              <w:rPr>
                <w:sz w:val="20"/>
                <w:szCs w:val="20"/>
              </w:rPr>
              <w:t>National Antarctic Programme specific examples.</w:t>
            </w:r>
          </w:p>
        </w:tc>
      </w:tr>
      <w:tr w:rsidR="005A0E09" w:rsidRPr="006A387E" w14:paraId="6760C893" w14:textId="77777777" w:rsidTr="00D204BF">
        <w:trPr>
          <w:cantSplit/>
          <w:trHeight w:val="986"/>
          <w:jc w:val="center"/>
        </w:trPr>
        <w:tc>
          <w:tcPr>
            <w:tcW w:w="5240" w:type="dxa"/>
            <w:vAlign w:val="center"/>
          </w:tcPr>
          <w:p w14:paraId="3F83460A" w14:textId="77777777" w:rsidR="005A0E09" w:rsidRPr="00315544" w:rsidRDefault="005A0E09" w:rsidP="00D204BF">
            <w:pPr>
              <w:rPr>
                <w:sz w:val="20"/>
                <w:szCs w:val="20"/>
              </w:rPr>
            </w:pPr>
            <w:r w:rsidRPr="00315544">
              <w:rPr>
                <w:sz w:val="20"/>
                <w:szCs w:val="20"/>
              </w:rPr>
              <w:t>Consider risks to the marine environment when establishing and / or reviewing contingency plans to respond to environmental emergencies in accordance with Article 15 of the Protocol.</w:t>
            </w:r>
          </w:p>
        </w:tc>
        <w:tc>
          <w:tcPr>
            <w:tcW w:w="2107" w:type="dxa"/>
            <w:vAlign w:val="center"/>
          </w:tcPr>
          <w:p w14:paraId="2A22CD3E" w14:textId="77777777" w:rsidR="005A0E09" w:rsidRPr="00FB277E" w:rsidRDefault="005A0E09" w:rsidP="005A0E09">
            <w:pPr>
              <w:pStyle w:val="Prrafodelista"/>
              <w:numPr>
                <w:ilvl w:val="0"/>
                <w:numId w:val="26"/>
              </w:numPr>
              <w:ind w:left="56" w:hanging="113"/>
              <w:contextualSpacing/>
              <w:rPr>
                <w:sz w:val="20"/>
                <w:szCs w:val="20"/>
              </w:rPr>
            </w:pPr>
            <w:r w:rsidRPr="00FB277E">
              <w:rPr>
                <w:sz w:val="20"/>
                <w:szCs w:val="20"/>
              </w:rPr>
              <w:t>The Protocol, Article 15 Emergency Response Action</w:t>
            </w:r>
          </w:p>
          <w:p w14:paraId="142894AC" w14:textId="77777777" w:rsidR="005A0E09" w:rsidRPr="00FB277E" w:rsidRDefault="005A0E09" w:rsidP="005A0E09">
            <w:pPr>
              <w:pStyle w:val="Prrafodelista"/>
              <w:numPr>
                <w:ilvl w:val="0"/>
                <w:numId w:val="26"/>
              </w:numPr>
              <w:ind w:left="56" w:hanging="113"/>
              <w:contextualSpacing/>
              <w:rPr>
                <w:sz w:val="20"/>
                <w:szCs w:val="20"/>
              </w:rPr>
            </w:pPr>
            <w:r w:rsidRPr="00FB277E">
              <w:rPr>
                <w:sz w:val="20"/>
                <w:szCs w:val="20"/>
              </w:rPr>
              <w:t>Liabilities arising from environmental emergencies (Annex VI – not yet in force)</w:t>
            </w:r>
          </w:p>
        </w:tc>
        <w:tc>
          <w:tcPr>
            <w:tcW w:w="3563" w:type="dxa"/>
            <w:vAlign w:val="center"/>
          </w:tcPr>
          <w:p w14:paraId="73DC5975"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National Antarctic Programme specific examples.</w:t>
            </w:r>
          </w:p>
        </w:tc>
      </w:tr>
      <w:tr w:rsidR="005A0E09" w:rsidRPr="006A387E" w14:paraId="5FE9CC4B" w14:textId="77777777" w:rsidTr="00D204BF">
        <w:trPr>
          <w:cantSplit/>
          <w:trHeight w:val="1269"/>
          <w:jc w:val="center"/>
        </w:trPr>
        <w:tc>
          <w:tcPr>
            <w:tcW w:w="5240" w:type="dxa"/>
            <w:vAlign w:val="center"/>
          </w:tcPr>
          <w:p w14:paraId="06FB9EF9" w14:textId="77777777" w:rsidR="005A0E09" w:rsidRPr="00315544" w:rsidRDefault="005A0E09" w:rsidP="00D204BF">
            <w:pPr>
              <w:rPr>
                <w:sz w:val="20"/>
                <w:szCs w:val="20"/>
              </w:rPr>
            </w:pPr>
            <w:r w:rsidRPr="00315544">
              <w:rPr>
                <w:sz w:val="20"/>
                <w:szCs w:val="20"/>
              </w:rPr>
              <w:t>Consider updating the General Guidelines for Visitors to the Antarctic (Resolution 3 (2011)) and updating or developing new Visitor Site Guidelines for sites that are adjacent, near or within MPAs, where updates or new guidelines would complement the protection of the marine environment.</w:t>
            </w:r>
          </w:p>
        </w:tc>
        <w:tc>
          <w:tcPr>
            <w:tcW w:w="2107" w:type="dxa"/>
            <w:vAlign w:val="center"/>
          </w:tcPr>
          <w:p w14:paraId="7E0E7BB0" w14:textId="77777777" w:rsidR="005A0E09" w:rsidRPr="00FB277E" w:rsidRDefault="005A0E09" w:rsidP="005A0E09">
            <w:pPr>
              <w:pStyle w:val="Prrafodelista"/>
              <w:numPr>
                <w:ilvl w:val="0"/>
                <w:numId w:val="27"/>
              </w:numPr>
              <w:ind w:left="56" w:hanging="113"/>
              <w:contextualSpacing/>
              <w:rPr>
                <w:sz w:val="20"/>
                <w:szCs w:val="20"/>
              </w:rPr>
            </w:pPr>
            <w:r w:rsidRPr="00FB277E">
              <w:rPr>
                <w:sz w:val="20"/>
                <w:szCs w:val="20"/>
              </w:rPr>
              <w:t>General Guidelines for Visitors to the Antarctic (Resolution 3 (2011)</w:t>
            </w:r>
          </w:p>
          <w:p w14:paraId="0CAC08D9" w14:textId="77777777" w:rsidR="005A0E09" w:rsidRPr="00FB277E" w:rsidRDefault="005A0E09" w:rsidP="005A0E09">
            <w:pPr>
              <w:pStyle w:val="Prrafodelista"/>
              <w:numPr>
                <w:ilvl w:val="0"/>
                <w:numId w:val="27"/>
              </w:numPr>
              <w:ind w:left="56" w:hanging="113"/>
              <w:contextualSpacing/>
              <w:rPr>
                <w:sz w:val="20"/>
                <w:szCs w:val="20"/>
              </w:rPr>
            </w:pPr>
            <w:r w:rsidRPr="00FB277E">
              <w:rPr>
                <w:sz w:val="20"/>
                <w:szCs w:val="20"/>
              </w:rPr>
              <w:t>Visitor Site Guidelines</w:t>
            </w:r>
          </w:p>
        </w:tc>
        <w:tc>
          <w:tcPr>
            <w:tcW w:w="3563" w:type="dxa"/>
            <w:vAlign w:val="center"/>
          </w:tcPr>
          <w:p w14:paraId="3EDC34B0" w14:textId="77777777" w:rsidR="005A0E09" w:rsidRPr="00FB277E" w:rsidRDefault="005A0E09" w:rsidP="005A0E09">
            <w:pPr>
              <w:pStyle w:val="Prrafodelista"/>
              <w:numPr>
                <w:ilvl w:val="0"/>
                <w:numId w:val="24"/>
              </w:numPr>
              <w:ind w:left="56" w:hanging="113"/>
              <w:contextualSpacing/>
              <w:rPr>
                <w:sz w:val="20"/>
                <w:szCs w:val="20"/>
              </w:rPr>
            </w:pPr>
            <w:r w:rsidRPr="00FB277E">
              <w:rPr>
                <w:sz w:val="20"/>
                <w:szCs w:val="20"/>
              </w:rPr>
              <w:t>General Guidelines for Visitors applicable across all of Antarctica</w:t>
            </w:r>
          </w:p>
          <w:p w14:paraId="20DE2532" w14:textId="77777777" w:rsidR="005A0E09" w:rsidRDefault="005A0E09" w:rsidP="005A0E09">
            <w:pPr>
              <w:pStyle w:val="Prrafodelista"/>
              <w:numPr>
                <w:ilvl w:val="0"/>
                <w:numId w:val="24"/>
              </w:numPr>
              <w:ind w:left="56" w:hanging="113"/>
              <w:contextualSpacing/>
              <w:rPr>
                <w:sz w:val="20"/>
                <w:szCs w:val="20"/>
              </w:rPr>
            </w:pPr>
            <w:r w:rsidRPr="00FB277E">
              <w:rPr>
                <w:sz w:val="20"/>
                <w:szCs w:val="20"/>
              </w:rPr>
              <w:t>Cape Royds Visitor Site Guidelines</w:t>
            </w:r>
          </w:p>
          <w:p w14:paraId="0545C02A" w14:textId="77777777" w:rsidR="005A0E09" w:rsidRPr="00FB277E" w:rsidRDefault="005A0E09" w:rsidP="005A0E09">
            <w:pPr>
              <w:pStyle w:val="Prrafodelista"/>
              <w:numPr>
                <w:ilvl w:val="0"/>
                <w:numId w:val="24"/>
              </w:numPr>
              <w:ind w:left="56" w:hanging="113"/>
              <w:contextualSpacing/>
              <w:rPr>
                <w:sz w:val="20"/>
                <w:szCs w:val="20"/>
              </w:rPr>
            </w:pPr>
            <w:r>
              <w:rPr>
                <w:sz w:val="20"/>
                <w:szCs w:val="20"/>
              </w:rPr>
              <w:t>Seabee Hook, Cape Hallett Visitor Site Guidelines</w:t>
            </w:r>
          </w:p>
        </w:tc>
      </w:tr>
      <w:tr w:rsidR="005A0E09" w:rsidRPr="006A387E" w14:paraId="7F1EEFF8" w14:textId="77777777" w:rsidTr="00D204BF">
        <w:trPr>
          <w:cantSplit/>
          <w:trHeight w:val="564"/>
          <w:jc w:val="center"/>
        </w:trPr>
        <w:tc>
          <w:tcPr>
            <w:tcW w:w="5240" w:type="dxa"/>
            <w:vAlign w:val="center"/>
          </w:tcPr>
          <w:p w14:paraId="274F4C90" w14:textId="77777777" w:rsidR="005A0E09" w:rsidRDefault="005A0E09" w:rsidP="00D204BF">
            <w:pPr>
              <w:rPr>
                <w:sz w:val="20"/>
                <w:szCs w:val="20"/>
              </w:rPr>
            </w:pPr>
            <w:r>
              <w:rPr>
                <w:sz w:val="20"/>
                <w:szCs w:val="20"/>
              </w:rPr>
              <w:t>Consider the d</w:t>
            </w:r>
            <w:r w:rsidRPr="00315544">
              <w:rPr>
                <w:sz w:val="20"/>
                <w:szCs w:val="20"/>
              </w:rPr>
              <w:t>esignation of Specially Protected Species</w:t>
            </w:r>
          </w:p>
        </w:tc>
        <w:tc>
          <w:tcPr>
            <w:tcW w:w="2107" w:type="dxa"/>
            <w:vAlign w:val="center"/>
          </w:tcPr>
          <w:p w14:paraId="2838F8B2" w14:textId="77777777" w:rsidR="005A0E09" w:rsidRPr="006A387E" w:rsidRDefault="005A0E09" w:rsidP="005A0E09">
            <w:pPr>
              <w:pStyle w:val="Prrafodelista"/>
              <w:numPr>
                <w:ilvl w:val="0"/>
                <w:numId w:val="22"/>
              </w:numPr>
              <w:ind w:left="56" w:hanging="113"/>
              <w:contextualSpacing/>
              <w:rPr>
                <w:sz w:val="20"/>
                <w:szCs w:val="20"/>
              </w:rPr>
            </w:pPr>
            <w:r w:rsidRPr="006A387E">
              <w:rPr>
                <w:sz w:val="20"/>
                <w:szCs w:val="20"/>
              </w:rPr>
              <w:t>Specially Protected Species (Annex II)</w:t>
            </w:r>
          </w:p>
        </w:tc>
        <w:tc>
          <w:tcPr>
            <w:tcW w:w="3563" w:type="dxa"/>
            <w:vAlign w:val="center"/>
          </w:tcPr>
          <w:p w14:paraId="2CA989F9" w14:textId="77777777" w:rsidR="005A0E09" w:rsidRPr="006A387E" w:rsidRDefault="005A0E09" w:rsidP="005A0E09">
            <w:pPr>
              <w:pStyle w:val="Prrafodelista"/>
              <w:numPr>
                <w:ilvl w:val="0"/>
                <w:numId w:val="24"/>
              </w:numPr>
              <w:ind w:left="56" w:hanging="113"/>
              <w:contextualSpacing/>
              <w:rPr>
                <w:sz w:val="20"/>
                <w:szCs w:val="20"/>
              </w:rPr>
            </w:pPr>
            <w:r w:rsidRPr="006A387E">
              <w:rPr>
                <w:sz w:val="20"/>
                <w:szCs w:val="20"/>
              </w:rPr>
              <w:t xml:space="preserve">The Ross Seal is </w:t>
            </w:r>
            <w:r>
              <w:rPr>
                <w:sz w:val="20"/>
                <w:szCs w:val="20"/>
              </w:rPr>
              <w:t>designated</w:t>
            </w:r>
            <w:r w:rsidRPr="006A387E">
              <w:rPr>
                <w:sz w:val="20"/>
                <w:szCs w:val="20"/>
              </w:rPr>
              <w:t xml:space="preserve"> as</w:t>
            </w:r>
            <w:r>
              <w:rPr>
                <w:sz w:val="20"/>
                <w:szCs w:val="20"/>
              </w:rPr>
              <w:t xml:space="preserve"> a Specially Protected Species.</w:t>
            </w:r>
          </w:p>
        </w:tc>
      </w:tr>
      <w:tr w:rsidR="005A0E09" w:rsidRPr="006A387E" w14:paraId="54D7D612" w14:textId="77777777" w:rsidTr="00D204BF">
        <w:trPr>
          <w:cantSplit/>
          <w:trHeight w:val="2259"/>
          <w:jc w:val="center"/>
        </w:trPr>
        <w:tc>
          <w:tcPr>
            <w:tcW w:w="5240" w:type="dxa"/>
            <w:vAlign w:val="center"/>
          </w:tcPr>
          <w:p w14:paraId="60E8E71E" w14:textId="77777777" w:rsidR="005A0E09" w:rsidRPr="00C10EAD" w:rsidRDefault="005A0E09" w:rsidP="00D204BF">
            <w:pPr>
              <w:rPr>
                <w:iCs/>
                <w:sz w:val="20"/>
                <w:szCs w:val="20"/>
                <w:lang w:val="en-AU"/>
              </w:rPr>
            </w:pPr>
            <w:r>
              <w:rPr>
                <w:sz w:val="20"/>
                <w:szCs w:val="20"/>
              </w:rPr>
              <w:t xml:space="preserve">Undertake appropriate monitoring of bird populations in the Ross Sea region to inform future management actions and </w:t>
            </w:r>
            <w:r>
              <w:rPr>
                <w:iCs/>
                <w:sz w:val="20"/>
                <w:szCs w:val="20"/>
                <w:lang w:val="en-AU"/>
              </w:rPr>
              <w:t>c</w:t>
            </w:r>
            <w:r w:rsidRPr="004027E0">
              <w:rPr>
                <w:iCs/>
                <w:sz w:val="20"/>
                <w:szCs w:val="20"/>
                <w:lang w:val="en-AU"/>
              </w:rPr>
              <w:t>onsider the extent to which Important Bird Areas are, or should be, represented within the series of Antarctic Specially Protected Areas, in particular those areas that might qualify as “major colonies of breeding native birds” (Resolution 5 (2015))</w:t>
            </w:r>
          </w:p>
        </w:tc>
        <w:tc>
          <w:tcPr>
            <w:tcW w:w="2107" w:type="dxa"/>
            <w:vAlign w:val="center"/>
          </w:tcPr>
          <w:p w14:paraId="61F744A3" w14:textId="77777777" w:rsidR="005A0E09" w:rsidRPr="006A387E" w:rsidRDefault="005A0E09" w:rsidP="005A0E09">
            <w:pPr>
              <w:pStyle w:val="Prrafodelista"/>
              <w:numPr>
                <w:ilvl w:val="0"/>
                <w:numId w:val="22"/>
              </w:numPr>
              <w:ind w:left="56" w:hanging="113"/>
              <w:contextualSpacing/>
              <w:rPr>
                <w:sz w:val="20"/>
                <w:szCs w:val="20"/>
              </w:rPr>
            </w:pPr>
            <w:r w:rsidRPr="006A387E">
              <w:rPr>
                <w:sz w:val="20"/>
                <w:szCs w:val="20"/>
              </w:rPr>
              <w:t>Important Bird Areas</w:t>
            </w:r>
          </w:p>
        </w:tc>
        <w:tc>
          <w:tcPr>
            <w:tcW w:w="3563" w:type="dxa"/>
            <w:vAlign w:val="center"/>
          </w:tcPr>
          <w:p w14:paraId="6610F9C7"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165 Cape Adare</w:t>
            </w:r>
            <w:r>
              <w:rPr>
                <w:sz w:val="20"/>
                <w:szCs w:val="20"/>
              </w:rPr>
              <w:t xml:space="preserve"> (ASPA 105)</w:t>
            </w:r>
          </w:p>
          <w:p w14:paraId="344B3BF5"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170 Cape Hallett</w:t>
            </w:r>
            <w:r>
              <w:rPr>
                <w:sz w:val="20"/>
                <w:szCs w:val="20"/>
              </w:rPr>
              <w:t xml:space="preserve"> (ASPA 106)</w:t>
            </w:r>
          </w:p>
          <w:p w14:paraId="4547F8BA"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175 Edmonson Point</w:t>
            </w:r>
            <w:r>
              <w:rPr>
                <w:sz w:val="20"/>
                <w:szCs w:val="20"/>
              </w:rPr>
              <w:t xml:space="preserve"> (ASPA 165)</w:t>
            </w:r>
          </w:p>
          <w:p w14:paraId="751DBF6C"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176 Cape Washington</w:t>
            </w:r>
            <w:r>
              <w:rPr>
                <w:sz w:val="20"/>
                <w:szCs w:val="20"/>
              </w:rPr>
              <w:t xml:space="preserve"> (ASPA 173)</w:t>
            </w:r>
          </w:p>
          <w:p w14:paraId="114599DC"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182 Blue Glacier to Chocolate Island</w:t>
            </w:r>
            <w:r>
              <w:rPr>
                <w:sz w:val="20"/>
                <w:szCs w:val="20"/>
              </w:rPr>
              <w:t xml:space="preserve"> (No ASPA)</w:t>
            </w:r>
          </w:p>
          <w:p w14:paraId="362C37B5"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186 Caughley Beach</w:t>
            </w:r>
            <w:r>
              <w:rPr>
                <w:sz w:val="20"/>
                <w:szCs w:val="20"/>
              </w:rPr>
              <w:t xml:space="preserve"> (ASPA 116)</w:t>
            </w:r>
          </w:p>
          <w:p w14:paraId="5961E9BA"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187 Cape Crozier</w:t>
            </w:r>
            <w:r>
              <w:rPr>
                <w:sz w:val="20"/>
                <w:szCs w:val="20"/>
              </w:rPr>
              <w:t xml:space="preserve"> (ASPA 124)</w:t>
            </w:r>
          </w:p>
          <w:p w14:paraId="1C506FA5" w14:textId="77777777" w:rsidR="005A0E09" w:rsidRPr="00F551F3" w:rsidRDefault="005A0E09" w:rsidP="005A0E09">
            <w:pPr>
              <w:pStyle w:val="Prrafodelista"/>
              <w:numPr>
                <w:ilvl w:val="0"/>
                <w:numId w:val="24"/>
              </w:numPr>
              <w:ind w:left="56" w:hanging="113"/>
              <w:contextualSpacing/>
              <w:rPr>
                <w:sz w:val="20"/>
                <w:szCs w:val="20"/>
              </w:rPr>
            </w:pPr>
            <w:r w:rsidRPr="00F551F3">
              <w:rPr>
                <w:sz w:val="20"/>
                <w:szCs w:val="20"/>
              </w:rPr>
              <w:t>IBA 188 Beaufort Island</w:t>
            </w:r>
            <w:r>
              <w:rPr>
                <w:sz w:val="20"/>
                <w:szCs w:val="20"/>
              </w:rPr>
              <w:t xml:space="preserve"> (ASPA 105)</w:t>
            </w:r>
          </w:p>
        </w:tc>
      </w:tr>
      <w:tr w:rsidR="005A0E09" w:rsidRPr="006A387E" w14:paraId="122776D5" w14:textId="77777777" w:rsidTr="00D204BF">
        <w:trPr>
          <w:cantSplit/>
          <w:trHeight w:val="419"/>
          <w:jc w:val="center"/>
        </w:trPr>
        <w:tc>
          <w:tcPr>
            <w:tcW w:w="5240" w:type="dxa"/>
            <w:vMerge w:val="restart"/>
            <w:vAlign w:val="center"/>
          </w:tcPr>
          <w:p w14:paraId="773C552A" w14:textId="77777777" w:rsidR="005A0E09" w:rsidRPr="00412199" w:rsidRDefault="005A0E09" w:rsidP="005A0E09">
            <w:pPr>
              <w:pStyle w:val="Prrafodelista"/>
              <w:keepNext/>
              <w:numPr>
                <w:ilvl w:val="0"/>
                <w:numId w:val="31"/>
              </w:numPr>
              <w:rPr>
                <w:sz w:val="20"/>
                <w:szCs w:val="20"/>
              </w:rPr>
            </w:pPr>
            <w:r>
              <w:rPr>
                <w:iCs/>
                <w:sz w:val="20"/>
                <w:szCs w:val="20"/>
                <w:lang w:val="en-AU"/>
              </w:rPr>
              <w:lastRenderedPageBreak/>
              <w:t xml:space="preserve">Promote </w:t>
            </w:r>
            <w:r w:rsidRPr="00DF211A">
              <w:rPr>
                <w:iCs/>
                <w:sz w:val="20"/>
                <w:szCs w:val="20"/>
                <w:lang w:val="en-AU"/>
              </w:rPr>
              <w:t>regular and effective monitoring on the values protected</w:t>
            </w:r>
            <w:r>
              <w:rPr>
                <w:iCs/>
                <w:sz w:val="20"/>
                <w:szCs w:val="20"/>
                <w:lang w:val="en-AU"/>
              </w:rPr>
              <w:t xml:space="preserve"> in ASPAs and ASMAs;</w:t>
            </w:r>
          </w:p>
          <w:p w14:paraId="609C2A49" w14:textId="77777777" w:rsidR="005A0E09" w:rsidRPr="0069319C" w:rsidRDefault="005A0E09" w:rsidP="00D204BF">
            <w:pPr>
              <w:keepNext/>
              <w:rPr>
                <w:sz w:val="20"/>
                <w:szCs w:val="20"/>
              </w:rPr>
            </w:pPr>
          </w:p>
          <w:p w14:paraId="620F2070" w14:textId="77777777" w:rsidR="005A0E09" w:rsidRPr="008233B7" w:rsidRDefault="005A0E09" w:rsidP="005A0E09">
            <w:pPr>
              <w:pStyle w:val="Prrafodelista"/>
              <w:keepNext/>
              <w:numPr>
                <w:ilvl w:val="0"/>
                <w:numId w:val="31"/>
              </w:numPr>
              <w:rPr>
                <w:sz w:val="20"/>
                <w:szCs w:val="20"/>
              </w:rPr>
            </w:pPr>
            <w:r w:rsidRPr="008233B7">
              <w:rPr>
                <w:iCs/>
                <w:sz w:val="20"/>
                <w:szCs w:val="20"/>
                <w:lang w:val="en-AU"/>
              </w:rPr>
              <w:t>Consider how the designation and implementation of Antarctic Specially Protected Areas and Antarctic Specially Managed Areas can support protection of the marine environment in the Ross Sea region (Resolution 5 (2017)), drawing on the best available scientific advice</w:t>
            </w:r>
            <w:r>
              <w:rPr>
                <w:iCs/>
                <w:sz w:val="20"/>
                <w:szCs w:val="20"/>
                <w:lang w:val="en-AU"/>
              </w:rPr>
              <w:t>; and</w:t>
            </w:r>
          </w:p>
          <w:p w14:paraId="795C546E" w14:textId="77777777" w:rsidR="005A0E09" w:rsidRPr="008233B7" w:rsidRDefault="005A0E09" w:rsidP="00D204BF">
            <w:pPr>
              <w:keepNext/>
              <w:contextualSpacing/>
              <w:rPr>
                <w:iCs/>
                <w:sz w:val="20"/>
                <w:szCs w:val="20"/>
                <w:lang w:val="en-AU"/>
              </w:rPr>
            </w:pPr>
          </w:p>
          <w:p w14:paraId="662007CE" w14:textId="77777777" w:rsidR="005A0E09" w:rsidRPr="0069319C" w:rsidRDefault="005A0E09" w:rsidP="005A0E09">
            <w:pPr>
              <w:pStyle w:val="Prrafodelista"/>
              <w:keepNext/>
              <w:numPr>
                <w:ilvl w:val="0"/>
                <w:numId w:val="31"/>
              </w:numPr>
              <w:contextualSpacing/>
              <w:rPr>
                <w:iCs/>
                <w:sz w:val="20"/>
                <w:szCs w:val="20"/>
                <w:lang w:val="en-AU"/>
              </w:rPr>
            </w:pPr>
            <w:r w:rsidRPr="00E72DDE">
              <w:rPr>
                <w:iCs/>
                <w:sz w:val="20"/>
                <w:szCs w:val="20"/>
                <w:lang w:val="en-AU"/>
              </w:rPr>
              <w:t>Identify the need for a higher level of protection for specific values beyond that achieved by other forms of planning and management measures under the Protocol on the basis of scientific assessment</w:t>
            </w:r>
            <w:r>
              <w:rPr>
                <w:iCs/>
                <w:sz w:val="20"/>
                <w:szCs w:val="20"/>
                <w:lang w:val="en-AU"/>
              </w:rPr>
              <w:t>.</w:t>
            </w:r>
          </w:p>
        </w:tc>
        <w:tc>
          <w:tcPr>
            <w:tcW w:w="2107" w:type="dxa"/>
            <w:vAlign w:val="center"/>
          </w:tcPr>
          <w:p w14:paraId="75D84FCF" w14:textId="77777777" w:rsidR="005A0E09" w:rsidRDefault="005A0E09" w:rsidP="005A0E09">
            <w:pPr>
              <w:pStyle w:val="Prrafodelista"/>
              <w:keepNext/>
              <w:numPr>
                <w:ilvl w:val="0"/>
                <w:numId w:val="22"/>
              </w:numPr>
              <w:ind w:left="56" w:hanging="113"/>
              <w:contextualSpacing/>
              <w:rPr>
                <w:sz w:val="20"/>
                <w:szCs w:val="20"/>
              </w:rPr>
            </w:pPr>
            <w:r w:rsidRPr="006A387E">
              <w:rPr>
                <w:sz w:val="20"/>
                <w:szCs w:val="20"/>
              </w:rPr>
              <w:t>ASMA</w:t>
            </w:r>
          </w:p>
          <w:p w14:paraId="067AC093" w14:textId="77777777" w:rsidR="005A0E09" w:rsidRPr="006A387E" w:rsidRDefault="005A0E09" w:rsidP="005A0E09">
            <w:pPr>
              <w:pStyle w:val="Prrafodelista"/>
              <w:keepNext/>
              <w:numPr>
                <w:ilvl w:val="0"/>
                <w:numId w:val="22"/>
              </w:numPr>
              <w:ind w:left="56" w:hanging="113"/>
              <w:contextualSpacing/>
              <w:rPr>
                <w:sz w:val="20"/>
                <w:szCs w:val="20"/>
              </w:rPr>
            </w:pPr>
            <w:r>
              <w:rPr>
                <w:sz w:val="20"/>
                <w:szCs w:val="20"/>
                <w:lang w:eastAsia="zh-CN"/>
              </w:rPr>
              <w:t xml:space="preserve">Guidelines for the preparation of ASMA management plans </w:t>
            </w:r>
            <w:r>
              <w:rPr>
                <w:iCs/>
                <w:sz w:val="20"/>
                <w:szCs w:val="20"/>
                <w:lang w:val="en-AU"/>
              </w:rPr>
              <w:t>(Resolution 1 (2017))</w:t>
            </w:r>
          </w:p>
        </w:tc>
        <w:tc>
          <w:tcPr>
            <w:tcW w:w="3563" w:type="dxa"/>
            <w:vAlign w:val="center"/>
          </w:tcPr>
          <w:p w14:paraId="2E3A6AFF" w14:textId="77777777" w:rsidR="005A0E09" w:rsidRPr="006A387E" w:rsidRDefault="005A0E09" w:rsidP="005A0E09">
            <w:pPr>
              <w:pStyle w:val="Prrafodelista"/>
              <w:keepNext/>
              <w:numPr>
                <w:ilvl w:val="0"/>
                <w:numId w:val="24"/>
              </w:numPr>
              <w:ind w:left="56" w:hanging="113"/>
              <w:contextualSpacing/>
              <w:rPr>
                <w:sz w:val="20"/>
                <w:szCs w:val="20"/>
              </w:rPr>
            </w:pPr>
            <w:r>
              <w:rPr>
                <w:sz w:val="20"/>
                <w:szCs w:val="20"/>
              </w:rPr>
              <w:t>ASMA 2 McMurdo Dry Valleys, Southern Victoria Land</w:t>
            </w:r>
          </w:p>
        </w:tc>
      </w:tr>
      <w:tr w:rsidR="005A0E09" w:rsidRPr="006A387E" w14:paraId="0348FDD2" w14:textId="77777777" w:rsidTr="00D204BF">
        <w:trPr>
          <w:cantSplit/>
          <w:trHeight w:val="1686"/>
          <w:jc w:val="center"/>
        </w:trPr>
        <w:tc>
          <w:tcPr>
            <w:tcW w:w="5240" w:type="dxa"/>
            <w:vMerge/>
            <w:vAlign w:val="center"/>
          </w:tcPr>
          <w:p w14:paraId="0F0673B7" w14:textId="77777777" w:rsidR="005A0E09" w:rsidRPr="006A387E" w:rsidRDefault="005A0E09" w:rsidP="00D204BF">
            <w:pPr>
              <w:rPr>
                <w:sz w:val="20"/>
                <w:szCs w:val="20"/>
              </w:rPr>
            </w:pPr>
          </w:p>
        </w:tc>
        <w:tc>
          <w:tcPr>
            <w:tcW w:w="2107" w:type="dxa"/>
            <w:vAlign w:val="center"/>
          </w:tcPr>
          <w:p w14:paraId="0591FF03" w14:textId="77777777" w:rsidR="005A0E09" w:rsidRDefault="005A0E09" w:rsidP="005A0E09">
            <w:pPr>
              <w:pStyle w:val="Prrafodelista"/>
              <w:numPr>
                <w:ilvl w:val="0"/>
                <w:numId w:val="22"/>
              </w:numPr>
              <w:ind w:left="56" w:hanging="113"/>
              <w:contextualSpacing/>
              <w:rPr>
                <w:sz w:val="20"/>
                <w:szCs w:val="20"/>
              </w:rPr>
            </w:pPr>
            <w:r w:rsidRPr="006A387E">
              <w:rPr>
                <w:sz w:val="20"/>
                <w:szCs w:val="20"/>
              </w:rPr>
              <w:t>ASPA</w:t>
            </w:r>
          </w:p>
          <w:p w14:paraId="4CF0CD29" w14:textId="77777777" w:rsidR="005A0E09" w:rsidRDefault="005A0E09" w:rsidP="005A0E09">
            <w:pPr>
              <w:pStyle w:val="Prrafodelista"/>
              <w:numPr>
                <w:ilvl w:val="0"/>
                <w:numId w:val="22"/>
              </w:numPr>
              <w:ind w:left="56" w:hanging="113"/>
              <w:contextualSpacing/>
              <w:rPr>
                <w:sz w:val="20"/>
                <w:szCs w:val="20"/>
              </w:rPr>
            </w:pPr>
            <w:r w:rsidRPr="00D2493E">
              <w:rPr>
                <w:sz w:val="20"/>
                <w:szCs w:val="20"/>
              </w:rPr>
              <w:t>Guidelines for Implementation of the Framework for Protected Areas</w:t>
            </w:r>
            <w:r>
              <w:rPr>
                <w:sz w:val="20"/>
                <w:szCs w:val="20"/>
              </w:rPr>
              <w:t xml:space="preserve"> (Resolution 1 (2000)</w:t>
            </w:r>
          </w:p>
          <w:p w14:paraId="4CFB8B24" w14:textId="77777777" w:rsidR="005A0E09" w:rsidRDefault="005A0E09" w:rsidP="005A0E09">
            <w:pPr>
              <w:pStyle w:val="Prrafodelista"/>
              <w:numPr>
                <w:ilvl w:val="0"/>
                <w:numId w:val="22"/>
              </w:numPr>
              <w:ind w:left="56" w:hanging="113"/>
              <w:contextualSpacing/>
              <w:rPr>
                <w:sz w:val="20"/>
                <w:szCs w:val="20"/>
              </w:rPr>
            </w:pPr>
            <w:r w:rsidRPr="00000C4D">
              <w:rPr>
                <w:sz w:val="20"/>
                <w:szCs w:val="20"/>
              </w:rPr>
              <w:t>Revised Guide to the Preparation of Management Plans for Antarctic Specially Protected Areas</w:t>
            </w:r>
            <w:r>
              <w:rPr>
                <w:sz w:val="20"/>
                <w:szCs w:val="20"/>
              </w:rPr>
              <w:t xml:space="preserve"> (Resolution 2 (2011))</w:t>
            </w:r>
          </w:p>
          <w:p w14:paraId="6915B779" w14:textId="77777777" w:rsidR="005A0E09" w:rsidRPr="006A387E" w:rsidRDefault="005A0E09" w:rsidP="005A0E09">
            <w:pPr>
              <w:pStyle w:val="Prrafodelista"/>
              <w:numPr>
                <w:ilvl w:val="0"/>
                <w:numId w:val="22"/>
              </w:numPr>
              <w:ind w:left="56" w:hanging="113"/>
              <w:contextualSpacing/>
              <w:rPr>
                <w:sz w:val="20"/>
                <w:szCs w:val="20"/>
              </w:rPr>
            </w:pPr>
            <w:r>
              <w:rPr>
                <w:sz w:val="20"/>
                <w:szCs w:val="20"/>
              </w:rPr>
              <w:t>Checklist to assist in the inspection of Antarctica Specially Protected Areas and Antarctic Specially Managed Areas (Resolution 4 (2008)</w:t>
            </w:r>
          </w:p>
        </w:tc>
        <w:tc>
          <w:tcPr>
            <w:tcW w:w="3563" w:type="dxa"/>
            <w:vAlign w:val="center"/>
          </w:tcPr>
          <w:p w14:paraId="012C7D2B" w14:textId="77777777" w:rsidR="005A0E09" w:rsidRDefault="005A0E09" w:rsidP="005A0E09">
            <w:pPr>
              <w:pStyle w:val="Prrafodelista"/>
              <w:numPr>
                <w:ilvl w:val="0"/>
                <w:numId w:val="24"/>
              </w:numPr>
              <w:ind w:left="56" w:hanging="113"/>
              <w:contextualSpacing/>
              <w:rPr>
                <w:sz w:val="20"/>
                <w:szCs w:val="20"/>
              </w:rPr>
            </w:pPr>
            <w:r>
              <w:rPr>
                <w:sz w:val="20"/>
                <w:szCs w:val="20"/>
              </w:rPr>
              <w:t>ASPA 104 Sabrina Island, Balleny Islands</w:t>
            </w:r>
          </w:p>
          <w:p w14:paraId="22CA96CA" w14:textId="77777777" w:rsidR="005A0E09" w:rsidRDefault="005A0E09" w:rsidP="005A0E09">
            <w:pPr>
              <w:pStyle w:val="Prrafodelista"/>
              <w:numPr>
                <w:ilvl w:val="0"/>
                <w:numId w:val="24"/>
              </w:numPr>
              <w:ind w:left="56" w:hanging="113"/>
              <w:contextualSpacing/>
              <w:rPr>
                <w:sz w:val="20"/>
                <w:szCs w:val="20"/>
              </w:rPr>
            </w:pPr>
            <w:r>
              <w:rPr>
                <w:sz w:val="20"/>
                <w:szCs w:val="20"/>
              </w:rPr>
              <w:t>ASPA 105 Beaufort Island</w:t>
            </w:r>
            <w:r w:rsidRPr="006A387E">
              <w:rPr>
                <w:sz w:val="20"/>
                <w:szCs w:val="20"/>
              </w:rPr>
              <w:t xml:space="preserve"> </w:t>
            </w:r>
          </w:p>
          <w:p w14:paraId="510797C1" w14:textId="77777777" w:rsidR="005A0E09" w:rsidRDefault="005A0E09" w:rsidP="005A0E09">
            <w:pPr>
              <w:pStyle w:val="Prrafodelista"/>
              <w:numPr>
                <w:ilvl w:val="0"/>
                <w:numId w:val="24"/>
              </w:numPr>
              <w:ind w:left="56" w:hanging="113"/>
              <w:contextualSpacing/>
              <w:rPr>
                <w:sz w:val="20"/>
                <w:szCs w:val="20"/>
              </w:rPr>
            </w:pPr>
            <w:r>
              <w:rPr>
                <w:sz w:val="20"/>
                <w:szCs w:val="20"/>
              </w:rPr>
              <w:t>ASPA 106 Cape Hallett</w:t>
            </w:r>
          </w:p>
          <w:p w14:paraId="2B559A53" w14:textId="77777777" w:rsidR="005A0E09" w:rsidRDefault="005A0E09" w:rsidP="005A0E09">
            <w:pPr>
              <w:pStyle w:val="Prrafodelista"/>
              <w:numPr>
                <w:ilvl w:val="0"/>
                <w:numId w:val="24"/>
              </w:numPr>
              <w:ind w:left="56" w:hanging="113"/>
              <w:contextualSpacing/>
              <w:rPr>
                <w:sz w:val="20"/>
                <w:szCs w:val="20"/>
              </w:rPr>
            </w:pPr>
            <w:r>
              <w:rPr>
                <w:sz w:val="20"/>
                <w:szCs w:val="20"/>
              </w:rPr>
              <w:t>ASPA 116 New College Valley, Cape Bird</w:t>
            </w:r>
          </w:p>
          <w:p w14:paraId="0E0E1DCC" w14:textId="77777777" w:rsidR="005A0E09" w:rsidRDefault="005A0E09" w:rsidP="005A0E09">
            <w:pPr>
              <w:pStyle w:val="Prrafodelista"/>
              <w:numPr>
                <w:ilvl w:val="0"/>
                <w:numId w:val="24"/>
              </w:numPr>
              <w:ind w:left="56" w:hanging="113"/>
              <w:contextualSpacing/>
              <w:rPr>
                <w:sz w:val="20"/>
                <w:szCs w:val="20"/>
              </w:rPr>
            </w:pPr>
            <w:r>
              <w:rPr>
                <w:sz w:val="20"/>
                <w:szCs w:val="20"/>
              </w:rPr>
              <w:t>ASPA 121 Cape Royds</w:t>
            </w:r>
          </w:p>
          <w:p w14:paraId="4E99E510" w14:textId="77777777" w:rsidR="005A0E09" w:rsidRDefault="005A0E09" w:rsidP="005A0E09">
            <w:pPr>
              <w:pStyle w:val="Prrafodelista"/>
              <w:numPr>
                <w:ilvl w:val="0"/>
                <w:numId w:val="24"/>
              </w:numPr>
              <w:ind w:left="56" w:hanging="113"/>
              <w:contextualSpacing/>
              <w:rPr>
                <w:sz w:val="20"/>
                <w:szCs w:val="20"/>
              </w:rPr>
            </w:pPr>
            <w:r>
              <w:rPr>
                <w:sz w:val="20"/>
                <w:szCs w:val="20"/>
              </w:rPr>
              <w:t>ASPA 124 Cape Crozier</w:t>
            </w:r>
          </w:p>
          <w:p w14:paraId="00F57B5F" w14:textId="77777777" w:rsidR="005A0E09" w:rsidRDefault="005A0E09" w:rsidP="005A0E09">
            <w:pPr>
              <w:pStyle w:val="Prrafodelista"/>
              <w:numPr>
                <w:ilvl w:val="0"/>
                <w:numId w:val="24"/>
              </w:numPr>
              <w:ind w:left="56" w:hanging="113"/>
              <w:contextualSpacing/>
              <w:rPr>
                <w:sz w:val="20"/>
                <w:szCs w:val="20"/>
              </w:rPr>
            </w:pPr>
            <w:r>
              <w:rPr>
                <w:sz w:val="20"/>
                <w:szCs w:val="20"/>
              </w:rPr>
              <w:t>ASPA 137 Norwest White Island</w:t>
            </w:r>
          </w:p>
          <w:p w14:paraId="648A95D8" w14:textId="77777777" w:rsidR="005A0E09" w:rsidRDefault="005A0E09" w:rsidP="005A0E09">
            <w:pPr>
              <w:pStyle w:val="Prrafodelista"/>
              <w:numPr>
                <w:ilvl w:val="0"/>
                <w:numId w:val="24"/>
              </w:numPr>
              <w:ind w:left="56" w:hanging="113"/>
              <w:contextualSpacing/>
              <w:rPr>
                <w:sz w:val="20"/>
                <w:szCs w:val="20"/>
              </w:rPr>
            </w:pPr>
            <w:r>
              <w:rPr>
                <w:sz w:val="20"/>
                <w:szCs w:val="20"/>
              </w:rPr>
              <w:t>ASPA 154 Botany Bay, Cape Geology</w:t>
            </w:r>
          </w:p>
          <w:p w14:paraId="33A3715D" w14:textId="77777777" w:rsidR="005A0E09" w:rsidRDefault="005A0E09" w:rsidP="005A0E09">
            <w:pPr>
              <w:pStyle w:val="Prrafodelista"/>
              <w:numPr>
                <w:ilvl w:val="0"/>
                <w:numId w:val="24"/>
              </w:numPr>
              <w:ind w:left="56" w:hanging="113"/>
              <w:contextualSpacing/>
              <w:rPr>
                <w:sz w:val="20"/>
                <w:szCs w:val="20"/>
              </w:rPr>
            </w:pPr>
            <w:r w:rsidRPr="006A387E">
              <w:rPr>
                <w:sz w:val="20"/>
                <w:szCs w:val="20"/>
              </w:rPr>
              <w:t>ASPA 161 Terra Nova Bay</w:t>
            </w:r>
          </w:p>
          <w:p w14:paraId="2040BF53" w14:textId="77777777" w:rsidR="005A0E09" w:rsidRDefault="005A0E09" w:rsidP="005A0E09">
            <w:pPr>
              <w:pStyle w:val="Prrafodelista"/>
              <w:numPr>
                <w:ilvl w:val="0"/>
                <w:numId w:val="24"/>
              </w:numPr>
              <w:ind w:left="56" w:hanging="113"/>
              <w:contextualSpacing/>
              <w:rPr>
                <w:sz w:val="20"/>
                <w:szCs w:val="20"/>
              </w:rPr>
            </w:pPr>
            <w:r w:rsidRPr="006A387E">
              <w:rPr>
                <w:sz w:val="20"/>
                <w:szCs w:val="20"/>
              </w:rPr>
              <w:t>ASPA 165 Edmonson Point</w:t>
            </w:r>
          </w:p>
          <w:p w14:paraId="6EF89204" w14:textId="77777777" w:rsidR="005A0E09" w:rsidRDefault="005A0E09" w:rsidP="005A0E09">
            <w:pPr>
              <w:pStyle w:val="Prrafodelista"/>
              <w:numPr>
                <w:ilvl w:val="0"/>
                <w:numId w:val="24"/>
              </w:numPr>
              <w:ind w:left="56" w:hanging="113"/>
              <w:contextualSpacing/>
              <w:rPr>
                <w:sz w:val="20"/>
                <w:szCs w:val="20"/>
              </w:rPr>
            </w:pPr>
            <w:r w:rsidRPr="006A387E">
              <w:rPr>
                <w:sz w:val="20"/>
                <w:szCs w:val="20"/>
              </w:rPr>
              <w:t>ASPA 173 Cape Washington</w:t>
            </w:r>
          </w:p>
          <w:p w14:paraId="51068C80" w14:textId="77777777" w:rsidR="005A0E09" w:rsidRPr="006A387E" w:rsidRDefault="005A0E09" w:rsidP="005A0E09">
            <w:pPr>
              <w:pStyle w:val="Prrafodelista"/>
              <w:numPr>
                <w:ilvl w:val="0"/>
                <w:numId w:val="24"/>
              </w:numPr>
              <w:ind w:left="56" w:hanging="113"/>
              <w:contextualSpacing/>
              <w:rPr>
                <w:sz w:val="20"/>
                <w:szCs w:val="20"/>
                <w:lang w:eastAsia="zh-CN"/>
              </w:rPr>
            </w:pPr>
            <w:r>
              <w:rPr>
                <w:sz w:val="20"/>
                <w:szCs w:val="20"/>
              </w:rPr>
              <w:t>ASPA XXX Inexpressible Island and South Bay.</w:t>
            </w:r>
          </w:p>
        </w:tc>
      </w:tr>
    </w:tbl>
    <w:p w14:paraId="223E034F" w14:textId="77777777" w:rsidR="005A0E09" w:rsidRPr="00700A31" w:rsidRDefault="005A0E09" w:rsidP="005A0E09">
      <w:pPr>
        <w:rPr>
          <w:sz w:val="20"/>
          <w:szCs w:val="20"/>
        </w:rPr>
      </w:pPr>
    </w:p>
    <w:p w14:paraId="5C53AA7B" w14:textId="77777777" w:rsidR="005A0E09" w:rsidRDefault="005A0E09" w:rsidP="00952E9F"/>
    <w:sectPr w:rsidR="005A0E09"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DED6" w14:textId="77777777" w:rsidR="00000000" w:rsidRDefault="005A0E09">
      <w:r>
        <w:separator/>
      </w:r>
    </w:p>
  </w:endnote>
  <w:endnote w:type="continuationSeparator" w:id="0">
    <w:p w14:paraId="4167A642" w14:textId="77777777" w:rsidR="00000000" w:rsidRDefault="005A0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3452" w14:textId="77777777" w:rsidR="00FA0B9F" w:rsidRDefault="005A0E09" w:rsidP="00CF5C82">
    <w:pPr>
      <w:framePr w:wrap="around" w:vAnchor="text" w:hAnchor="margin" w:xAlign="right" w:y="1"/>
    </w:pPr>
    <w:r>
      <w:fldChar w:fldCharType="begin"/>
    </w:r>
    <w:r>
      <w:instrText xml:space="preserve">PAGE  </w:instrText>
    </w:r>
    <w:r>
      <w:fldChar w:fldCharType="end"/>
    </w:r>
  </w:p>
  <w:p w14:paraId="317F0801" w14:textId="77777777" w:rsidR="00FA0B9F" w:rsidRDefault="005A0E0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78BC" w14:textId="77777777" w:rsidR="00FA0B9F" w:rsidRDefault="005A0E0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1CEBAE8" w14:textId="2A317D0F" w:rsidR="00FA0B9F" w:rsidRDefault="005A0E09" w:rsidP="005A0E0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E1DF" w14:textId="77777777" w:rsidR="00E311C9" w:rsidRDefault="005A0E0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ECC0CB8" w14:textId="77777777" w:rsidR="00E311C9" w:rsidRDefault="005A0E0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8C7B" w14:textId="77777777" w:rsidR="00000000" w:rsidRDefault="005A0E09">
      <w:r>
        <w:separator/>
      </w:r>
    </w:p>
  </w:footnote>
  <w:footnote w:type="continuationSeparator" w:id="0">
    <w:p w14:paraId="4702C5A9" w14:textId="77777777" w:rsidR="00000000" w:rsidRDefault="005A0E09">
      <w:r>
        <w:continuationSeparator/>
      </w:r>
    </w:p>
  </w:footnote>
  <w:footnote w:id="1">
    <w:p w14:paraId="4011B303" w14:textId="77777777" w:rsidR="005A0E09" w:rsidRPr="00CA37D6" w:rsidRDefault="005A0E09" w:rsidP="005A0E09">
      <w:pPr>
        <w:rPr>
          <w:sz w:val="18"/>
          <w:szCs w:val="22"/>
        </w:rPr>
      </w:pPr>
      <w:r w:rsidRPr="00CA37D6">
        <w:rPr>
          <w:sz w:val="20"/>
        </w:rPr>
        <w:t>The MPA is designated to contribute to the following specific objectives, in line with Article II of the CAMLR Convention</w:t>
      </w:r>
      <w:r>
        <w:rPr>
          <w:sz w:val="20"/>
        </w:rPr>
        <w:t>:</w:t>
      </w:r>
      <w:r w:rsidRPr="00CA37D6">
        <w:rPr>
          <w:sz w:val="18"/>
          <w:szCs w:val="22"/>
        </w:rPr>
        <w:t xml:space="preserve"> </w:t>
      </w:r>
    </w:p>
    <w:p w14:paraId="020D453F" w14:textId="77777777" w:rsidR="005A0E09" w:rsidRPr="00DD714D" w:rsidRDefault="005A0E09" w:rsidP="005A0E09">
      <w:pPr>
        <w:pStyle w:val="Prrafodelista"/>
        <w:numPr>
          <w:ilvl w:val="0"/>
          <w:numId w:val="32"/>
        </w:numPr>
        <w:rPr>
          <w:sz w:val="20"/>
          <w:szCs w:val="22"/>
        </w:rPr>
      </w:pPr>
      <w:r w:rsidRPr="00DD714D">
        <w:rPr>
          <w:sz w:val="20"/>
          <w:szCs w:val="22"/>
        </w:rPr>
        <w:t>To conserve natural ecological structure, dynamics and function throughout the Ross Sea region at all levels of biological organisation, by protecting habitats that are important to native mammals, birds, fishes and invertebrates;</w:t>
      </w:r>
    </w:p>
    <w:p w14:paraId="52263C7B" w14:textId="77777777" w:rsidR="005A0E09" w:rsidRPr="00DD714D" w:rsidRDefault="005A0E09" w:rsidP="005A0E09">
      <w:pPr>
        <w:pStyle w:val="Prrafodelista"/>
        <w:numPr>
          <w:ilvl w:val="0"/>
          <w:numId w:val="32"/>
        </w:numPr>
        <w:rPr>
          <w:sz w:val="20"/>
          <w:szCs w:val="22"/>
        </w:rPr>
      </w:pPr>
      <w:r w:rsidRPr="00DD714D">
        <w:rPr>
          <w:sz w:val="20"/>
          <w:szCs w:val="22"/>
        </w:rPr>
        <w:t>To provide reference areas for monitoring natural variability and long-term change, and in particular a Special Research Zone, in which fishing is limited to better gauge the ecosystem effects of climate change and fishing, to provide other opportunities for better understanding the Antarctic marine ecosystem, to underpin the Antarctic toothfish stock assessment by contributing to a robust tagging program, and to improve understanding of toothfish distribution and movement within the Ross Sea region;</w:t>
      </w:r>
    </w:p>
    <w:p w14:paraId="1FEB162D" w14:textId="77777777" w:rsidR="005A0E09" w:rsidRPr="00DD714D" w:rsidRDefault="005A0E09" w:rsidP="005A0E09">
      <w:pPr>
        <w:pStyle w:val="Prrafodelista"/>
        <w:numPr>
          <w:ilvl w:val="0"/>
          <w:numId w:val="32"/>
        </w:numPr>
        <w:rPr>
          <w:sz w:val="20"/>
          <w:szCs w:val="22"/>
        </w:rPr>
      </w:pPr>
      <w:r w:rsidRPr="00DD714D">
        <w:rPr>
          <w:sz w:val="20"/>
          <w:szCs w:val="18"/>
        </w:rPr>
        <w:t xml:space="preserve">To promote research and other scientific activities (including monitoring) focused on marine living resources; </w:t>
      </w:r>
    </w:p>
    <w:p w14:paraId="18BE7E83" w14:textId="77777777" w:rsidR="005A0E09" w:rsidRPr="00DD714D" w:rsidRDefault="005A0E09" w:rsidP="005A0E09">
      <w:pPr>
        <w:pStyle w:val="Prrafodelista"/>
        <w:numPr>
          <w:ilvl w:val="0"/>
          <w:numId w:val="32"/>
        </w:numPr>
        <w:rPr>
          <w:sz w:val="20"/>
          <w:szCs w:val="22"/>
        </w:rPr>
      </w:pPr>
      <w:r w:rsidRPr="00DD714D">
        <w:rPr>
          <w:sz w:val="20"/>
          <w:szCs w:val="18"/>
        </w:rPr>
        <w:t>To conserve biodiversity by protecting representative portions of benthic and pelagic marine environments in areas where fewer data exist to define more specific protection objectives;</w:t>
      </w:r>
    </w:p>
    <w:p w14:paraId="5F0829FA" w14:textId="77777777" w:rsidR="005A0E09" w:rsidRPr="00DD714D" w:rsidRDefault="005A0E09" w:rsidP="005A0E09">
      <w:pPr>
        <w:pStyle w:val="Prrafodelista"/>
        <w:numPr>
          <w:ilvl w:val="0"/>
          <w:numId w:val="32"/>
        </w:numPr>
        <w:rPr>
          <w:sz w:val="20"/>
          <w:szCs w:val="22"/>
        </w:rPr>
      </w:pPr>
      <w:r w:rsidRPr="00DD714D">
        <w:rPr>
          <w:sz w:val="20"/>
          <w:szCs w:val="18"/>
        </w:rPr>
        <w:t>To protect large-scale ecosystem processes responsible for the productivity and functional integrity of the ecosystem;</w:t>
      </w:r>
    </w:p>
    <w:p w14:paraId="573F331C" w14:textId="77777777" w:rsidR="005A0E09" w:rsidRPr="00DD714D" w:rsidRDefault="005A0E09" w:rsidP="005A0E09">
      <w:pPr>
        <w:pStyle w:val="Textonotapie"/>
        <w:numPr>
          <w:ilvl w:val="0"/>
          <w:numId w:val="32"/>
        </w:numPr>
        <w:rPr>
          <w:sz w:val="20"/>
          <w:szCs w:val="18"/>
        </w:rPr>
      </w:pPr>
      <w:r w:rsidRPr="00DD714D">
        <w:rPr>
          <w:sz w:val="20"/>
          <w:szCs w:val="18"/>
        </w:rPr>
        <w:t>To protect core distributions of trophically dominant pelagic prey species;</w:t>
      </w:r>
    </w:p>
    <w:p w14:paraId="2E98AA77" w14:textId="77777777" w:rsidR="005A0E09" w:rsidRPr="00DD714D" w:rsidRDefault="005A0E09" w:rsidP="005A0E09">
      <w:pPr>
        <w:pStyle w:val="Textonotapie"/>
        <w:numPr>
          <w:ilvl w:val="0"/>
          <w:numId w:val="32"/>
        </w:numPr>
        <w:rPr>
          <w:sz w:val="20"/>
          <w:szCs w:val="18"/>
        </w:rPr>
      </w:pPr>
      <w:r w:rsidRPr="00DD714D">
        <w:rPr>
          <w:sz w:val="20"/>
          <w:szCs w:val="18"/>
        </w:rPr>
        <w:t>To protect core foraging areas for land-based top predators or those that may experience direct trophic competition from fisheries;</w:t>
      </w:r>
    </w:p>
    <w:p w14:paraId="31D06349" w14:textId="77777777" w:rsidR="005A0E09" w:rsidRPr="00DD714D" w:rsidRDefault="005A0E09" w:rsidP="005A0E09">
      <w:pPr>
        <w:pStyle w:val="Textonotapie"/>
        <w:numPr>
          <w:ilvl w:val="0"/>
          <w:numId w:val="32"/>
        </w:numPr>
        <w:rPr>
          <w:sz w:val="20"/>
          <w:szCs w:val="18"/>
        </w:rPr>
      </w:pPr>
      <w:r w:rsidRPr="00DD714D">
        <w:rPr>
          <w:sz w:val="20"/>
          <w:szCs w:val="18"/>
        </w:rPr>
        <w:t>To protect coastal locations of particular ecological importance;</w:t>
      </w:r>
    </w:p>
    <w:p w14:paraId="227DA902" w14:textId="77777777" w:rsidR="005A0E09" w:rsidRPr="00DD714D" w:rsidRDefault="005A0E09" w:rsidP="005A0E09">
      <w:pPr>
        <w:pStyle w:val="Textonotapie"/>
        <w:numPr>
          <w:ilvl w:val="0"/>
          <w:numId w:val="32"/>
        </w:numPr>
        <w:rPr>
          <w:sz w:val="20"/>
          <w:szCs w:val="18"/>
        </w:rPr>
      </w:pPr>
      <w:r w:rsidRPr="00DD714D">
        <w:rPr>
          <w:sz w:val="20"/>
          <w:szCs w:val="18"/>
        </w:rPr>
        <w:t>To protect areas of importance in the life cycle of Antarctic toothfish;</w:t>
      </w:r>
    </w:p>
    <w:p w14:paraId="49C98220" w14:textId="77777777" w:rsidR="005A0E09" w:rsidRPr="00DD714D" w:rsidRDefault="005A0E09" w:rsidP="005A0E09">
      <w:pPr>
        <w:pStyle w:val="Textonotapie"/>
        <w:numPr>
          <w:ilvl w:val="0"/>
          <w:numId w:val="32"/>
        </w:numPr>
        <w:rPr>
          <w:sz w:val="20"/>
          <w:szCs w:val="18"/>
        </w:rPr>
      </w:pPr>
      <w:r w:rsidRPr="00DD714D">
        <w:rPr>
          <w:sz w:val="20"/>
          <w:szCs w:val="18"/>
        </w:rPr>
        <w:t>To protect known rare or vulnerable benthic habitats; and</w:t>
      </w:r>
    </w:p>
    <w:p w14:paraId="5291DBA4" w14:textId="77777777" w:rsidR="005A0E09" w:rsidRDefault="005A0E09" w:rsidP="005A0E09">
      <w:pPr>
        <w:pStyle w:val="Prrafodelista"/>
        <w:numPr>
          <w:ilvl w:val="0"/>
          <w:numId w:val="32"/>
        </w:numPr>
      </w:pPr>
      <w:r w:rsidRPr="00DD714D">
        <w:rPr>
          <w:sz w:val="20"/>
          <w:szCs w:val="18"/>
        </w:rPr>
        <w:t>To promote research and scientific understanding of krill, including in the Krill Research Zone in the north western Ross Sea region.</w:t>
      </w:r>
    </w:p>
  </w:footnote>
  <w:footnote w:id="2">
    <w:p w14:paraId="40A41080" w14:textId="77777777" w:rsidR="005A0E09" w:rsidRDefault="005A0E09" w:rsidP="005A0E09">
      <w:pPr>
        <w:pStyle w:val="Textonotapie"/>
      </w:pPr>
      <w:r w:rsidRPr="004027E0">
        <w:rPr>
          <w:rStyle w:val="Refdenotaalpie"/>
        </w:rPr>
        <w:footnoteRef/>
      </w:r>
      <w:r w:rsidRPr="004027E0">
        <w:t xml:space="preserve"> </w:t>
      </w:r>
      <w:r w:rsidRPr="008233B7">
        <w:rPr>
          <w:sz w:val="20"/>
        </w:rPr>
        <w:t>CEP measure identified in WP48 and further refined through informal intersessional discussions and identified.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32244" w14:paraId="7BF18768" w14:textId="77777777" w:rsidTr="00490760">
      <w:trPr>
        <w:trHeight w:val="344"/>
        <w:jc w:val="center"/>
      </w:trPr>
      <w:tc>
        <w:tcPr>
          <w:tcW w:w="5495" w:type="dxa"/>
        </w:tcPr>
        <w:p w14:paraId="61B481DE" w14:textId="77777777" w:rsidR="00DB7C09" w:rsidRDefault="005A0E09" w:rsidP="00F968D4"/>
      </w:tc>
      <w:tc>
        <w:tcPr>
          <w:tcW w:w="4253" w:type="dxa"/>
          <w:gridSpan w:val="2"/>
        </w:tcPr>
        <w:p w14:paraId="64E71EDA" w14:textId="77777777" w:rsidR="00DB7C09" w:rsidRPr="00BD47E4" w:rsidRDefault="005A0E09" w:rsidP="002A07BC">
          <w:pPr>
            <w:jc w:val="right"/>
            <w:rPr>
              <w:b/>
              <w:sz w:val="32"/>
              <w:szCs w:val="32"/>
            </w:rPr>
          </w:pPr>
          <w:bookmarkStart w:id="2" w:name="type"/>
          <w:r w:rsidRPr="00BD47E4">
            <w:rPr>
              <w:b/>
              <w:sz w:val="32"/>
              <w:szCs w:val="32"/>
            </w:rPr>
            <w:t>WP</w:t>
          </w:r>
          <w:bookmarkEnd w:id="2"/>
        </w:p>
      </w:tc>
      <w:tc>
        <w:tcPr>
          <w:tcW w:w="1524" w:type="dxa"/>
          <w:gridSpan w:val="2"/>
        </w:tcPr>
        <w:p w14:paraId="11977F0B" w14:textId="77777777" w:rsidR="00DB7C09" w:rsidRPr="00BD47E4" w:rsidRDefault="005A0E09" w:rsidP="00DB7C09">
          <w:pPr>
            <w:rPr>
              <w:b/>
              <w:sz w:val="32"/>
              <w:szCs w:val="32"/>
            </w:rPr>
          </w:pPr>
          <w:bookmarkStart w:id="3" w:name="number"/>
          <w:r w:rsidRPr="00BD47E4">
            <w:rPr>
              <w:b/>
              <w:sz w:val="32"/>
              <w:szCs w:val="32"/>
            </w:rPr>
            <w:t>21</w:t>
          </w:r>
          <w:bookmarkEnd w:id="3"/>
        </w:p>
      </w:tc>
    </w:tr>
    <w:tr w:rsidR="00B32244" w14:paraId="1063EFA5" w14:textId="77777777" w:rsidTr="00490760">
      <w:trPr>
        <w:trHeight w:val="2165"/>
        <w:jc w:val="center"/>
      </w:trPr>
      <w:tc>
        <w:tcPr>
          <w:tcW w:w="5495" w:type="dxa"/>
        </w:tcPr>
        <w:p w14:paraId="7BE4ACBE" w14:textId="77777777" w:rsidR="00490760" w:rsidRPr="00EE4D48" w:rsidRDefault="005A0E09" w:rsidP="002A07BC">
          <w:pPr>
            <w:rPr>
              <w:b/>
              <w:sz w:val="28"/>
              <w:szCs w:val="28"/>
            </w:rPr>
          </w:pPr>
          <w:r>
            <w:rPr>
              <w:b/>
              <w:noProof/>
              <w:sz w:val="28"/>
              <w:szCs w:val="28"/>
            </w:rPr>
            <w:drawing>
              <wp:inline distT="0" distB="0" distL="0" distR="0" wp14:anchorId="6E830242" wp14:editId="32FA842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590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EC400EB" w14:textId="77777777" w:rsidR="00490760" w:rsidRPr="00FE5146" w:rsidRDefault="005A0E09" w:rsidP="00490760">
          <w:pPr>
            <w:jc w:val="right"/>
            <w:rPr>
              <w:sz w:val="144"/>
              <w:szCs w:val="144"/>
            </w:rPr>
          </w:pPr>
          <w:r w:rsidRPr="00FE5146">
            <w:rPr>
              <w:sz w:val="144"/>
              <w:szCs w:val="144"/>
            </w:rPr>
            <w:t>ENG</w:t>
          </w:r>
        </w:p>
      </w:tc>
    </w:tr>
    <w:tr w:rsidR="00B32244" w14:paraId="7D3A3078" w14:textId="77777777" w:rsidTr="00BD47E4">
      <w:trPr>
        <w:trHeight w:val="409"/>
        <w:jc w:val="center"/>
      </w:trPr>
      <w:tc>
        <w:tcPr>
          <w:tcW w:w="9039" w:type="dxa"/>
          <w:gridSpan w:val="2"/>
        </w:tcPr>
        <w:p w14:paraId="64ED503A" w14:textId="77777777" w:rsidR="00BD47E4" w:rsidRDefault="005A0E09" w:rsidP="002C30DA">
          <w:pPr>
            <w:jc w:val="right"/>
          </w:pPr>
          <w:r>
            <w:t>Agenda Item:</w:t>
          </w:r>
        </w:p>
      </w:tc>
      <w:tc>
        <w:tcPr>
          <w:tcW w:w="1843" w:type="dxa"/>
          <w:gridSpan w:val="2"/>
        </w:tcPr>
        <w:p w14:paraId="7F2B9F40" w14:textId="77777777" w:rsidR="00BD47E4" w:rsidRDefault="005A0E09" w:rsidP="002C30DA">
          <w:pPr>
            <w:jc w:val="right"/>
          </w:pPr>
          <w:bookmarkStart w:id="4" w:name="agenda"/>
          <w:r>
            <w:t>CEP 9d</w:t>
          </w:r>
          <w:bookmarkEnd w:id="4"/>
        </w:p>
      </w:tc>
      <w:tc>
        <w:tcPr>
          <w:tcW w:w="390" w:type="dxa"/>
        </w:tcPr>
        <w:p w14:paraId="478966D1" w14:textId="77777777" w:rsidR="00BD47E4" w:rsidRDefault="005A0E09" w:rsidP="00387A65">
          <w:pPr>
            <w:jc w:val="right"/>
          </w:pPr>
        </w:p>
      </w:tc>
    </w:tr>
    <w:tr w:rsidR="00B32244" w14:paraId="6B3FD5BD" w14:textId="77777777" w:rsidTr="00BD47E4">
      <w:trPr>
        <w:trHeight w:val="397"/>
        <w:jc w:val="center"/>
      </w:trPr>
      <w:tc>
        <w:tcPr>
          <w:tcW w:w="9039" w:type="dxa"/>
          <w:gridSpan w:val="2"/>
        </w:tcPr>
        <w:p w14:paraId="3C6275E9" w14:textId="77777777" w:rsidR="00BD47E4" w:rsidRDefault="005A0E09" w:rsidP="002C30DA">
          <w:pPr>
            <w:jc w:val="right"/>
          </w:pPr>
          <w:r>
            <w:t>Presented by:</w:t>
          </w:r>
        </w:p>
      </w:tc>
      <w:tc>
        <w:tcPr>
          <w:tcW w:w="1843" w:type="dxa"/>
          <w:gridSpan w:val="2"/>
        </w:tcPr>
        <w:p w14:paraId="28525179" w14:textId="77777777" w:rsidR="00BD47E4" w:rsidRDefault="005A0E09" w:rsidP="002C30DA">
          <w:pPr>
            <w:jc w:val="right"/>
          </w:pPr>
          <w:bookmarkStart w:id="5" w:name="party"/>
          <w:r>
            <w:t>New Zealand</w:t>
          </w:r>
          <w:bookmarkEnd w:id="5"/>
        </w:p>
      </w:tc>
      <w:tc>
        <w:tcPr>
          <w:tcW w:w="390" w:type="dxa"/>
        </w:tcPr>
        <w:p w14:paraId="790C6306" w14:textId="77777777" w:rsidR="00BD47E4" w:rsidRDefault="005A0E09" w:rsidP="00387A65">
          <w:pPr>
            <w:jc w:val="right"/>
          </w:pPr>
        </w:p>
      </w:tc>
    </w:tr>
    <w:tr w:rsidR="00B32244" w14:paraId="3C476429" w14:textId="77777777" w:rsidTr="00BD47E4">
      <w:trPr>
        <w:trHeight w:val="409"/>
        <w:jc w:val="center"/>
      </w:trPr>
      <w:tc>
        <w:tcPr>
          <w:tcW w:w="9039" w:type="dxa"/>
          <w:gridSpan w:val="2"/>
        </w:tcPr>
        <w:p w14:paraId="0AF7978B" w14:textId="77777777" w:rsidR="00BD47E4" w:rsidRDefault="005A0E09" w:rsidP="002C30DA">
          <w:pPr>
            <w:jc w:val="right"/>
          </w:pPr>
          <w:r>
            <w:t>Original:</w:t>
          </w:r>
        </w:p>
      </w:tc>
      <w:tc>
        <w:tcPr>
          <w:tcW w:w="1843" w:type="dxa"/>
          <w:gridSpan w:val="2"/>
        </w:tcPr>
        <w:p w14:paraId="577D67EA" w14:textId="77777777" w:rsidR="00BD47E4" w:rsidRDefault="005A0E09" w:rsidP="002C30DA">
          <w:pPr>
            <w:jc w:val="right"/>
          </w:pPr>
          <w:bookmarkStart w:id="6" w:name="language"/>
          <w:r>
            <w:t>English</w:t>
          </w:r>
          <w:bookmarkEnd w:id="6"/>
        </w:p>
      </w:tc>
      <w:tc>
        <w:tcPr>
          <w:tcW w:w="390" w:type="dxa"/>
        </w:tcPr>
        <w:p w14:paraId="01087399" w14:textId="77777777" w:rsidR="00BD47E4" w:rsidRDefault="005A0E09" w:rsidP="00387A65">
          <w:pPr>
            <w:jc w:val="right"/>
          </w:pPr>
        </w:p>
      </w:tc>
    </w:tr>
    <w:tr w:rsidR="00B32244" w14:paraId="1247D608" w14:textId="77777777" w:rsidTr="00BD47E4">
      <w:trPr>
        <w:trHeight w:val="409"/>
        <w:jc w:val="center"/>
      </w:trPr>
      <w:tc>
        <w:tcPr>
          <w:tcW w:w="9039" w:type="dxa"/>
          <w:gridSpan w:val="2"/>
        </w:tcPr>
        <w:p w14:paraId="19DA5FDA" w14:textId="77777777" w:rsidR="0097629D" w:rsidRDefault="005A0E09" w:rsidP="002C30DA">
          <w:pPr>
            <w:jc w:val="right"/>
          </w:pPr>
          <w:r>
            <w:t>Submitted:</w:t>
          </w:r>
        </w:p>
      </w:tc>
      <w:tc>
        <w:tcPr>
          <w:tcW w:w="1843" w:type="dxa"/>
          <w:gridSpan w:val="2"/>
        </w:tcPr>
        <w:p w14:paraId="699BDCCC" w14:textId="77777777" w:rsidR="0097629D" w:rsidRDefault="005A0E09" w:rsidP="0097629D">
          <w:pPr>
            <w:jc w:val="right"/>
          </w:pPr>
          <w:bookmarkStart w:id="7" w:name="date_submission"/>
          <w:r>
            <w:t>29/4/2021</w:t>
          </w:r>
          <w:bookmarkEnd w:id="7"/>
        </w:p>
      </w:tc>
      <w:tc>
        <w:tcPr>
          <w:tcW w:w="390" w:type="dxa"/>
        </w:tcPr>
        <w:p w14:paraId="1B727D91" w14:textId="77777777" w:rsidR="0097629D" w:rsidRDefault="005A0E09" w:rsidP="00387A65">
          <w:pPr>
            <w:jc w:val="right"/>
          </w:pPr>
        </w:p>
      </w:tc>
    </w:tr>
  </w:tbl>
  <w:p w14:paraId="68EAA6C7" w14:textId="77777777" w:rsidR="00AE5DD0" w:rsidRDefault="005A0E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32244" w14:paraId="5F14BFC0" w14:textId="77777777">
      <w:trPr>
        <w:trHeight w:val="354"/>
        <w:jc w:val="center"/>
      </w:trPr>
      <w:tc>
        <w:tcPr>
          <w:tcW w:w="9694" w:type="dxa"/>
        </w:tcPr>
        <w:p w14:paraId="23D33F41" w14:textId="7D319381" w:rsidR="00AE5DD0" w:rsidRPr="00BD47E4" w:rsidRDefault="005A0E09" w:rsidP="00C26F2D">
          <w:pPr>
            <w:jc w:val="right"/>
            <w:rPr>
              <w:b/>
              <w:sz w:val="32"/>
              <w:szCs w:val="32"/>
            </w:rPr>
          </w:pPr>
          <w:r>
            <w:rPr>
              <w:b/>
              <w:sz w:val="32"/>
              <w:szCs w:val="32"/>
            </w:rPr>
            <w:t>WP</w:t>
          </w:r>
        </w:p>
      </w:tc>
      <w:tc>
        <w:tcPr>
          <w:tcW w:w="1332" w:type="dxa"/>
        </w:tcPr>
        <w:p w14:paraId="7A2E58E2" w14:textId="3D3920DA" w:rsidR="00AE5DD0" w:rsidRPr="00BD47E4" w:rsidRDefault="005A0E09" w:rsidP="00080F4C">
          <w:pPr>
            <w:rPr>
              <w:b/>
              <w:sz w:val="32"/>
              <w:szCs w:val="32"/>
            </w:rPr>
          </w:pPr>
          <w:r>
            <w:rPr>
              <w:b/>
              <w:sz w:val="32"/>
              <w:szCs w:val="32"/>
            </w:rPr>
            <w:t>21</w:t>
          </w:r>
        </w:p>
      </w:tc>
    </w:tr>
  </w:tbl>
  <w:p w14:paraId="3A0D0716" w14:textId="77777777" w:rsidR="00AE5DD0" w:rsidRDefault="005A0E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C5F55"/>
    <w:multiLevelType w:val="hybridMultilevel"/>
    <w:tmpl w:val="0ED42EEE"/>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A580FAE"/>
    <w:multiLevelType w:val="hybridMultilevel"/>
    <w:tmpl w:val="694610E4"/>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856221"/>
    <w:multiLevelType w:val="hybridMultilevel"/>
    <w:tmpl w:val="B2E46AD2"/>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4400FD6"/>
    <w:multiLevelType w:val="hybridMultilevel"/>
    <w:tmpl w:val="6736D80A"/>
    <w:lvl w:ilvl="0" w:tplc="1409000F">
      <w:start w:val="1"/>
      <w:numFmt w:val="decimal"/>
      <w:lvlText w:val="%1."/>
      <w:lvlJc w:val="left"/>
      <w:pPr>
        <w:ind w:left="720" w:hanging="360"/>
      </w:pPr>
      <w:rPr>
        <w:rFonts w:cs="Times New Roman" w:hint="default"/>
      </w:rPr>
    </w:lvl>
    <w:lvl w:ilvl="1" w:tplc="14090019">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5" w15:restartNumberingAfterBreak="0">
    <w:nsid w:val="157263DE"/>
    <w:multiLevelType w:val="hybridMultilevel"/>
    <w:tmpl w:val="11008FD8"/>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C4C4395"/>
    <w:multiLevelType w:val="hybridMultilevel"/>
    <w:tmpl w:val="FC9A21D2"/>
    <w:lvl w:ilvl="0" w:tplc="1409001B">
      <w:start w:val="1"/>
      <w:numFmt w:val="lowerRoman"/>
      <w:lvlText w:val="%1."/>
      <w:lvlJc w:val="right"/>
      <w:pPr>
        <w:ind w:left="720" w:hanging="360"/>
      </w:pPr>
      <w:rPr>
        <w:rFonts w:cs="Times New Roman"/>
      </w:rPr>
    </w:lvl>
    <w:lvl w:ilvl="1" w:tplc="1409001B">
      <w:start w:val="1"/>
      <w:numFmt w:val="lowerRoman"/>
      <w:lvlText w:val="%2."/>
      <w:lvlJc w:val="righ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7" w15:restartNumberingAfterBreak="0">
    <w:nsid w:val="2649068C"/>
    <w:multiLevelType w:val="hybridMultilevel"/>
    <w:tmpl w:val="A6CAFDBA"/>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86577EA"/>
    <w:multiLevelType w:val="hybridMultilevel"/>
    <w:tmpl w:val="21A63D98"/>
    <w:lvl w:ilvl="0" w:tplc="9AEE2734">
      <w:start w:val="1"/>
      <w:numFmt w:val="bullet"/>
      <w:pStyle w:val="ATSBullet1"/>
      <w:lvlText w:val=""/>
      <w:lvlJc w:val="left"/>
      <w:pPr>
        <w:tabs>
          <w:tab w:val="num" w:pos="360"/>
        </w:tabs>
        <w:ind w:left="360" w:hanging="360"/>
      </w:pPr>
      <w:rPr>
        <w:rFonts w:ascii="Symbol" w:hAnsi="Symbol" w:hint="default"/>
        <w:color w:val="auto"/>
      </w:rPr>
    </w:lvl>
    <w:lvl w:ilvl="1" w:tplc="81F63CDA" w:tentative="1">
      <w:start w:val="1"/>
      <w:numFmt w:val="bullet"/>
      <w:lvlText w:val="o"/>
      <w:lvlJc w:val="left"/>
      <w:pPr>
        <w:tabs>
          <w:tab w:val="num" w:pos="1440"/>
        </w:tabs>
        <w:ind w:left="1440" w:hanging="360"/>
      </w:pPr>
      <w:rPr>
        <w:rFonts w:ascii="Courier New" w:hAnsi="Courier New" w:cs="Courier New" w:hint="default"/>
      </w:rPr>
    </w:lvl>
    <w:lvl w:ilvl="2" w:tplc="CD4A2C8C" w:tentative="1">
      <w:start w:val="1"/>
      <w:numFmt w:val="bullet"/>
      <w:lvlText w:val=""/>
      <w:lvlJc w:val="left"/>
      <w:pPr>
        <w:tabs>
          <w:tab w:val="num" w:pos="2160"/>
        </w:tabs>
        <w:ind w:left="2160" w:hanging="360"/>
      </w:pPr>
      <w:rPr>
        <w:rFonts w:ascii="Wingdings" w:hAnsi="Wingdings" w:hint="default"/>
      </w:rPr>
    </w:lvl>
    <w:lvl w:ilvl="3" w:tplc="51C45BEE" w:tentative="1">
      <w:start w:val="1"/>
      <w:numFmt w:val="bullet"/>
      <w:lvlText w:val=""/>
      <w:lvlJc w:val="left"/>
      <w:pPr>
        <w:tabs>
          <w:tab w:val="num" w:pos="2880"/>
        </w:tabs>
        <w:ind w:left="2880" w:hanging="360"/>
      </w:pPr>
      <w:rPr>
        <w:rFonts w:ascii="Symbol" w:hAnsi="Symbol" w:hint="default"/>
      </w:rPr>
    </w:lvl>
    <w:lvl w:ilvl="4" w:tplc="53E273CE" w:tentative="1">
      <w:start w:val="1"/>
      <w:numFmt w:val="bullet"/>
      <w:lvlText w:val="o"/>
      <w:lvlJc w:val="left"/>
      <w:pPr>
        <w:tabs>
          <w:tab w:val="num" w:pos="3600"/>
        </w:tabs>
        <w:ind w:left="3600" w:hanging="360"/>
      </w:pPr>
      <w:rPr>
        <w:rFonts w:ascii="Courier New" w:hAnsi="Courier New" w:cs="Courier New" w:hint="default"/>
      </w:rPr>
    </w:lvl>
    <w:lvl w:ilvl="5" w:tplc="FF1EDD1E" w:tentative="1">
      <w:start w:val="1"/>
      <w:numFmt w:val="bullet"/>
      <w:lvlText w:val=""/>
      <w:lvlJc w:val="left"/>
      <w:pPr>
        <w:tabs>
          <w:tab w:val="num" w:pos="4320"/>
        </w:tabs>
        <w:ind w:left="4320" w:hanging="360"/>
      </w:pPr>
      <w:rPr>
        <w:rFonts w:ascii="Wingdings" w:hAnsi="Wingdings" w:hint="default"/>
      </w:rPr>
    </w:lvl>
    <w:lvl w:ilvl="6" w:tplc="8AE01FF0" w:tentative="1">
      <w:start w:val="1"/>
      <w:numFmt w:val="bullet"/>
      <w:lvlText w:val=""/>
      <w:lvlJc w:val="left"/>
      <w:pPr>
        <w:tabs>
          <w:tab w:val="num" w:pos="5040"/>
        </w:tabs>
        <w:ind w:left="5040" w:hanging="360"/>
      </w:pPr>
      <w:rPr>
        <w:rFonts w:ascii="Symbol" w:hAnsi="Symbol" w:hint="default"/>
      </w:rPr>
    </w:lvl>
    <w:lvl w:ilvl="7" w:tplc="82BCD894" w:tentative="1">
      <w:start w:val="1"/>
      <w:numFmt w:val="bullet"/>
      <w:lvlText w:val="o"/>
      <w:lvlJc w:val="left"/>
      <w:pPr>
        <w:tabs>
          <w:tab w:val="num" w:pos="5760"/>
        </w:tabs>
        <w:ind w:left="5760" w:hanging="360"/>
      </w:pPr>
      <w:rPr>
        <w:rFonts w:ascii="Courier New" w:hAnsi="Courier New" w:cs="Courier New" w:hint="default"/>
      </w:rPr>
    </w:lvl>
    <w:lvl w:ilvl="8" w:tplc="404CEDC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223746"/>
    <w:multiLevelType w:val="hybridMultilevel"/>
    <w:tmpl w:val="6164A988"/>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9247C2C"/>
    <w:multiLevelType w:val="hybridMultilevel"/>
    <w:tmpl w:val="00E818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9D35C15"/>
    <w:multiLevelType w:val="hybridMultilevel"/>
    <w:tmpl w:val="A8A2E45C"/>
    <w:lvl w:ilvl="0" w:tplc="8DCAF7F8">
      <w:start w:val="1"/>
      <w:numFmt w:val="decimal"/>
      <w:lvlText w:val="%1)"/>
      <w:lvlJc w:val="left"/>
      <w:pPr>
        <w:tabs>
          <w:tab w:val="num" w:pos="340"/>
        </w:tabs>
        <w:ind w:left="340" w:hanging="340"/>
      </w:pPr>
      <w:rPr>
        <w:rFonts w:hint="default"/>
      </w:rPr>
    </w:lvl>
    <w:lvl w:ilvl="1" w:tplc="7DA82C0E" w:tentative="1">
      <w:start w:val="1"/>
      <w:numFmt w:val="lowerLetter"/>
      <w:lvlText w:val="%2."/>
      <w:lvlJc w:val="left"/>
      <w:pPr>
        <w:tabs>
          <w:tab w:val="num" w:pos="1440"/>
        </w:tabs>
        <w:ind w:left="1440" w:hanging="360"/>
      </w:pPr>
    </w:lvl>
    <w:lvl w:ilvl="2" w:tplc="66EE25AA" w:tentative="1">
      <w:start w:val="1"/>
      <w:numFmt w:val="lowerRoman"/>
      <w:lvlText w:val="%3."/>
      <w:lvlJc w:val="right"/>
      <w:pPr>
        <w:tabs>
          <w:tab w:val="num" w:pos="2160"/>
        </w:tabs>
        <w:ind w:left="2160" w:hanging="180"/>
      </w:pPr>
    </w:lvl>
    <w:lvl w:ilvl="3" w:tplc="465EE64A" w:tentative="1">
      <w:start w:val="1"/>
      <w:numFmt w:val="decimal"/>
      <w:lvlText w:val="%4."/>
      <w:lvlJc w:val="left"/>
      <w:pPr>
        <w:tabs>
          <w:tab w:val="num" w:pos="2880"/>
        </w:tabs>
        <w:ind w:left="2880" w:hanging="360"/>
      </w:pPr>
    </w:lvl>
    <w:lvl w:ilvl="4" w:tplc="27369C32" w:tentative="1">
      <w:start w:val="1"/>
      <w:numFmt w:val="lowerLetter"/>
      <w:lvlText w:val="%5."/>
      <w:lvlJc w:val="left"/>
      <w:pPr>
        <w:tabs>
          <w:tab w:val="num" w:pos="3600"/>
        </w:tabs>
        <w:ind w:left="3600" w:hanging="360"/>
      </w:pPr>
    </w:lvl>
    <w:lvl w:ilvl="5" w:tplc="A59E127C" w:tentative="1">
      <w:start w:val="1"/>
      <w:numFmt w:val="lowerRoman"/>
      <w:lvlText w:val="%6."/>
      <w:lvlJc w:val="right"/>
      <w:pPr>
        <w:tabs>
          <w:tab w:val="num" w:pos="4320"/>
        </w:tabs>
        <w:ind w:left="4320" w:hanging="180"/>
      </w:pPr>
    </w:lvl>
    <w:lvl w:ilvl="6" w:tplc="898C26D8" w:tentative="1">
      <w:start w:val="1"/>
      <w:numFmt w:val="decimal"/>
      <w:lvlText w:val="%7."/>
      <w:lvlJc w:val="left"/>
      <w:pPr>
        <w:tabs>
          <w:tab w:val="num" w:pos="5040"/>
        </w:tabs>
        <w:ind w:left="5040" w:hanging="360"/>
      </w:pPr>
    </w:lvl>
    <w:lvl w:ilvl="7" w:tplc="B9D6D100" w:tentative="1">
      <w:start w:val="1"/>
      <w:numFmt w:val="lowerLetter"/>
      <w:lvlText w:val="%8."/>
      <w:lvlJc w:val="left"/>
      <w:pPr>
        <w:tabs>
          <w:tab w:val="num" w:pos="5760"/>
        </w:tabs>
        <w:ind w:left="5760" w:hanging="360"/>
      </w:pPr>
    </w:lvl>
    <w:lvl w:ilvl="8" w:tplc="6E0C58C4" w:tentative="1">
      <w:start w:val="1"/>
      <w:numFmt w:val="lowerRoman"/>
      <w:lvlText w:val="%9."/>
      <w:lvlJc w:val="right"/>
      <w:pPr>
        <w:tabs>
          <w:tab w:val="num" w:pos="6480"/>
        </w:tabs>
        <w:ind w:left="6480" w:hanging="180"/>
      </w:pPr>
    </w:lvl>
  </w:abstractNum>
  <w:abstractNum w:abstractNumId="22" w15:restartNumberingAfterBreak="0">
    <w:nsid w:val="50213BEE"/>
    <w:multiLevelType w:val="hybridMultilevel"/>
    <w:tmpl w:val="BBFEAE3A"/>
    <w:lvl w:ilvl="0" w:tplc="4964D82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3AD5BBF"/>
    <w:multiLevelType w:val="hybridMultilevel"/>
    <w:tmpl w:val="7B087AB4"/>
    <w:lvl w:ilvl="0" w:tplc="1409001B">
      <w:start w:val="1"/>
      <w:numFmt w:val="lowerRoman"/>
      <w:lvlText w:val="%1."/>
      <w:lvlJc w:val="right"/>
      <w:pPr>
        <w:ind w:left="720" w:hanging="360"/>
      </w:pPr>
      <w:rPr>
        <w:rFonts w:cs="Times New Roman"/>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24" w15:restartNumberingAfterBreak="0">
    <w:nsid w:val="642F3AFA"/>
    <w:multiLevelType w:val="hybridMultilevel"/>
    <w:tmpl w:val="9DF09BE6"/>
    <w:lvl w:ilvl="0" w:tplc="3C68C8E6">
      <w:start w:val="1"/>
      <w:numFmt w:val="decimal"/>
      <w:lvlText w:val="%1."/>
      <w:lvlJc w:val="left"/>
      <w:pPr>
        <w:tabs>
          <w:tab w:val="num" w:pos="1057"/>
        </w:tabs>
        <w:ind w:left="1057" w:hanging="360"/>
      </w:pPr>
      <w:rPr>
        <w:rFonts w:hint="default"/>
      </w:rPr>
    </w:lvl>
    <w:lvl w:ilvl="1" w:tplc="B2145D1C" w:tentative="1">
      <w:start w:val="1"/>
      <w:numFmt w:val="lowerLetter"/>
      <w:lvlText w:val="%2."/>
      <w:lvlJc w:val="left"/>
      <w:pPr>
        <w:tabs>
          <w:tab w:val="num" w:pos="2137"/>
        </w:tabs>
        <w:ind w:left="2137" w:hanging="360"/>
      </w:pPr>
    </w:lvl>
    <w:lvl w:ilvl="2" w:tplc="752217B2" w:tentative="1">
      <w:start w:val="1"/>
      <w:numFmt w:val="lowerRoman"/>
      <w:lvlText w:val="%3."/>
      <w:lvlJc w:val="right"/>
      <w:pPr>
        <w:tabs>
          <w:tab w:val="num" w:pos="2857"/>
        </w:tabs>
        <w:ind w:left="2857" w:hanging="180"/>
      </w:pPr>
    </w:lvl>
    <w:lvl w:ilvl="3" w:tplc="59F22B16" w:tentative="1">
      <w:start w:val="1"/>
      <w:numFmt w:val="decimal"/>
      <w:lvlText w:val="%4."/>
      <w:lvlJc w:val="left"/>
      <w:pPr>
        <w:tabs>
          <w:tab w:val="num" w:pos="3577"/>
        </w:tabs>
        <w:ind w:left="3577" w:hanging="360"/>
      </w:pPr>
    </w:lvl>
    <w:lvl w:ilvl="4" w:tplc="6DEC8F02" w:tentative="1">
      <w:start w:val="1"/>
      <w:numFmt w:val="lowerLetter"/>
      <w:lvlText w:val="%5."/>
      <w:lvlJc w:val="left"/>
      <w:pPr>
        <w:tabs>
          <w:tab w:val="num" w:pos="4297"/>
        </w:tabs>
        <w:ind w:left="4297" w:hanging="360"/>
      </w:pPr>
    </w:lvl>
    <w:lvl w:ilvl="5" w:tplc="B6601AFC" w:tentative="1">
      <w:start w:val="1"/>
      <w:numFmt w:val="lowerRoman"/>
      <w:lvlText w:val="%6."/>
      <w:lvlJc w:val="right"/>
      <w:pPr>
        <w:tabs>
          <w:tab w:val="num" w:pos="5017"/>
        </w:tabs>
        <w:ind w:left="5017" w:hanging="180"/>
      </w:pPr>
    </w:lvl>
    <w:lvl w:ilvl="6" w:tplc="AA261C46" w:tentative="1">
      <w:start w:val="1"/>
      <w:numFmt w:val="decimal"/>
      <w:lvlText w:val="%7."/>
      <w:lvlJc w:val="left"/>
      <w:pPr>
        <w:tabs>
          <w:tab w:val="num" w:pos="5737"/>
        </w:tabs>
        <w:ind w:left="5737" w:hanging="360"/>
      </w:pPr>
    </w:lvl>
    <w:lvl w:ilvl="7" w:tplc="0240ACA8" w:tentative="1">
      <w:start w:val="1"/>
      <w:numFmt w:val="lowerLetter"/>
      <w:lvlText w:val="%8."/>
      <w:lvlJc w:val="left"/>
      <w:pPr>
        <w:tabs>
          <w:tab w:val="num" w:pos="6457"/>
        </w:tabs>
        <w:ind w:left="6457" w:hanging="360"/>
      </w:pPr>
    </w:lvl>
    <w:lvl w:ilvl="8" w:tplc="57FE08FE" w:tentative="1">
      <w:start w:val="1"/>
      <w:numFmt w:val="lowerRoman"/>
      <w:lvlText w:val="%9."/>
      <w:lvlJc w:val="right"/>
      <w:pPr>
        <w:tabs>
          <w:tab w:val="num" w:pos="7177"/>
        </w:tabs>
        <w:ind w:left="7177" w:hanging="180"/>
      </w:pPr>
    </w:lvl>
  </w:abstractNum>
  <w:abstractNum w:abstractNumId="25" w15:restartNumberingAfterBreak="0">
    <w:nsid w:val="7212657C"/>
    <w:multiLevelType w:val="hybridMultilevel"/>
    <w:tmpl w:val="0A8E2A84"/>
    <w:lvl w:ilvl="0" w:tplc="78F61296">
      <w:start w:val="1"/>
      <w:numFmt w:val="decimal"/>
      <w:pStyle w:val="ATSNumber1"/>
      <w:lvlText w:val="%1)"/>
      <w:lvlJc w:val="left"/>
      <w:pPr>
        <w:tabs>
          <w:tab w:val="num" w:pos="720"/>
        </w:tabs>
        <w:ind w:left="720" w:hanging="360"/>
      </w:pPr>
    </w:lvl>
    <w:lvl w:ilvl="1" w:tplc="8318A4B4" w:tentative="1">
      <w:start w:val="1"/>
      <w:numFmt w:val="lowerLetter"/>
      <w:lvlText w:val="%2."/>
      <w:lvlJc w:val="left"/>
      <w:pPr>
        <w:tabs>
          <w:tab w:val="num" w:pos="1440"/>
        </w:tabs>
        <w:ind w:left="1440" w:hanging="360"/>
      </w:pPr>
    </w:lvl>
    <w:lvl w:ilvl="2" w:tplc="03AE90D6" w:tentative="1">
      <w:start w:val="1"/>
      <w:numFmt w:val="lowerRoman"/>
      <w:lvlText w:val="%3."/>
      <w:lvlJc w:val="right"/>
      <w:pPr>
        <w:tabs>
          <w:tab w:val="num" w:pos="2160"/>
        </w:tabs>
        <w:ind w:left="2160" w:hanging="180"/>
      </w:pPr>
    </w:lvl>
    <w:lvl w:ilvl="3" w:tplc="00D8D54E" w:tentative="1">
      <w:start w:val="1"/>
      <w:numFmt w:val="decimal"/>
      <w:lvlText w:val="%4."/>
      <w:lvlJc w:val="left"/>
      <w:pPr>
        <w:tabs>
          <w:tab w:val="num" w:pos="2880"/>
        </w:tabs>
        <w:ind w:left="2880" w:hanging="360"/>
      </w:pPr>
    </w:lvl>
    <w:lvl w:ilvl="4" w:tplc="A6E647D8" w:tentative="1">
      <w:start w:val="1"/>
      <w:numFmt w:val="lowerLetter"/>
      <w:lvlText w:val="%5."/>
      <w:lvlJc w:val="left"/>
      <w:pPr>
        <w:tabs>
          <w:tab w:val="num" w:pos="3600"/>
        </w:tabs>
        <w:ind w:left="3600" w:hanging="360"/>
      </w:pPr>
    </w:lvl>
    <w:lvl w:ilvl="5" w:tplc="BFFE0C24" w:tentative="1">
      <w:start w:val="1"/>
      <w:numFmt w:val="lowerRoman"/>
      <w:lvlText w:val="%6."/>
      <w:lvlJc w:val="right"/>
      <w:pPr>
        <w:tabs>
          <w:tab w:val="num" w:pos="4320"/>
        </w:tabs>
        <w:ind w:left="4320" w:hanging="180"/>
      </w:pPr>
    </w:lvl>
    <w:lvl w:ilvl="6" w:tplc="1FFC4916" w:tentative="1">
      <w:start w:val="1"/>
      <w:numFmt w:val="decimal"/>
      <w:lvlText w:val="%7."/>
      <w:lvlJc w:val="left"/>
      <w:pPr>
        <w:tabs>
          <w:tab w:val="num" w:pos="5040"/>
        </w:tabs>
        <w:ind w:left="5040" w:hanging="360"/>
      </w:pPr>
    </w:lvl>
    <w:lvl w:ilvl="7" w:tplc="33EEB99E" w:tentative="1">
      <w:start w:val="1"/>
      <w:numFmt w:val="lowerLetter"/>
      <w:lvlText w:val="%8."/>
      <w:lvlJc w:val="left"/>
      <w:pPr>
        <w:tabs>
          <w:tab w:val="num" w:pos="5760"/>
        </w:tabs>
        <w:ind w:left="5760" w:hanging="360"/>
      </w:pPr>
    </w:lvl>
    <w:lvl w:ilvl="8" w:tplc="7118017E" w:tentative="1">
      <w:start w:val="1"/>
      <w:numFmt w:val="lowerRoman"/>
      <w:lvlText w:val="%9."/>
      <w:lvlJc w:val="right"/>
      <w:pPr>
        <w:tabs>
          <w:tab w:val="num" w:pos="6480"/>
        </w:tabs>
        <w:ind w:left="6480" w:hanging="180"/>
      </w:pPr>
    </w:lvl>
  </w:abstractNum>
  <w:abstractNum w:abstractNumId="26" w15:restartNumberingAfterBreak="0">
    <w:nsid w:val="739F6FCC"/>
    <w:multiLevelType w:val="hybridMultilevel"/>
    <w:tmpl w:val="B314ADBE"/>
    <w:lvl w:ilvl="0" w:tplc="D186BFCE">
      <w:start w:val="2028"/>
      <w:numFmt w:val="bullet"/>
      <w:lvlText w:val=""/>
      <w:lvlJc w:val="left"/>
      <w:pPr>
        <w:ind w:left="720" w:hanging="360"/>
      </w:pPr>
      <w:rPr>
        <w:rFonts w:ascii="Symbol" w:eastAsia="Times New Roman" w:hAnsi="Symbol" w:hint="default"/>
        <w:color w:val="000000"/>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27" w15:restartNumberingAfterBreak="0">
    <w:nsid w:val="743D2161"/>
    <w:multiLevelType w:val="hybridMultilevel"/>
    <w:tmpl w:val="B0868D9E"/>
    <w:lvl w:ilvl="0" w:tplc="BD32DD5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0AA7554" w:tentative="1">
      <w:start w:val="1"/>
      <w:numFmt w:val="bullet"/>
      <w:lvlText w:val="o"/>
      <w:lvlJc w:val="left"/>
      <w:pPr>
        <w:tabs>
          <w:tab w:val="num" w:pos="2517"/>
        </w:tabs>
        <w:ind w:left="2517" w:hanging="360"/>
      </w:pPr>
      <w:rPr>
        <w:rFonts w:ascii="Courier New" w:hAnsi="Courier New" w:cs="Courier New" w:hint="default"/>
      </w:rPr>
    </w:lvl>
    <w:lvl w:ilvl="2" w:tplc="9DC28512" w:tentative="1">
      <w:start w:val="1"/>
      <w:numFmt w:val="bullet"/>
      <w:lvlText w:val=""/>
      <w:lvlJc w:val="left"/>
      <w:pPr>
        <w:tabs>
          <w:tab w:val="num" w:pos="3237"/>
        </w:tabs>
        <w:ind w:left="3237" w:hanging="360"/>
      </w:pPr>
      <w:rPr>
        <w:rFonts w:ascii="Wingdings" w:hAnsi="Wingdings" w:hint="default"/>
      </w:rPr>
    </w:lvl>
    <w:lvl w:ilvl="3" w:tplc="8BB04D32" w:tentative="1">
      <w:start w:val="1"/>
      <w:numFmt w:val="bullet"/>
      <w:lvlText w:val=""/>
      <w:lvlJc w:val="left"/>
      <w:pPr>
        <w:tabs>
          <w:tab w:val="num" w:pos="3957"/>
        </w:tabs>
        <w:ind w:left="3957" w:hanging="360"/>
      </w:pPr>
      <w:rPr>
        <w:rFonts w:ascii="Symbol" w:hAnsi="Symbol" w:hint="default"/>
      </w:rPr>
    </w:lvl>
    <w:lvl w:ilvl="4" w:tplc="D9201D72" w:tentative="1">
      <w:start w:val="1"/>
      <w:numFmt w:val="bullet"/>
      <w:lvlText w:val="o"/>
      <w:lvlJc w:val="left"/>
      <w:pPr>
        <w:tabs>
          <w:tab w:val="num" w:pos="4677"/>
        </w:tabs>
        <w:ind w:left="4677" w:hanging="360"/>
      </w:pPr>
      <w:rPr>
        <w:rFonts w:ascii="Courier New" w:hAnsi="Courier New" w:cs="Courier New" w:hint="default"/>
      </w:rPr>
    </w:lvl>
    <w:lvl w:ilvl="5" w:tplc="07186E34" w:tentative="1">
      <w:start w:val="1"/>
      <w:numFmt w:val="bullet"/>
      <w:lvlText w:val=""/>
      <w:lvlJc w:val="left"/>
      <w:pPr>
        <w:tabs>
          <w:tab w:val="num" w:pos="5397"/>
        </w:tabs>
        <w:ind w:left="5397" w:hanging="360"/>
      </w:pPr>
      <w:rPr>
        <w:rFonts w:ascii="Wingdings" w:hAnsi="Wingdings" w:hint="default"/>
      </w:rPr>
    </w:lvl>
    <w:lvl w:ilvl="6" w:tplc="485C3D70" w:tentative="1">
      <w:start w:val="1"/>
      <w:numFmt w:val="bullet"/>
      <w:lvlText w:val=""/>
      <w:lvlJc w:val="left"/>
      <w:pPr>
        <w:tabs>
          <w:tab w:val="num" w:pos="6117"/>
        </w:tabs>
        <w:ind w:left="6117" w:hanging="360"/>
      </w:pPr>
      <w:rPr>
        <w:rFonts w:ascii="Symbol" w:hAnsi="Symbol" w:hint="default"/>
      </w:rPr>
    </w:lvl>
    <w:lvl w:ilvl="7" w:tplc="5804ECD6" w:tentative="1">
      <w:start w:val="1"/>
      <w:numFmt w:val="bullet"/>
      <w:lvlText w:val="o"/>
      <w:lvlJc w:val="left"/>
      <w:pPr>
        <w:tabs>
          <w:tab w:val="num" w:pos="6837"/>
        </w:tabs>
        <w:ind w:left="6837" w:hanging="360"/>
      </w:pPr>
      <w:rPr>
        <w:rFonts w:ascii="Courier New" w:hAnsi="Courier New" w:cs="Courier New" w:hint="default"/>
      </w:rPr>
    </w:lvl>
    <w:lvl w:ilvl="8" w:tplc="86A4DEEC" w:tentative="1">
      <w:start w:val="1"/>
      <w:numFmt w:val="bullet"/>
      <w:lvlText w:val=""/>
      <w:lvlJc w:val="left"/>
      <w:pPr>
        <w:tabs>
          <w:tab w:val="num" w:pos="7557"/>
        </w:tabs>
        <w:ind w:left="7557" w:hanging="360"/>
      </w:pPr>
      <w:rPr>
        <w:rFonts w:ascii="Wingdings" w:hAnsi="Wingdings" w:hint="default"/>
      </w:rPr>
    </w:lvl>
  </w:abstractNum>
  <w:abstractNum w:abstractNumId="28" w15:restartNumberingAfterBreak="0">
    <w:nsid w:val="7C866FC0"/>
    <w:multiLevelType w:val="hybridMultilevel"/>
    <w:tmpl w:val="57EA2900"/>
    <w:lvl w:ilvl="0" w:tplc="238298D0">
      <w:start w:val="1"/>
      <w:numFmt w:val="decimal"/>
      <w:pStyle w:val="ATSNumber2"/>
      <w:lvlText w:val="%1."/>
      <w:lvlJc w:val="left"/>
      <w:pPr>
        <w:tabs>
          <w:tab w:val="num" w:pos="720"/>
        </w:tabs>
        <w:ind w:left="720" w:hanging="360"/>
      </w:pPr>
      <w:rPr>
        <w:rFonts w:hint="default"/>
      </w:rPr>
    </w:lvl>
    <w:lvl w:ilvl="1" w:tplc="DEE242A8" w:tentative="1">
      <w:start w:val="1"/>
      <w:numFmt w:val="lowerLetter"/>
      <w:lvlText w:val="%2."/>
      <w:lvlJc w:val="left"/>
      <w:pPr>
        <w:tabs>
          <w:tab w:val="num" w:pos="1440"/>
        </w:tabs>
        <w:ind w:left="1440" w:hanging="360"/>
      </w:pPr>
    </w:lvl>
    <w:lvl w:ilvl="2" w:tplc="B17ED680" w:tentative="1">
      <w:start w:val="1"/>
      <w:numFmt w:val="lowerRoman"/>
      <w:lvlText w:val="%3."/>
      <w:lvlJc w:val="right"/>
      <w:pPr>
        <w:tabs>
          <w:tab w:val="num" w:pos="2160"/>
        </w:tabs>
        <w:ind w:left="2160" w:hanging="180"/>
      </w:pPr>
    </w:lvl>
    <w:lvl w:ilvl="3" w:tplc="8336198C" w:tentative="1">
      <w:start w:val="1"/>
      <w:numFmt w:val="decimal"/>
      <w:lvlText w:val="%4."/>
      <w:lvlJc w:val="left"/>
      <w:pPr>
        <w:tabs>
          <w:tab w:val="num" w:pos="2880"/>
        </w:tabs>
        <w:ind w:left="2880" w:hanging="360"/>
      </w:pPr>
    </w:lvl>
    <w:lvl w:ilvl="4" w:tplc="93F24E94" w:tentative="1">
      <w:start w:val="1"/>
      <w:numFmt w:val="lowerLetter"/>
      <w:lvlText w:val="%5."/>
      <w:lvlJc w:val="left"/>
      <w:pPr>
        <w:tabs>
          <w:tab w:val="num" w:pos="3600"/>
        </w:tabs>
        <w:ind w:left="3600" w:hanging="360"/>
      </w:pPr>
    </w:lvl>
    <w:lvl w:ilvl="5" w:tplc="EACC4914" w:tentative="1">
      <w:start w:val="1"/>
      <w:numFmt w:val="lowerRoman"/>
      <w:lvlText w:val="%6."/>
      <w:lvlJc w:val="right"/>
      <w:pPr>
        <w:tabs>
          <w:tab w:val="num" w:pos="4320"/>
        </w:tabs>
        <w:ind w:left="4320" w:hanging="180"/>
      </w:pPr>
    </w:lvl>
    <w:lvl w:ilvl="6" w:tplc="052E24C0" w:tentative="1">
      <w:start w:val="1"/>
      <w:numFmt w:val="decimal"/>
      <w:lvlText w:val="%7."/>
      <w:lvlJc w:val="left"/>
      <w:pPr>
        <w:tabs>
          <w:tab w:val="num" w:pos="5040"/>
        </w:tabs>
        <w:ind w:left="5040" w:hanging="360"/>
      </w:pPr>
    </w:lvl>
    <w:lvl w:ilvl="7" w:tplc="58CAD6B0" w:tentative="1">
      <w:start w:val="1"/>
      <w:numFmt w:val="lowerLetter"/>
      <w:lvlText w:val="%8."/>
      <w:lvlJc w:val="left"/>
      <w:pPr>
        <w:tabs>
          <w:tab w:val="num" w:pos="5760"/>
        </w:tabs>
        <w:ind w:left="5760" w:hanging="360"/>
      </w:pPr>
    </w:lvl>
    <w:lvl w:ilvl="8" w:tplc="A6CC548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7"/>
  </w:num>
  <w:num w:numId="13">
    <w:abstractNumId w:val="25"/>
  </w:num>
  <w:num w:numId="14">
    <w:abstractNumId w:val="21"/>
  </w:num>
  <w:num w:numId="15">
    <w:abstractNumId w:val="24"/>
  </w:num>
  <w:num w:numId="16">
    <w:abstractNumId w:val="12"/>
  </w:num>
  <w:num w:numId="17">
    <w:abstractNumId w:val="18"/>
  </w:num>
  <w:num w:numId="18">
    <w:abstractNumId w:val="27"/>
  </w:num>
  <w:num w:numId="19">
    <w:abstractNumId w:val="25"/>
  </w:num>
  <w:num w:numId="20">
    <w:abstractNumId w:val="28"/>
  </w:num>
  <w:num w:numId="21">
    <w:abstractNumId w:val="22"/>
  </w:num>
  <w:num w:numId="22">
    <w:abstractNumId w:val="15"/>
  </w:num>
  <w:num w:numId="23">
    <w:abstractNumId w:val="17"/>
  </w:num>
  <w:num w:numId="24">
    <w:abstractNumId w:val="13"/>
  </w:num>
  <w:num w:numId="25">
    <w:abstractNumId w:val="19"/>
  </w:num>
  <w:num w:numId="26">
    <w:abstractNumId w:val="11"/>
  </w:num>
  <w:num w:numId="27">
    <w:abstractNumId w:val="10"/>
  </w:num>
  <w:num w:numId="28">
    <w:abstractNumId w:val="20"/>
  </w:num>
  <w:num w:numId="29">
    <w:abstractNumId w:val="26"/>
  </w:num>
  <w:num w:numId="30">
    <w:abstractNumId w:val="14"/>
  </w:num>
  <w:num w:numId="31">
    <w:abstractNumId w:val="2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44"/>
    <w:rsid w:val="005A0E09"/>
    <w:rsid w:val="00B322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32CEE"/>
  <w15:chartTrackingRefBased/>
  <w15:docId w15:val="{BF6E5810-8E1B-4774-99EA-BA8148A3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5A0E09"/>
    <w:rPr>
      <w:sz w:val="22"/>
      <w:szCs w:val="22"/>
      <w:lang w:val="en-GB" w:eastAsia="en-US"/>
    </w:rPr>
  </w:style>
  <w:style w:type="character" w:customStyle="1" w:styleId="ATSNormalChar">
    <w:name w:val="ATS Normal Char"/>
    <w:link w:val="ATSNormal"/>
    <w:locked/>
    <w:rsid w:val="005A0E0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uments.ats.aq/ATCM42/wp/ATCM42_wp048_e.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ATCM41/wp/ATCM41_wp012_e.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AS/Meetings/Measure/66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camlr.org/en/science/ccamlr-ecosystem-monitoring-program-ce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2126</Words>
  <Characters>12135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2021-04-29T14:04:00Z</dcterms:modified>
</cp:coreProperties>
</file>