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EE7" w14:textId="77777777" w:rsidR="00C26F2D" w:rsidRPr="00BF077B" w:rsidRDefault="00BD731E" w:rsidP="00BF077B">
      <w:pPr>
        <w:pStyle w:val="ATSNormal"/>
        <w:rPr>
          <w:rStyle w:val="Ttulodellibro"/>
        </w:rPr>
      </w:pPr>
    </w:p>
    <w:p w14:paraId="25CC364E" w14:textId="77777777" w:rsidR="002F0A13" w:rsidRDefault="00BD731E" w:rsidP="004B4A60">
      <w:pPr>
        <w:rPr>
          <w:b/>
          <w:u w:val="single"/>
          <w:lang w:val="es-ES_tradnl"/>
        </w:rPr>
      </w:pPr>
    </w:p>
    <w:p w14:paraId="264C25A1" w14:textId="77777777" w:rsidR="002F0A13" w:rsidRDefault="00BD731E" w:rsidP="004B4A60">
      <w:pPr>
        <w:rPr>
          <w:b/>
          <w:u w:val="single"/>
          <w:lang w:val="es-ES_tradnl"/>
        </w:rPr>
      </w:pPr>
    </w:p>
    <w:p w14:paraId="524C5C6A" w14:textId="77777777" w:rsidR="002F0A13" w:rsidRDefault="00BD731E" w:rsidP="004B4A60">
      <w:pPr>
        <w:rPr>
          <w:b/>
          <w:u w:val="single"/>
          <w:lang w:val="es-ES_tradnl"/>
        </w:rPr>
      </w:pPr>
    </w:p>
    <w:p w14:paraId="568240EC" w14:textId="77777777" w:rsidR="002F0A13" w:rsidRDefault="00BD731E" w:rsidP="004B4A60">
      <w:pPr>
        <w:rPr>
          <w:b/>
          <w:u w:val="single"/>
          <w:lang w:val="es-ES_tradnl"/>
        </w:rPr>
      </w:pPr>
    </w:p>
    <w:p w14:paraId="5E018595" w14:textId="77777777" w:rsidR="00C26F2D" w:rsidRDefault="00BD731E" w:rsidP="004B4A60">
      <w:pPr>
        <w:rPr>
          <w:b/>
          <w:u w:val="single"/>
          <w:lang w:val="es-ES_tradnl"/>
        </w:rPr>
      </w:pPr>
    </w:p>
    <w:p w14:paraId="7B6E9BE3" w14:textId="77777777" w:rsidR="004B4A60" w:rsidRPr="0057246E" w:rsidRDefault="00BD731E" w:rsidP="001B789F">
      <w:pPr>
        <w:pStyle w:val="ATSTitle"/>
      </w:pPr>
      <w:bookmarkStart w:id="0" w:name="name"/>
      <w:r>
        <w:t xml:space="preserve">Sustainable Antarctic station design: Reducing contributions to climate </w:t>
      </w:r>
      <w:proofErr w:type="gramStart"/>
      <w:r>
        <w:t>change</w:t>
      </w:r>
      <w:bookmarkEnd w:id="0"/>
      <w:proofErr w:type="gramEnd"/>
    </w:p>
    <w:p w14:paraId="5D5F4FD8" w14:textId="77777777" w:rsidR="004B4A60" w:rsidRPr="0057246E" w:rsidRDefault="00BD731E" w:rsidP="00F75424">
      <w:pPr>
        <w:jc w:val="center"/>
      </w:pPr>
    </w:p>
    <w:p w14:paraId="2C86FF64" w14:textId="77777777" w:rsidR="004B4A60" w:rsidRPr="002F0A13" w:rsidRDefault="00BD731E" w:rsidP="002F0A13"/>
    <w:p w14:paraId="520064B6" w14:textId="77777777" w:rsidR="004B4A60" w:rsidRDefault="00BD731E" w:rsidP="00F75424">
      <w:pPr>
        <w:jc w:val="center"/>
      </w:pPr>
      <w:bookmarkStart w:id="1" w:name="memo"/>
      <w:bookmarkEnd w:id="1"/>
    </w:p>
    <w:p w14:paraId="74247B99" w14:textId="77777777" w:rsidR="0097629D" w:rsidRDefault="00BD731E" w:rsidP="00F75424">
      <w:pPr>
        <w:jc w:val="center"/>
      </w:pPr>
    </w:p>
    <w:p w14:paraId="36A6827C" w14:textId="77777777" w:rsidR="0097629D" w:rsidRDefault="00BD731E" w:rsidP="00F75424">
      <w:pPr>
        <w:jc w:val="center"/>
      </w:pPr>
    </w:p>
    <w:p w14:paraId="2CE8AA16" w14:textId="77777777" w:rsidR="0097629D" w:rsidRDefault="00BD731E" w:rsidP="00F75424">
      <w:pPr>
        <w:jc w:val="center"/>
      </w:pPr>
    </w:p>
    <w:p w14:paraId="74D1DC11" w14:textId="77777777" w:rsidR="0097629D" w:rsidRPr="00C26F2D" w:rsidRDefault="00BD731E" w:rsidP="00F75424">
      <w:pPr>
        <w:jc w:val="center"/>
      </w:pPr>
    </w:p>
    <w:p w14:paraId="31F45C5B" w14:textId="77777777" w:rsidR="004B4A60" w:rsidRPr="0057246E" w:rsidRDefault="00BD731E" w:rsidP="004B4A60"/>
    <w:p w14:paraId="0687E35B" w14:textId="77777777" w:rsidR="00C26F2D" w:rsidRDefault="00BD731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BDBBA9E" w14:textId="77777777" w:rsidR="00BD731E" w:rsidRDefault="00BD731E" w:rsidP="00BD731E">
      <w:pPr>
        <w:pStyle w:val="ATSHeading1"/>
      </w:pPr>
      <w:r>
        <w:lastRenderedPageBreak/>
        <w:t xml:space="preserve">Sustainable Antarctic station design: Reducing contributions to climate </w:t>
      </w:r>
      <w:proofErr w:type="gramStart"/>
      <w:r>
        <w:t>change</w:t>
      </w:r>
      <w:proofErr w:type="gramEnd"/>
    </w:p>
    <w:p w14:paraId="379328D3" w14:textId="77777777" w:rsidR="00BD731E" w:rsidRDefault="00BD731E" w:rsidP="00BD731E">
      <w:pPr>
        <w:pStyle w:val="ATSNormal"/>
        <w:jc w:val="center"/>
        <w:rPr>
          <w:b/>
          <w:lang w:val="en-AU"/>
        </w:rPr>
      </w:pPr>
      <w:r>
        <w:rPr>
          <w:b/>
          <w:lang w:val="en-AU"/>
        </w:rPr>
        <w:t xml:space="preserve">Working Paper submitted by New Zealand </w:t>
      </w:r>
      <w:r w:rsidRPr="006C73F0">
        <w:rPr>
          <w:b/>
          <w:lang w:val="en-AU"/>
        </w:rPr>
        <w:t>and</w:t>
      </w:r>
      <w:r>
        <w:rPr>
          <w:b/>
          <w:lang w:val="en-AU"/>
        </w:rPr>
        <w:t xml:space="preserve"> the United Kingdom</w:t>
      </w:r>
    </w:p>
    <w:p w14:paraId="2391F002" w14:textId="77777777" w:rsidR="00BD731E" w:rsidRDefault="00BD731E" w:rsidP="00BD731E">
      <w:pPr>
        <w:pStyle w:val="ATSHeading2"/>
        <w:rPr>
          <w:lang w:val="en-AU"/>
        </w:rPr>
      </w:pPr>
      <w:r w:rsidRPr="009C6883">
        <w:rPr>
          <w:lang w:val="en-AU"/>
        </w:rPr>
        <w:t>Summary</w:t>
      </w:r>
    </w:p>
    <w:p w14:paraId="30B14FE6" w14:textId="77777777" w:rsidR="00BD731E" w:rsidRPr="009C6883" w:rsidRDefault="00BD731E" w:rsidP="00BD731E">
      <w:pPr>
        <w:pStyle w:val="AtsNormal0"/>
        <w:rPr>
          <w:lang w:val="en-AU"/>
        </w:rPr>
      </w:pPr>
      <w:r>
        <w:rPr>
          <w:lang w:val="en-AU"/>
        </w:rPr>
        <w:t xml:space="preserve">New Zealand </w:t>
      </w:r>
      <w:r w:rsidRPr="006C73F0">
        <w:rPr>
          <w:lang w:val="en-AU"/>
        </w:rPr>
        <w:t>and</w:t>
      </w:r>
      <w:r>
        <w:rPr>
          <w:lang w:val="en-AU"/>
        </w:rPr>
        <w:t xml:space="preserve"> the United Kingdom note that when Parties are undertaking modernisation or infrastructure projects in Antarctica, sustainable design standards are available for the design, </w:t>
      </w:r>
      <w:proofErr w:type="gramStart"/>
      <w:r>
        <w:rPr>
          <w:lang w:val="en-AU"/>
        </w:rPr>
        <w:t>construction</w:t>
      </w:r>
      <w:proofErr w:type="gramEnd"/>
      <w:r>
        <w:rPr>
          <w:lang w:val="en-AU"/>
        </w:rPr>
        <w:t xml:space="preserve"> and operation of Antarctic infrastructure, to support </w:t>
      </w:r>
      <w:r w:rsidRPr="007E2B22">
        <w:rPr>
          <w:lang w:val="en-AU"/>
        </w:rPr>
        <w:t>reduc</w:t>
      </w:r>
      <w:r>
        <w:rPr>
          <w:lang w:val="en-AU"/>
        </w:rPr>
        <w:t>ing</w:t>
      </w:r>
      <w:r w:rsidRPr="007E2B22">
        <w:rPr>
          <w:lang w:val="en-AU"/>
        </w:rPr>
        <w:t xml:space="preserve"> contribution</w:t>
      </w:r>
      <w:r>
        <w:rPr>
          <w:lang w:val="en-AU"/>
        </w:rPr>
        <w:t>s</w:t>
      </w:r>
      <w:r w:rsidRPr="007E2B22">
        <w:rPr>
          <w:lang w:val="en-AU"/>
        </w:rPr>
        <w:t xml:space="preserve"> to climate change</w:t>
      </w:r>
      <w:r>
        <w:rPr>
          <w:lang w:val="en-AU"/>
        </w:rPr>
        <w:t xml:space="preserve"> from these activities. </w:t>
      </w:r>
    </w:p>
    <w:p w14:paraId="1D52F5DC" w14:textId="77777777" w:rsidR="00BD731E" w:rsidRPr="009C6883" w:rsidRDefault="00BD731E" w:rsidP="00BD731E">
      <w:pPr>
        <w:pStyle w:val="ATSHeading2"/>
        <w:rPr>
          <w:lang w:val="en-AU"/>
        </w:rPr>
      </w:pPr>
      <w:r w:rsidRPr="009C6883">
        <w:rPr>
          <w:lang w:val="en-AU"/>
        </w:rPr>
        <w:t>Context</w:t>
      </w:r>
    </w:p>
    <w:p w14:paraId="12AEC175" w14:textId="77777777" w:rsidR="00BD731E" w:rsidRPr="007E2B22" w:rsidRDefault="00BD731E" w:rsidP="00BD731E">
      <w:pPr>
        <w:pStyle w:val="AtsNormal0"/>
        <w:rPr>
          <w:lang w:val="en-AU"/>
        </w:rPr>
      </w:pPr>
      <w:r w:rsidRPr="007E2B22">
        <w:rPr>
          <w:lang w:val="en-AU"/>
        </w:rPr>
        <w:t>In 2009, SCAR presented the Antarctic Climate Change and the Environment (ACCE) Report (IP 5, ATCM XXXII/CEP XII, 2010). In one of the recommendations, “SCAR encouraged all treaty parties to assess the contributions that their Antarctic operations make to global warming with a particular regard to greenhouse gas emissions and to adopt suitable mitigating protocols commensurate with the potential for impact.”</w:t>
      </w:r>
    </w:p>
    <w:p w14:paraId="55405263" w14:textId="77777777" w:rsidR="00BD731E" w:rsidRPr="007E2B22" w:rsidRDefault="00BD731E" w:rsidP="00BD731E">
      <w:pPr>
        <w:pStyle w:val="AtsNormal0"/>
        <w:rPr>
          <w:lang w:val="en-AU"/>
        </w:rPr>
      </w:pPr>
      <w:r w:rsidRPr="007E2B22">
        <w:rPr>
          <w:lang w:val="en-AU"/>
        </w:rPr>
        <w:t>The Parties undertook Decision 1 (2009) ‘to convene a Meeting of Experts under the provisions of Recommendation IV-24, with the aim of discussing relevant matters related to implications of climate change for management and governance of the Antarctic region.’</w:t>
      </w:r>
      <w:r>
        <w:rPr>
          <w:lang w:val="en-AU"/>
        </w:rPr>
        <w:t xml:space="preserve"> </w:t>
      </w:r>
      <w:r w:rsidRPr="007E2B22">
        <w:rPr>
          <w:lang w:val="en-AU"/>
        </w:rPr>
        <w:t>The Antarctic Treaty Meeting of Experts</w:t>
      </w:r>
      <w:r>
        <w:rPr>
          <w:lang w:val="en-AU"/>
        </w:rPr>
        <w:t xml:space="preserve"> (ATME)</w:t>
      </w:r>
      <w:r w:rsidRPr="007E2B22">
        <w:rPr>
          <w:lang w:val="en-AU"/>
        </w:rPr>
        <w:t xml:space="preserve"> was held in </w:t>
      </w:r>
      <w:proofErr w:type="spellStart"/>
      <w:r w:rsidRPr="007E2B22">
        <w:rPr>
          <w:lang w:val="en-AU"/>
        </w:rPr>
        <w:t>Svolvær</w:t>
      </w:r>
      <w:proofErr w:type="spellEnd"/>
      <w:r w:rsidRPr="007E2B22">
        <w:rPr>
          <w:lang w:val="en-AU"/>
        </w:rPr>
        <w:t>, Norway on 7-9 April 2010</w:t>
      </w:r>
      <w:r>
        <w:rPr>
          <w:lang w:val="en-AU"/>
        </w:rPr>
        <w:t xml:space="preserve"> and the </w:t>
      </w:r>
      <w:r w:rsidRPr="007E2B22">
        <w:rPr>
          <w:lang w:val="en-AU"/>
        </w:rPr>
        <w:t>Meeting reached agreement on 30 recommendations (WP 63, ATCM XXXIII/CEP XIII, 2010). Of relevance to Antarctic infrastructure, the following recommendations are noted:</w:t>
      </w:r>
    </w:p>
    <w:p w14:paraId="1FA5723D" w14:textId="77777777" w:rsidR="00BD731E" w:rsidRPr="007E2B22" w:rsidRDefault="00BD731E" w:rsidP="00BD731E">
      <w:pPr>
        <w:pStyle w:val="AtsNormal0"/>
        <w:numPr>
          <w:ilvl w:val="0"/>
          <w:numId w:val="21"/>
        </w:numPr>
        <w:rPr>
          <w:lang w:val="en-AU"/>
        </w:rPr>
      </w:pPr>
      <w:r w:rsidRPr="007E2B22">
        <w:rPr>
          <w:lang w:val="en-AU"/>
        </w:rPr>
        <w:t>Recommendation 4: The ATME recommends that Parties be requested to:</w:t>
      </w:r>
    </w:p>
    <w:p w14:paraId="291C5292" w14:textId="77777777" w:rsidR="00BD731E" w:rsidRPr="007E2B22" w:rsidRDefault="00BD731E" w:rsidP="00BD731E">
      <w:pPr>
        <w:pStyle w:val="AtsNormal0"/>
        <w:numPr>
          <w:ilvl w:val="1"/>
          <w:numId w:val="22"/>
        </w:numPr>
        <w:rPr>
          <w:lang w:val="en-AU"/>
        </w:rPr>
      </w:pPr>
      <w:r w:rsidRPr="007E2B22">
        <w:rPr>
          <w:lang w:val="en-AU"/>
        </w:rPr>
        <w:t xml:space="preserve">acknowledge and encourage continuing efforts in developing and exchanging experience of energy efficiency and alternative energy practices </w:t>
      </w:r>
      <w:proofErr w:type="gramStart"/>
      <w:r w:rsidRPr="007E2B22">
        <w:rPr>
          <w:lang w:val="en-AU"/>
        </w:rPr>
        <w:t>so as to</w:t>
      </w:r>
      <w:proofErr w:type="gramEnd"/>
      <w:r w:rsidRPr="007E2B22">
        <w:rPr>
          <w:lang w:val="en-AU"/>
        </w:rPr>
        <w:t xml:space="preserve"> promote reduction of the carbon footprint of activities in Antarctica and cut fossil fuel use from stations, vessels, ground transportation and aircraft.</w:t>
      </w:r>
    </w:p>
    <w:p w14:paraId="3E987EA9" w14:textId="77777777" w:rsidR="00BD731E" w:rsidRPr="007E2B22" w:rsidRDefault="00BD731E" w:rsidP="00BD731E">
      <w:pPr>
        <w:pStyle w:val="AtsNormal0"/>
        <w:numPr>
          <w:ilvl w:val="0"/>
          <w:numId w:val="21"/>
        </w:numPr>
        <w:rPr>
          <w:lang w:val="en-AU"/>
        </w:rPr>
      </w:pPr>
      <w:r w:rsidRPr="007E2B22">
        <w:rPr>
          <w:lang w:val="en-AU"/>
        </w:rPr>
        <w:t>Recommendation 5: Recognizing the importance of emission cuts in Antarctica and their symbolic value in the global context, the ATME recommends that the ATCM encourage COMNAP to work with national programmes to use consistent methods to quantify and publish savings made by energy efficiencies, and which contribute to both (a) reducing carbon footprint, and (b) reducing fuel consumption and operating costs.</w:t>
      </w:r>
    </w:p>
    <w:p w14:paraId="7B3FE824" w14:textId="77777777" w:rsidR="00BD731E" w:rsidRPr="007E2B22" w:rsidRDefault="00BD731E" w:rsidP="00BD731E">
      <w:pPr>
        <w:pStyle w:val="AtsNormal0"/>
        <w:numPr>
          <w:ilvl w:val="0"/>
          <w:numId w:val="21"/>
        </w:numPr>
        <w:rPr>
          <w:lang w:val="en-AU"/>
        </w:rPr>
      </w:pPr>
      <w:r w:rsidRPr="007E2B22">
        <w:rPr>
          <w:lang w:val="en-AU"/>
        </w:rPr>
        <w:t>Recommendation 7: Welcoming the risk assessment approach taken by Australia to identify potential climate change implications for current and future Antarctic infrastructure, logistics and environmental values, the ATME recommends that Parties be encouraged to undertake and report on appropriate risk assessment processes.</w:t>
      </w:r>
    </w:p>
    <w:p w14:paraId="5DB9A99C" w14:textId="77777777" w:rsidR="00BD731E" w:rsidRPr="007E2B22" w:rsidRDefault="00BD731E" w:rsidP="00BD731E">
      <w:pPr>
        <w:pStyle w:val="AtsNormal0"/>
        <w:numPr>
          <w:ilvl w:val="0"/>
          <w:numId w:val="21"/>
        </w:numPr>
        <w:rPr>
          <w:lang w:val="en-AU"/>
        </w:rPr>
      </w:pPr>
      <w:r w:rsidRPr="007E2B22">
        <w:rPr>
          <w:lang w:val="en-AU"/>
        </w:rPr>
        <w:t>Recommendation 8: In developing EIAs for new facilities, the ATME recommends that Parties be requested to take climate change considerations into account.</w:t>
      </w:r>
    </w:p>
    <w:p w14:paraId="36AC9B51" w14:textId="77777777" w:rsidR="00BD731E" w:rsidRPr="007E2B22" w:rsidRDefault="00BD731E" w:rsidP="00BD731E">
      <w:pPr>
        <w:pStyle w:val="AtsNormal0"/>
        <w:rPr>
          <w:lang w:val="en-AU"/>
        </w:rPr>
      </w:pPr>
      <w:r w:rsidRPr="007E2B22">
        <w:rPr>
          <w:lang w:val="en-AU"/>
        </w:rPr>
        <w:t>With regards to Recommendation 8, ATCM XXXIX/CEP XIX (2016)</w:t>
      </w:r>
      <w:r>
        <w:rPr>
          <w:lang w:val="en-AU"/>
        </w:rPr>
        <w:t xml:space="preserve"> adopted</w:t>
      </w:r>
      <w:r w:rsidRPr="007E2B22">
        <w:rPr>
          <w:lang w:val="en-AU"/>
        </w:rPr>
        <w:t xml:space="preserve"> Revised Guidelines for Environmental Impact Assessment</w:t>
      </w:r>
      <w:r>
        <w:rPr>
          <w:lang w:val="en-AU"/>
        </w:rPr>
        <w:t>s</w:t>
      </w:r>
      <w:r w:rsidRPr="007E2B22">
        <w:rPr>
          <w:lang w:val="en-AU"/>
        </w:rPr>
        <w:t xml:space="preserve"> </w:t>
      </w:r>
      <w:r>
        <w:rPr>
          <w:lang w:val="en-AU"/>
        </w:rPr>
        <w:t>(</w:t>
      </w:r>
      <w:r w:rsidRPr="007E2B22">
        <w:rPr>
          <w:lang w:val="en-AU"/>
        </w:rPr>
        <w:t>Resolution 1 (2016)</w:t>
      </w:r>
      <w:r>
        <w:rPr>
          <w:lang w:val="en-AU"/>
        </w:rPr>
        <w:t>) in which t</w:t>
      </w:r>
      <w:r w:rsidRPr="007E2B22">
        <w:rPr>
          <w:lang w:val="en-AU"/>
        </w:rPr>
        <w:t>he guidelines emphasize</w:t>
      </w:r>
      <w:r>
        <w:rPr>
          <w:lang w:val="en-AU"/>
        </w:rPr>
        <w:t>d</w:t>
      </w:r>
      <w:r w:rsidRPr="007E2B22">
        <w:rPr>
          <w:lang w:val="en-AU"/>
        </w:rPr>
        <w:t xml:space="preserve"> that, ‘as far as possible, consideration should be given to anticipated/potential environmental consequences of climate changes in the location of the proposed activity, and over the timeframe of the proposed activity, including the decommissioning phase where relevant.’ </w:t>
      </w:r>
    </w:p>
    <w:p w14:paraId="16CF3D82" w14:textId="77777777" w:rsidR="00BD731E" w:rsidRPr="007E2B22" w:rsidRDefault="00BD731E" w:rsidP="00BD731E">
      <w:pPr>
        <w:pStyle w:val="AtsNormal0"/>
        <w:rPr>
          <w:lang w:val="en-AU"/>
        </w:rPr>
      </w:pPr>
      <w:r w:rsidRPr="007E2B22">
        <w:rPr>
          <w:lang w:val="en-AU"/>
        </w:rPr>
        <w:t xml:space="preserve">Recommendation 19 of the 2010 ATME </w:t>
      </w:r>
      <w:r>
        <w:rPr>
          <w:lang w:val="en-AU"/>
        </w:rPr>
        <w:t>‘</w:t>
      </w:r>
      <w:r w:rsidRPr="007E2B22">
        <w:rPr>
          <w:lang w:val="en-AU"/>
        </w:rPr>
        <w:t>recommended that the CEP consider developing a climate change response work programme</w:t>
      </w:r>
      <w:r>
        <w:rPr>
          <w:lang w:val="en-AU"/>
        </w:rPr>
        <w:t xml:space="preserve"> (CCRWP)</w:t>
      </w:r>
      <w:r w:rsidRPr="007E2B22">
        <w:rPr>
          <w:lang w:val="en-AU"/>
        </w:rPr>
        <w:t>.’ The first edition of the CCRWP was adopted in 2015 (Resolution 4 (2015))</w:t>
      </w:r>
      <w:r>
        <w:rPr>
          <w:lang w:val="en-AU"/>
        </w:rPr>
        <w:t xml:space="preserve">, </w:t>
      </w:r>
      <w:r w:rsidRPr="007E2B22">
        <w:rPr>
          <w:lang w:val="en-AU"/>
        </w:rPr>
        <w:t>updated in 2016 (CEP XIX Final Report</w:t>
      </w:r>
      <w:r>
        <w:rPr>
          <w:lang w:val="en-AU"/>
        </w:rPr>
        <w:t>, Appendix 2</w:t>
      </w:r>
      <w:r w:rsidRPr="007E2B22">
        <w:rPr>
          <w:lang w:val="en-AU"/>
        </w:rPr>
        <w:t xml:space="preserve">) and the Subsidiary Group on Climate Change </w:t>
      </w:r>
      <w:r w:rsidRPr="007E2B22">
        <w:rPr>
          <w:lang w:val="en-AU"/>
        </w:rPr>
        <w:lastRenderedPageBreak/>
        <w:t xml:space="preserve">Response (SGCCR) was established in 2017 to facilitate the efficient and timely implementation of the CCRWP.  </w:t>
      </w:r>
    </w:p>
    <w:p w14:paraId="277757DB" w14:textId="77777777" w:rsidR="00BD731E" w:rsidRDefault="00BD731E" w:rsidP="00BD731E">
      <w:pPr>
        <w:pStyle w:val="AtsNormal0"/>
        <w:rPr>
          <w:lang w:val="en-AU"/>
        </w:rPr>
      </w:pPr>
      <w:r w:rsidRPr="007E2B22">
        <w:rPr>
          <w:lang w:val="en-AU"/>
        </w:rPr>
        <w:t xml:space="preserve">Climate change impacts to the built (human) environment is considered an issue in the workplan with a gap/need and action around identifying impacts on infrastructure and ways to mitigate or counteract those impacts. </w:t>
      </w:r>
    </w:p>
    <w:p w14:paraId="287225CE" w14:textId="77777777" w:rsidR="00BD731E" w:rsidRPr="007E2B22" w:rsidRDefault="00BD731E" w:rsidP="00BD731E">
      <w:pPr>
        <w:pStyle w:val="AtsNormal0"/>
        <w:rPr>
          <w:lang w:val="en-AU"/>
        </w:rPr>
      </w:pPr>
      <w:r>
        <w:rPr>
          <w:lang w:val="en-AU"/>
        </w:rPr>
        <w:t>IP47 (</w:t>
      </w:r>
      <w:r w:rsidRPr="007E2B22">
        <w:rPr>
          <w:lang w:val="en-AU"/>
        </w:rPr>
        <w:t xml:space="preserve">ATCM </w:t>
      </w:r>
      <w:r>
        <w:rPr>
          <w:lang w:val="en-AU"/>
        </w:rPr>
        <w:t xml:space="preserve">XLII/CEP XXII, 2019) reported that </w:t>
      </w:r>
      <w:r w:rsidRPr="00E26774">
        <w:t xml:space="preserve">73% of the COMNAP Member National Antarctic Programs are currently planning or in the process of modernisation of their station or stations. A further seventeen percent (17%) indicated </w:t>
      </w:r>
      <w:r w:rsidRPr="00E26774">
        <w:rPr>
          <w:shd w:val="clear" w:color="auto" w:fill="FFFFFF"/>
        </w:rPr>
        <w:t xml:space="preserve">they may be in the process of modernisation of their station or stations at some point </w:t>
      </w:r>
      <w:proofErr w:type="gramStart"/>
      <w:r w:rsidRPr="00E26774">
        <w:rPr>
          <w:shd w:val="clear" w:color="auto" w:fill="FFFFFF"/>
        </w:rPr>
        <w:t>in the near future</w:t>
      </w:r>
      <w:proofErr w:type="gramEnd"/>
      <w:r w:rsidRPr="00E26774">
        <w:rPr>
          <w:shd w:val="clear" w:color="auto" w:fill="FFFFFF"/>
        </w:rPr>
        <w:t xml:space="preserve">. </w:t>
      </w:r>
      <w:r w:rsidRPr="007E2B22">
        <w:rPr>
          <w:lang w:val="en-AU"/>
        </w:rPr>
        <w:t xml:space="preserve">Noting the likely increase in the need for new and upgraded Antarctic infrastructure, this paper </w:t>
      </w:r>
      <w:r>
        <w:rPr>
          <w:lang w:val="en-AU"/>
        </w:rPr>
        <w:t>discusses</w:t>
      </w:r>
      <w:r w:rsidRPr="007E2B22">
        <w:rPr>
          <w:lang w:val="en-AU"/>
        </w:rPr>
        <w:t xml:space="preserve"> principles in sustainable design</w:t>
      </w:r>
      <w:r>
        <w:rPr>
          <w:lang w:val="en-AU"/>
        </w:rPr>
        <w:t xml:space="preserve"> which support consideration of reducing contributions to climate change from </w:t>
      </w:r>
      <w:r w:rsidRPr="007E2B22">
        <w:rPr>
          <w:lang w:val="en-AU"/>
        </w:rPr>
        <w:t xml:space="preserve">new or upgraded infrastructure projects in Antarctica. </w:t>
      </w:r>
    </w:p>
    <w:p w14:paraId="3E2120FC" w14:textId="77777777" w:rsidR="00BD731E" w:rsidRPr="009C6883" w:rsidRDefault="00BD731E" w:rsidP="00BD731E">
      <w:pPr>
        <w:pStyle w:val="ATSHeading2"/>
        <w:rPr>
          <w:lang w:val="en-AU"/>
        </w:rPr>
      </w:pPr>
      <w:r>
        <w:rPr>
          <w:lang w:val="en-AU"/>
        </w:rPr>
        <w:t>Sustainable Design Standards</w:t>
      </w:r>
    </w:p>
    <w:p w14:paraId="17FB3286" w14:textId="77777777" w:rsidR="00BD731E" w:rsidRPr="00AD7D32" w:rsidRDefault="00BD731E" w:rsidP="00BD731E">
      <w:pPr>
        <w:pStyle w:val="AtsNormal0"/>
        <w:rPr>
          <w:lang w:val="en-AU"/>
        </w:rPr>
      </w:pPr>
      <w:r w:rsidRPr="007E2B22">
        <w:rPr>
          <w:lang w:val="en-AU"/>
        </w:rPr>
        <w:t xml:space="preserve">Sustainable design is the concept of designing the built environment in a manner that conforms to the principles of sustainability. </w:t>
      </w:r>
      <w:r>
        <w:rPr>
          <w:lang w:val="en-AU"/>
        </w:rPr>
        <w:t xml:space="preserve">A sustainable building is a building that, in its design, construction and operation </w:t>
      </w:r>
      <w:r w:rsidRPr="00E132ED">
        <w:rPr>
          <w:lang w:val="en-AU"/>
        </w:rPr>
        <w:t>and decommissioning</w:t>
      </w:r>
      <w:r>
        <w:rPr>
          <w:lang w:val="en-AU"/>
        </w:rPr>
        <w:t>/</w:t>
      </w:r>
      <w:r w:rsidRPr="00E132ED">
        <w:rPr>
          <w:lang w:val="en-AU"/>
        </w:rPr>
        <w:t>deconstruction</w:t>
      </w:r>
      <w:r>
        <w:rPr>
          <w:lang w:val="en-AU"/>
        </w:rPr>
        <w:t>, reduces or eliminates negative impacts, and can create positive impacts on our climate and natural environment. Sustainable</w:t>
      </w:r>
      <w:r w:rsidRPr="00AD7D32">
        <w:rPr>
          <w:lang w:val="en-AU"/>
        </w:rPr>
        <w:t xml:space="preserve"> buildings </w:t>
      </w:r>
      <w:r>
        <w:rPr>
          <w:lang w:val="en-AU"/>
        </w:rPr>
        <w:t xml:space="preserve">are also designed to </w:t>
      </w:r>
      <w:r w:rsidRPr="00AD7D32">
        <w:rPr>
          <w:lang w:val="en-AU"/>
        </w:rPr>
        <w:t>improve our quality of life.</w:t>
      </w:r>
      <w:r>
        <w:rPr>
          <w:lang w:val="en-AU"/>
        </w:rPr>
        <w:t xml:space="preserve"> Sustainable buildings may contain some or </w:t>
      </w:r>
      <w:proofErr w:type="gramStart"/>
      <w:r>
        <w:rPr>
          <w:lang w:val="en-AU"/>
        </w:rPr>
        <w:t>all of</w:t>
      </w:r>
      <w:proofErr w:type="gramEnd"/>
      <w:r>
        <w:rPr>
          <w:lang w:val="en-AU"/>
        </w:rPr>
        <w:t xml:space="preserve"> the following features</w:t>
      </w:r>
      <w:r>
        <w:rPr>
          <w:rStyle w:val="Refdenotaalpie"/>
          <w:lang w:val="en-AU"/>
        </w:rPr>
        <w:footnoteReference w:id="1"/>
      </w:r>
      <w:r>
        <w:rPr>
          <w:lang w:val="en-AU"/>
        </w:rPr>
        <w:t>:</w:t>
      </w:r>
      <w:r w:rsidRPr="00AD7D32">
        <w:rPr>
          <w:lang w:val="en-AU"/>
        </w:rPr>
        <w:t> </w:t>
      </w:r>
    </w:p>
    <w:p w14:paraId="1ACE0364" w14:textId="77777777" w:rsidR="00BD731E" w:rsidRPr="00AD7D32" w:rsidRDefault="00BD731E" w:rsidP="00BD731E">
      <w:pPr>
        <w:pStyle w:val="AtsNormal0"/>
        <w:numPr>
          <w:ilvl w:val="0"/>
          <w:numId w:val="25"/>
        </w:numPr>
        <w:spacing w:before="60" w:after="60"/>
        <w:ind w:left="714" w:hanging="357"/>
        <w:rPr>
          <w:lang w:val="en-AU"/>
        </w:rPr>
      </w:pPr>
      <w:r>
        <w:rPr>
          <w:lang w:val="en-AU"/>
        </w:rPr>
        <w:t xml:space="preserve">Operational efficiency, including </w:t>
      </w:r>
      <w:r w:rsidRPr="00AD7D32">
        <w:rPr>
          <w:lang w:val="en-AU"/>
        </w:rPr>
        <w:t xml:space="preserve">energy, water and other </w:t>
      </w:r>
      <w:proofErr w:type="gramStart"/>
      <w:r w:rsidRPr="00AD7D32">
        <w:rPr>
          <w:lang w:val="en-AU"/>
        </w:rPr>
        <w:t>resources</w:t>
      </w:r>
      <w:r>
        <w:rPr>
          <w:lang w:val="en-AU"/>
        </w:rPr>
        <w:t>;</w:t>
      </w:r>
      <w:proofErr w:type="gramEnd"/>
    </w:p>
    <w:p w14:paraId="6C64DC75" w14:textId="77777777" w:rsidR="00BD731E" w:rsidRDefault="00BD731E" w:rsidP="00BD731E">
      <w:pPr>
        <w:pStyle w:val="AtsNormal0"/>
        <w:numPr>
          <w:ilvl w:val="0"/>
          <w:numId w:val="25"/>
        </w:numPr>
        <w:spacing w:before="60" w:after="60"/>
        <w:ind w:left="714" w:hanging="357"/>
        <w:rPr>
          <w:lang w:val="en-AU"/>
        </w:rPr>
      </w:pPr>
      <w:r>
        <w:rPr>
          <w:lang w:val="en-AU"/>
        </w:rPr>
        <w:t xml:space="preserve">Quantification of the impact on climate change through lifecycle assessment including embodied carbon of products and </w:t>
      </w:r>
      <w:proofErr w:type="gramStart"/>
      <w:r>
        <w:rPr>
          <w:lang w:val="en-AU"/>
        </w:rPr>
        <w:t>materials;</w:t>
      </w:r>
      <w:proofErr w:type="gramEnd"/>
    </w:p>
    <w:p w14:paraId="746A5921"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 xml:space="preserve">Use of renewable </w:t>
      </w:r>
      <w:proofErr w:type="gramStart"/>
      <w:r w:rsidRPr="00AD7D32">
        <w:rPr>
          <w:lang w:val="en-AU"/>
        </w:rPr>
        <w:t>energy</w:t>
      </w:r>
      <w:r>
        <w:rPr>
          <w:lang w:val="en-AU"/>
        </w:rPr>
        <w:t>;</w:t>
      </w:r>
      <w:proofErr w:type="gramEnd"/>
    </w:p>
    <w:p w14:paraId="2EEA4518"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 xml:space="preserve">Pollution and waste reduction </w:t>
      </w:r>
      <w:proofErr w:type="gramStart"/>
      <w:r w:rsidRPr="00AD7D32">
        <w:rPr>
          <w:lang w:val="en-AU"/>
        </w:rPr>
        <w:t>measures</w:t>
      </w:r>
      <w:r>
        <w:rPr>
          <w:lang w:val="en-AU"/>
        </w:rPr>
        <w:t>;</w:t>
      </w:r>
      <w:proofErr w:type="gramEnd"/>
    </w:p>
    <w:p w14:paraId="6C69782B" w14:textId="77777777" w:rsidR="00BD731E" w:rsidRPr="00AD7D32" w:rsidRDefault="00BD731E" w:rsidP="00BD731E">
      <w:pPr>
        <w:pStyle w:val="AtsNormal0"/>
        <w:numPr>
          <w:ilvl w:val="0"/>
          <w:numId w:val="25"/>
        </w:numPr>
        <w:spacing w:before="60" w:after="60"/>
        <w:ind w:left="714" w:hanging="357"/>
        <w:rPr>
          <w:lang w:val="en-AU"/>
        </w:rPr>
      </w:pPr>
      <w:r>
        <w:rPr>
          <w:lang w:val="en-AU"/>
        </w:rPr>
        <w:t>Healthy</w:t>
      </w:r>
      <w:r w:rsidRPr="00AD7D32">
        <w:rPr>
          <w:lang w:val="en-AU"/>
        </w:rPr>
        <w:t xml:space="preserve"> indoor environmental air </w:t>
      </w:r>
      <w:proofErr w:type="gramStart"/>
      <w:r w:rsidRPr="00AD7D32">
        <w:rPr>
          <w:lang w:val="en-AU"/>
        </w:rPr>
        <w:t>quality</w:t>
      </w:r>
      <w:r>
        <w:rPr>
          <w:lang w:val="en-AU"/>
        </w:rPr>
        <w:t>;</w:t>
      </w:r>
      <w:proofErr w:type="gramEnd"/>
    </w:p>
    <w:p w14:paraId="2533EA48"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 xml:space="preserve">Use of materials that are non-toxic, ethical and </w:t>
      </w:r>
      <w:proofErr w:type="gramStart"/>
      <w:r w:rsidRPr="00AD7D32">
        <w:rPr>
          <w:lang w:val="en-AU"/>
        </w:rPr>
        <w:t>sustainable</w:t>
      </w:r>
      <w:r>
        <w:rPr>
          <w:lang w:val="en-AU"/>
        </w:rPr>
        <w:t>;</w:t>
      </w:r>
      <w:proofErr w:type="gramEnd"/>
    </w:p>
    <w:p w14:paraId="53AF8BEB"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Consideration of the environment in design, construction and operation</w:t>
      </w:r>
      <w:r>
        <w:rPr>
          <w:lang w:val="en-AU"/>
        </w:rPr>
        <w:t xml:space="preserve"> and </w:t>
      </w:r>
      <w:r w:rsidRPr="00E132ED">
        <w:rPr>
          <w:lang w:val="en-AU"/>
        </w:rPr>
        <w:t>decommissioning</w:t>
      </w:r>
      <w:r>
        <w:rPr>
          <w:lang w:val="en-AU"/>
        </w:rPr>
        <w:t xml:space="preserve">/ </w:t>
      </w:r>
      <w:proofErr w:type="gramStart"/>
      <w:r w:rsidRPr="00E132ED">
        <w:rPr>
          <w:lang w:val="en-AU"/>
        </w:rPr>
        <w:t>deconstruction</w:t>
      </w:r>
      <w:r>
        <w:rPr>
          <w:lang w:val="en-AU"/>
        </w:rPr>
        <w:t>;</w:t>
      </w:r>
      <w:proofErr w:type="gramEnd"/>
    </w:p>
    <w:p w14:paraId="1097A651"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 xml:space="preserve">Consideration of the quality of life of occupants in design, </w:t>
      </w:r>
      <w:proofErr w:type="gramStart"/>
      <w:r w:rsidRPr="00AD7D32">
        <w:rPr>
          <w:lang w:val="en-AU"/>
        </w:rPr>
        <w:t>construction</w:t>
      </w:r>
      <w:proofErr w:type="gramEnd"/>
      <w:r w:rsidRPr="00AD7D32">
        <w:rPr>
          <w:lang w:val="en-AU"/>
        </w:rPr>
        <w:t xml:space="preserve"> and operation</w:t>
      </w:r>
      <w:r>
        <w:rPr>
          <w:lang w:val="en-AU"/>
        </w:rPr>
        <w:t>; and</w:t>
      </w:r>
    </w:p>
    <w:p w14:paraId="24D43324" w14:textId="77777777" w:rsidR="00BD731E" w:rsidRPr="00AD7D32" w:rsidRDefault="00BD731E" w:rsidP="00BD731E">
      <w:pPr>
        <w:pStyle w:val="AtsNormal0"/>
        <w:numPr>
          <w:ilvl w:val="0"/>
          <w:numId w:val="25"/>
        </w:numPr>
        <w:spacing w:before="60" w:after="60"/>
        <w:ind w:left="714" w:hanging="357"/>
        <w:rPr>
          <w:lang w:val="en-AU"/>
        </w:rPr>
      </w:pPr>
      <w:r w:rsidRPr="00AD7D32">
        <w:rPr>
          <w:lang w:val="en-AU"/>
        </w:rPr>
        <w:t>A design that enables adaptation to a changing environment</w:t>
      </w:r>
      <w:r>
        <w:rPr>
          <w:lang w:val="en-AU"/>
        </w:rPr>
        <w:t>.</w:t>
      </w:r>
    </w:p>
    <w:p w14:paraId="7BBAAB04" w14:textId="77777777" w:rsidR="00BD731E" w:rsidRDefault="00BD731E" w:rsidP="00BD731E">
      <w:pPr>
        <w:pStyle w:val="AtsNormal0"/>
        <w:rPr>
          <w:lang w:val="en-AU"/>
        </w:rPr>
      </w:pPr>
      <w:r>
        <w:rPr>
          <w:lang w:val="en-AU"/>
        </w:rPr>
        <w:t>Sustainable buildings have many benefits including environmental protection, efficient operations (</w:t>
      </w:r>
      <w:proofErr w:type="gramStart"/>
      <w:r>
        <w:rPr>
          <w:lang w:val="en-AU"/>
        </w:rPr>
        <w:t>i.e.</w:t>
      </w:r>
      <w:proofErr w:type="gramEnd"/>
      <w:r>
        <w:rPr>
          <w:lang w:val="en-AU"/>
        </w:rPr>
        <w:t xml:space="preserve"> reducing water and energy consumption, the use of renewable energy and waste reduction measures), reduced emissions of greenhouse gases (which may result in economic benefits due to cost savings) and supporting the health and wellbeing of people who work or live in these buildings.</w:t>
      </w:r>
    </w:p>
    <w:p w14:paraId="433FA879" w14:textId="77777777" w:rsidR="00BD731E" w:rsidRDefault="00BD731E" w:rsidP="00BD731E">
      <w:pPr>
        <w:pStyle w:val="AtsNormal0"/>
        <w:rPr>
          <w:lang w:val="en-AU"/>
        </w:rPr>
      </w:pPr>
      <w:r>
        <w:rPr>
          <w:lang w:val="en-AU"/>
        </w:rPr>
        <w:t>The p</w:t>
      </w:r>
      <w:r w:rsidRPr="007E2B22">
        <w:rPr>
          <w:lang w:val="en-AU"/>
        </w:rPr>
        <w:t xml:space="preserve">rincipals of sustainable design </w:t>
      </w:r>
      <w:r>
        <w:rPr>
          <w:lang w:val="en-AU"/>
        </w:rPr>
        <w:t>can be</w:t>
      </w:r>
      <w:r w:rsidRPr="007E2B22">
        <w:rPr>
          <w:lang w:val="en-AU"/>
        </w:rPr>
        <w:t xml:space="preserve"> verified </w:t>
      </w:r>
      <w:proofErr w:type="gramStart"/>
      <w:r w:rsidRPr="007E2B22">
        <w:rPr>
          <w:lang w:val="en-AU"/>
        </w:rPr>
        <w:t>through the use of</w:t>
      </w:r>
      <w:proofErr w:type="gramEnd"/>
      <w:r w:rsidRPr="007E2B22">
        <w:rPr>
          <w:lang w:val="en-AU"/>
        </w:rPr>
        <w:t xml:space="preserve"> design standards</w:t>
      </w:r>
      <w:r>
        <w:rPr>
          <w:lang w:val="en-AU"/>
        </w:rPr>
        <w:t xml:space="preserve">. Some well-known global sustainable design standard examples include: </w:t>
      </w:r>
    </w:p>
    <w:p w14:paraId="7C2EF2B6" w14:textId="77777777" w:rsidR="00BD731E" w:rsidRDefault="00BD731E" w:rsidP="00BD731E">
      <w:pPr>
        <w:pStyle w:val="AtsNormal0"/>
        <w:numPr>
          <w:ilvl w:val="0"/>
          <w:numId w:val="24"/>
        </w:numPr>
        <w:spacing w:before="60" w:after="60"/>
        <w:ind w:left="714" w:hanging="357"/>
        <w:rPr>
          <w:lang w:val="en-AU"/>
        </w:rPr>
      </w:pPr>
      <w:r w:rsidRPr="0003785C">
        <w:rPr>
          <w:lang w:val="en-AU"/>
        </w:rPr>
        <w:t>Leadership in Energy and Environmental Design</w:t>
      </w:r>
      <w:r>
        <w:rPr>
          <w:lang w:val="en-AU"/>
        </w:rPr>
        <w:t xml:space="preserve"> (LEED</w:t>
      </w:r>
      <w:proofErr w:type="gramStart"/>
      <w:r>
        <w:rPr>
          <w:lang w:val="en-AU"/>
        </w:rPr>
        <w:t>);</w:t>
      </w:r>
      <w:proofErr w:type="gramEnd"/>
    </w:p>
    <w:p w14:paraId="30221845" w14:textId="77777777" w:rsidR="00BD731E" w:rsidRDefault="00BD731E" w:rsidP="00BD731E">
      <w:pPr>
        <w:pStyle w:val="AtsNormal0"/>
        <w:numPr>
          <w:ilvl w:val="0"/>
          <w:numId w:val="24"/>
        </w:numPr>
        <w:spacing w:before="60" w:after="60"/>
        <w:ind w:left="714" w:hanging="357"/>
        <w:rPr>
          <w:lang w:val="en-AU"/>
        </w:rPr>
      </w:pPr>
      <w:r w:rsidRPr="0003785C">
        <w:rPr>
          <w:lang w:val="en-AU"/>
        </w:rPr>
        <w:t>Building Research Establishment Environmental Assessment Method</w:t>
      </w:r>
      <w:r>
        <w:rPr>
          <w:lang w:val="en-AU"/>
        </w:rPr>
        <w:t xml:space="preserve"> (BREEAM);</w:t>
      </w:r>
      <w:r>
        <w:rPr>
          <w:rStyle w:val="Refdenotaalpie"/>
          <w:lang w:val="en-AU"/>
        </w:rPr>
        <w:footnoteReference w:id="2"/>
      </w:r>
    </w:p>
    <w:p w14:paraId="2709D520" w14:textId="77777777" w:rsidR="00BD731E" w:rsidRDefault="00BD731E" w:rsidP="00BD731E">
      <w:pPr>
        <w:pStyle w:val="AtsNormal0"/>
        <w:numPr>
          <w:ilvl w:val="0"/>
          <w:numId w:val="24"/>
        </w:numPr>
        <w:spacing w:before="60" w:after="60"/>
        <w:ind w:left="714" w:hanging="357"/>
        <w:rPr>
          <w:lang w:val="en-AU"/>
        </w:rPr>
      </w:pPr>
      <w:r>
        <w:rPr>
          <w:lang w:val="en-AU"/>
        </w:rPr>
        <w:t>Green Star – Green Building Council</w:t>
      </w:r>
      <w:r>
        <w:rPr>
          <w:rStyle w:val="Refdenotaalpie"/>
          <w:lang w:val="en-AU"/>
        </w:rPr>
        <w:footnoteReference w:id="3"/>
      </w:r>
    </w:p>
    <w:p w14:paraId="3F420018" w14:textId="77777777" w:rsidR="00BD731E" w:rsidRDefault="00BD731E" w:rsidP="00BD731E">
      <w:pPr>
        <w:pStyle w:val="AtsNormal0"/>
        <w:numPr>
          <w:ilvl w:val="0"/>
          <w:numId w:val="24"/>
        </w:numPr>
        <w:spacing w:before="60" w:after="60"/>
        <w:ind w:left="714" w:hanging="357"/>
        <w:rPr>
          <w:lang w:val="en-AU"/>
        </w:rPr>
      </w:pPr>
      <w:r w:rsidRPr="00E132ED">
        <w:rPr>
          <w:lang w:val="en-AU"/>
        </w:rPr>
        <w:t>Civil Engineering Environmental Quality</w:t>
      </w:r>
      <w:r>
        <w:rPr>
          <w:lang w:val="en-AU"/>
        </w:rPr>
        <w:t xml:space="preserve"> (CEEQUAL)</w:t>
      </w:r>
      <w:r>
        <w:rPr>
          <w:rStyle w:val="Refdenotaalpie"/>
          <w:lang w:val="en-AU"/>
        </w:rPr>
        <w:footnoteReference w:id="4"/>
      </w:r>
    </w:p>
    <w:p w14:paraId="620A7FE5" w14:textId="77777777" w:rsidR="00BD731E" w:rsidRDefault="00BD731E" w:rsidP="00BD731E">
      <w:pPr>
        <w:pStyle w:val="AtsNormal0"/>
        <w:numPr>
          <w:ilvl w:val="0"/>
          <w:numId w:val="24"/>
        </w:numPr>
        <w:spacing w:before="60" w:after="60"/>
        <w:ind w:left="714" w:hanging="357"/>
        <w:rPr>
          <w:lang w:val="en-AU"/>
        </w:rPr>
      </w:pPr>
      <w:r>
        <w:rPr>
          <w:lang w:val="en-AU"/>
        </w:rPr>
        <w:t>Publicly Available Specification 2080 (PAS 2080)</w:t>
      </w:r>
      <w:r>
        <w:rPr>
          <w:rStyle w:val="Refdenotaalpie"/>
          <w:lang w:val="en-AU"/>
        </w:rPr>
        <w:footnoteReference w:id="5"/>
      </w:r>
    </w:p>
    <w:p w14:paraId="47D9529A" w14:textId="77777777" w:rsidR="00BD731E" w:rsidRPr="00BC62C5" w:rsidRDefault="00BD731E" w:rsidP="00BD731E">
      <w:pPr>
        <w:pStyle w:val="AtsNormal0"/>
        <w:rPr>
          <w:lang w:val="en-AU"/>
        </w:rPr>
      </w:pPr>
      <w:r>
        <w:rPr>
          <w:lang w:val="en-AU"/>
        </w:rPr>
        <w:lastRenderedPageBreak/>
        <w:t>Existing d</w:t>
      </w:r>
      <w:r w:rsidRPr="007E2B22">
        <w:rPr>
          <w:lang w:val="en-AU"/>
        </w:rPr>
        <w:t xml:space="preserve">esign standards are </w:t>
      </w:r>
      <w:r>
        <w:rPr>
          <w:lang w:val="en-AU"/>
        </w:rPr>
        <w:t xml:space="preserve">generally </w:t>
      </w:r>
      <w:r w:rsidRPr="007E2B22">
        <w:rPr>
          <w:lang w:val="en-AU"/>
        </w:rPr>
        <w:t xml:space="preserve">specific </w:t>
      </w:r>
      <w:r>
        <w:rPr>
          <w:lang w:val="en-AU"/>
        </w:rPr>
        <w:t>to the urban</w:t>
      </w:r>
      <w:r w:rsidRPr="007E2B22">
        <w:rPr>
          <w:lang w:val="en-AU"/>
        </w:rPr>
        <w:t xml:space="preserve"> environment, where </w:t>
      </w:r>
      <w:proofErr w:type="gramStart"/>
      <w:r w:rsidRPr="007E2B22">
        <w:rPr>
          <w:lang w:val="en-AU"/>
        </w:rPr>
        <w:t>the majority of</w:t>
      </w:r>
      <w:proofErr w:type="gramEnd"/>
      <w:r w:rsidRPr="007E2B22">
        <w:rPr>
          <w:lang w:val="en-AU"/>
        </w:rPr>
        <w:t xml:space="preserve"> </w:t>
      </w:r>
      <w:r>
        <w:rPr>
          <w:lang w:val="en-AU"/>
        </w:rPr>
        <w:t>buildings and infrastructure projects</w:t>
      </w:r>
      <w:r w:rsidRPr="007E2B22">
        <w:rPr>
          <w:lang w:val="en-AU"/>
        </w:rPr>
        <w:t xml:space="preserve"> occurs. Assessing the risk of climate change</w:t>
      </w:r>
      <w:r>
        <w:rPr>
          <w:lang w:val="en-AU"/>
        </w:rPr>
        <w:t>, reducing</w:t>
      </w:r>
      <w:r w:rsidRPr="007E2B22">
        <w:rPr>
          <w:lang w:val="en-AU"/>
        </w:rPr>
        <w:t xml:space="preserve"> carbon </w:t>
      </w:r>
      <w:r>
        <w:rPr>
          <w:lang w:val="en-AU"/>
        </w:rPr>
        <w:t xml:space="preserve">emissions, and managing sustainability issues </w:t>
      </w:r>
      <w:r w:rsidRPr="007E2B22">
        <w:rPr>
          <w:lang w:val="en-AU"/>
        </w:rPr>
        <w:t xml:space="preserve">of </w:t>
      </w:r>
      <w:r>
        <w:rPr>
          <w:lang w:val="en-AU"/>
        </w:rPr>
        <w:t>buildings</w:t>
      </w:r>
      <w:r w:rsidRPr="007E2B22">
        <w:rPr>
          <w:lang w:val="en-AU"/>
        </w:rPr>
        <w:t xml:space="preserve"> in Antarctica </w:t>
      </w:r>
      <w:r>
        <w:rPr>
          <w:lang w:val="en-AU"/>
        </w:rPr>
        <w:t>is</w:t>
      </w:r>
      <w:r w:rsidRPr="007E2B22">
        <w:rPr>
          <w:lang w:val="en-AU"/>
        </w:rPr>
        <w:t xml:space="preserve"> complex.</w:t>
      </w:r>
      <w:r>
        <w:rPr>
          <w:lang w:val="en-AU"/>
        </w:rPr>
        <w:t xml:space="preserve"> Existing design standards are therefore </w:t>
      </w:r>
      <w:r w:rsidRPr="00BC62C5">
        <w:rPr>
          <w:lang w:val="en-AU"/>
        </w:rPr>
        <w:t xml:space="preserve">not applicable to the built (human) environment in Antarctica.  </w:t>
      </w:r>
    </w:p>
    <w:p w14:paraId="7742B2B0" w14:textId="77777777" w:rsidR="00BD731E" w:rsidRPr="00BC62C5" w:rsidRDefault="00BD731E" w:rsidP="00BD731E">
      <w:pPr>
        <w:pStyle w:val="AtsNormal0"/>
        <w:rPr>
          <w:lang w:val="en-AU"/>
        </w:rPr>
      </w:pPr>
      <w:r w:rsidRPr="00BC62C5">
        <w:rPr>
          <w:lang w:val="en-AU"/>
        </w:rPr>
        <w:t xml:space="preserve">In addition to the EIA process, the UK has worked towards changing its approach to sustainable design and adopting best practice. In the past 5 years, British Antarctic Survey (BAS) has worked with the Building Research Establishment (BRE) to tailor BREEAM for polar environments. BAS currently uses a bespoke “Tailored Appendix” for the BREEAM International scheme for new buildings which has adapted many of the standard criteria to achieve the best possible outcome with the most appropriate approach for the climate and latitude. Infrastructure and civil engineering projects implement CEEQUAL and undergo an extensive scoping exercise to ensure appropriateness of the criteria. A minimum rating of BREEAM or CEEQUAL Excellent is required by BAS policy in all new build projects. </w:t>
      </w:r>
    </w:p>
    <w:p w14:paraId="54CDF47C" w14:textId="77777777" w:rsidR="00BD731E" w:rsidRPr="00BC62C5" w:rsidRDefault="00BD731E" w:rsidP="00BD731E">
      <w:pPr>
        <w:pStyle w:val="AtsNormal0"/>
        <w:rPr>
          <w:lang w:val="en-AU"/>
        </w:rPr>
      </w:pPr>
      <w:r w:rsidRPr="00BC62C5">
        <w:rPr>
          <w:lang w:val="en-AU"/>
        </w:rPr>
        <w:t xml:space="preserve">BAS is also developing internal processes to further support and embed best practice in sustainable design and integrate sustainable decision making throughout project management. BAS currently implements a Sustainability Strategy with bespoke Sustainability Management Plans for individual projects to track sustainable decision making across the design and build of a project. Additionally, every construction project will also produce a carbon report using the PAS 2080 standard, to outline how carbon is being managed at every stage and how a project contributes to carbon targets. </w:t>
      </w:r>
    </w:p>
    <w:p w14:paraId="7C291E46" w14:textId="77777777" w:rsidR="00BD731E" w:rsidRPr="00BC62C5" w:rsidRDefault="00BD731E" w:rsidP="00BD731E">
      <w:pPr>
        <w:pStyle w:val="AtsNormal0"/>
        <w:rPr>
          <w:lang w:val="en-AU"/>
        </w:rPr>
      </w:pPr>
      <w:r w:rsidRPr="00BC62C5">
        <w:rPr>
          <w:lang w:val="en-AU"/>
        </w:rPr>
        <w:t xml:space="preserve">The benefits of using both internal and externally validated sustainability processes is delivering benefits across BAS in terms of </w:t>
      </w:r>
      <w:proofErr w:type="gramStart"/>
      <w:r w:rsidRPr="00BC62C5">
        <w:rPr>
          <w:lang w:val="en-AU"/>
        </w:rPr>
        <w:t>better quality</w:t>
      </w:r>
      <w:proofErr w:type="gramEnd"/>
      <w:r w:rsidRPr="00BC62C5">
        <w:rPr>
          <w:lang w:val="en-AU"/>
        </w:rPr>
        <w:t xml:space="preserve"> design, a better user experience as well as helping meet carbon reduction ambitions. </w:t>
      </w:r>
    </w:p>
    <w:p w14:paraId="507B4C7A" w14:textId="77777777" w:rsidR="00BD731E" w:rsidRDefault="00BD731E" w:rsidP="00BD731E">
      <w:pPr>
        <w:pStyle w:val="AtsNormal0"/>
        <w:rPr>
          <w:lang w:val="en-AU"/>
        </w:rPr>
      </w:pPr>
      <w:r>
        <w:rPr>
          <w:lang w:val="en-AU"/>
        </w:rPr>
        <w:t xml:space="preserve">New Zealand collaborated </w:t>
      </w:r>
      <w:r w:rsidRPr="007E2B22">
        <w:rPr>
          <w:lang w:val="en-AU"/>
        </w:rPr>
        <w:t xml:space="preserve">with the New Zealand </w:t>
      </w:r>
      <w:r>
        <w:rPr>
          <w:lang w:val="en-AU"/>
        </w:rPr>
        <w:t xml:space="preserve">and Australian </w:t>
      </w:r>
      <w:r w:rsidRPr="007E2B22">
        <w:rPr>
          <w:lang w:val="en-AU"/>
        </w:rPr>
        <w:t>Green Building Council</w:t>
      </w:r>
      <w:r>
        <w:rPr>
          <w:lang w:val="en-AU"/>
        </w:rPr>
        <w:t>s to develop</w:t>
      </w:r>
      <w:r w:rsidRPr="007E2B22">
        <w:rPr>
          <w:lang w:val="en-AU"/>
        </w:rPr>
        <w:t xml:space="preserve"> a custom </w:t>
      </w:r>
      <w:r>
        <w:rPr>
          <w:lang w:val="en-AU"/>
        </w:rPr>
        <w:t>sustainable design standard (</w:t>
      </w:r>
      <w:r w:rsidRPr="007E2B22">
        <w:rPr>
          <w:lang w:val="en-AU"/>
        </w:rPr>
        <w:t xml:space="preserve">Green Star </w:t>
      </w:r>
      <w:r>
        <w:rPr>
          <w:lang w:val="en-AU"/>
        </w:rPr>
        <w:t>Antarctic</w:t>
      </w:r>
      <w:r w:rsidRPr="007E2B22">
        <w:rPr>
          <w:lang w:val="en-AU"/>
        </w:rPr>
        <w:t xml:space="preserve"> </w:t>
      </w:r>
      <w:r>
        <w:rPr>
          <w:lang w:val="en-AU"/>
        </w:rPr>
        <w:t>Too</w:t>
      </w:r>
      <w:r w:rsidRPr="007E2B22">
        <w:rPr>
          <w:lang w:val="en-AU"/>
        </w:rPr>
        <w:t>l</w:t>
      </w:r>
      <w:r>
        <w:rPr>
          <w:lang w:val="en-AU"/>
        </w:rPr>
        <w:t>),</w:t>
      </w:r>
      <w:r w:rsidRPr="007E2B22">
        <w:rPr>
          <w:lang w:val="en-AU"/>
        </w:rPr>
        <w:t xml:space="preserve"> to independently verify</w:t>
      </w:r>
      <w:r>
        <w:rPr>
          <w:lang w:val="en-AU"/>
        </w:rPr>
        <w:t xml:space="preserve"> the proposed Scott Base Redevelopment building design (</w:t>
      </w:r>
      <w:r w:rsidRPr="00382A56">
        <w:rPr>
          <w:highlight w:val="yellow"/>
          <w:lang w:val="en-AU"/>
        </w:rPr>
        <w:t>WP XX</w:t>
      </w:r>
      <w:r>
        <w:rPr>
          <w:lang w:val="en-AU"/>
        </w:rPr>
        <w:t>)</w:t>
      </w:r>
      <w:r w:rsidRPr="007E2B22">
        <w:rPr>
          <w:lang w:val="en-AU"/>
        </w:rPr>
        <w:t>. The tool utilises internationally recognised standards for addressing a projects contribution to climate change, assessing the life cycle impacts of materials and construction efforts, and enhancing operational efficiency of buildings. Th</w:t>
      </w:r>
      <w:r>
        <w:rPr>
          <w:lang w:val="en-AU"/>
        </w:rPr>
        <w:t>e</w:t>
      </w:r>
      <w:r w:rsidRPr="007E2B22">
        <w:rPr>
          <w:lang w:val="en-AU"/>
        </w:rPr>
        <w:t xml:space="preserve"> tool is an internationally recognised system that verifies design and construction practices that reduces contribution to climate change</w:t>
      </w:r>
      <w:r>
        <w:rPr>
          <w:lang w:val="en-AU"/>
        </w:rPr>
        <w:t>. Further information</w:t>
      </w:r>
      <w:r w:rsidRPr="007E2B22">
        <w:rPr>
          <w:lang w:val="en-AU"/>
        </w:rPr>
        <w:t xml:space="preserve"> on the application of </w:t>
      </w:r>
      <w:r>
        <w:rPr>
          <w:lang w:val="en-AU"/>
        </w:rPr>
        <w:t xml:space="preserve">the </w:t>
      </w:r>
      <w:r w:rsidRPr="007E2B22">
        <w:rPr>
          <w:lang w:val="en-AU"/>
        </w:rPr>
        <w:t xml:space="preserve">Green Star </w:t>
      </w:r>
      <w:r>
        <w:rPr>
          <w:lang w:val="en-AU"/>
        </w:rPr>
        <w:t>Antarctic Tool is</w:t>
      </w:r>
      <w:r w:rsidRPr="007E2B22">
        <w:rPr>
          <w:lang w:val="en-AU"/>
        </w:rPr>
        <w:t xml:space="preserve"> presented in </w:t>
      </w:r>
      <w:r w:rsidRPr="00382A56">
        <w:rPr>
          <w:highlight w:val="yellow"/>
          <w:lang w:val="en-AU"/>
        </w:rPr>
        <w:t>IP XX</w:t>
      </w:r>
      <w:r>
        <w:rPr>
          <w:lang w:val="en-AU"/>
        </w:rPr>
        <w:t>. The tool can be shared with Parties and updated for any</w:t>
      </w:r>
      <w:r w:rsidRPr="003D5A4A">
        <w:rPr>
          <w:lang w:val="en-AU"/>
        </w:rPr>
        <w:t xml:space="preserve"> Antarctic building or modernisation infrastructure project</w:t>
      </w:r>
      <w:r>
        <w:rPr>
          <w:lang w:val="en-AU"/>
        </w:rPr>
        <w:t xml:space="preserve"> by a Green Building Council</w:t>
      </w:r>
      <w:r w:rsidRPr="003D5A4A">
        <w:rPr>
          <w:lang w:val="en-AU"/>
        </w:rPr>
        <w:t>.</w:t>
      </w:r>
    </w:p>
    <w:p w14:paraId="2531D7A3" w14:textId="77777777" w:rsidR="00BD731E" w:rsidRPr="007E2B22" w:rsidRDefault="00BD731E" w:rsidP="00BD731E">
      <w:pPr>
        <w:pStyle w:val="ATSHeading2"/>
        <w:rPr>
          <w:lang w:val="en-AU"/>
        </w:rPr>
      </w:pPr>
      <w:r w:rsidRPr="007E2B22">
        <w:rPr>
          <w:lang w:val="en-AU"/>
        </w:rPr>
        <w:t>Recommendation:</w:t>
      </w:r>
    </w:p>
    <w:p w14:paraId="042A5099" w14:textId="77777777" w:rsidR="00BD731E" w:rsidRDefault="00BD731E" w:rsidP="00BD731E">
      <w:pPr>
        <w:pStyle w:val="AtsNormal0"/>
        <w:rPr>
          <w:lang w:val="en-AU"/>
        </w:rPr>
      </w:pPr>
      <w:r>
        <w:rPr>
          <w:lang w:val="en-AU"/>
        </w:rPr>
        <w:t xml:space="preserve">New Zealand </w:t>
      </w:r>
      <w:r w:rsidRPr="001E5515">
        <w:rPr>
          <w:lang w:val="en-AU"/>
        </w:rPr>
        <w:t>and the United Kingdom</w:t>
      </w:r>
      <w:r>
        <w:rPr>
          <w:lang w:val="en-AU"/>
        </w:rPr>
        <w:t xml:space="preserve"> recommend the CEP </w:t>
      </w:r>
      <w:r>
        <w:t>advises the ATCM to recommend that Parties</w:t>
      </w:r>
      <w:r>
        <w:rPr>
          <w:lang w:val="en-AU"/>
        </w:rPr>
        <w:t>:</w:t>
      </w:r>
    </w:p>
    <w:p w14:paraId="6662C2E4" w14:textId="77777777" w:rsidR="00BD731E" w:rsidRDefault="00BD731E" w:rsidP="00BD731E">
      <w:pPr>
        <w:pStyle w:val="AtsNormal0"/>
        <w:numPr>
          <w:ilvl w:val="0"/>
          <w:numId w:val="23"/>
        </w:numPr>
        <w:ind w:left="357" w:hanging="357"/>
        <w:rPr>
          <w:lang w:val="en-AU"/>
        </w:rPr>
      </w:pPr>
      <w:r>
        <w:rPr>
          <w:lang w:val="en-AU"/>
        </w:rPr>
        <w:t xml:space="preserve">Consider the use of a sustainable design standard for the design, construction and operation of new buildings or modernisation infrastructure projects in </w:t>
      </w:r>
      <w:proofErr w:type="gramStart"/>
      <w:r>
        <w:rPr>
          <w:lang w:val="en-AU"/>
        </w:rPr>
        <w:t>Antarctica;</w:t>
      </w:r>
      <w:proofErr w:type="gramEnd"/>
    </w:p>
    <w:p w14:paraId="75DB7F57" w14:textId="77777777" w:rsidR="00BD731E" w:rsidRPr="006C73F0" w:rsidRDefault="00BD731E" w:rsidP="00BD731E">
      <w:pPr>
        <w:pStyle w:val="AtsNormal0"/>
        <w:numPr>
          <w:ilvl w:val="0"/>
          <w:numId w:val="23"/>
        </w:numPr>
        <w:ind w:left="357" w:hanging="357"/>
        <w:rPr>
          <w:b/>
        </w:rPr>
      </w:pPr>
      <w:r w:rsidRPr="003D5A4A">
        <w:rPr>
          <w:lang w:val="en-AU"/>
        </w:rPr>
        <w:t xml:space="preserve">Note the </w:t>
      </w:r>
      <w:r>
        <w:rPr>
          <w:lang w:val="en-AU"/>
        </w:rPr>
        <w:t>availability</w:t>
      </w:r>
      <w:r w:rsidRPr="003D5A4A">
        <w:rPr>
          <w:lang w:val="en-AU"/>
        </w:rPr>
        <w:t xml:space="preserve"> of </w:t>
      </w:r>
      <w:r>
        <w:rPr>
          <w:lang w:val="en-AU"/>
        </w:rPr>
        <w:t>a</w:t>
      </w:r>
      <w:r w:rsidRPr="003D5A4A">
        <w:rPr>
          <w:lang w:val="en-AU"/>
        </w:rPr>
        <w:t xml:space="preserve"> </w:t>
      </w:r>
      <w:r>
        <w:rPr>
          <w:lang w:val="en-AU"/>
        </w:rPr>
        <w:t>custom</w:t>
      </w:r>
      <w:r w:rsidRPr="003D5A4A">
        <w:rPr>
          <w:lang w:val="en-AU"/>
        </w:rPr>
        <w:t xml:space="preserve"> </w:t>
      </w:r>
      <w:r>
        <w:rPr>
          <w:lang w:val="en-AU"/>
        </w:rPr>
        <w:t>Green Star Antarctic standard and tailored BREEAM tools, which</w:t>
      </w:r>
      <w:r w:rsidRPr="003D5A4A">
        <w:rPr>
          <w:lang w:val="en-AU"/>
        </w:rPr>
        <w:t xml:space="preserve"> may be shared with Parties</w:t>
      </w:r>
      <w:r>
        <w:rPr>
          <w:lang w:val="en-AU"/>
        </w:rPr>
        <w:t>,</w:t>
      </w:r>
      <w:r w:rsidRPr="003D5A4A">
        <w:rPr>
          <w:lang w:val="en-AU"/>
        </w:rPr>
        <w:t xml:space="preserve"> and </w:t>
      </w:r>
      <w:r>
        <w:rPr>
          <w:lang w:val="en-AU"/>
        </w:rPr>
        <w:t xml:space="preserve">adopted and adapted </w:t>
      </w:r>
      <w:r w:rsidRPr="003D5A4A">
        <w:rPr>
          <w:lang w:val="en-AU"/>
        </w:rPr>
        <w:t xml:space="preserve">for </w:t>
      </w:r>
      <w:r>
        <w:rPr>
          <w:lang w:val="en-AU"/>
        </w:rPr>
        <w:t>any</w:t>
      </w:r>
      <w:r w:rsidRPr="003D5A4A">
        <w:rPr>
          <w:lang w:val="en-AU"/>
        </w:rPr>
        <w:t xml:space="preserve"> Antarctic building or modernisation infrastructure </w:t>
      </w:r>
      <w:proofErr w:type="gramStart"/>
      <w:r>
        <w:rPr>
          <w:lang w:val="en-AU"/>
        </w:rPr>
        <w:t>project;</w:t>
      </w:r>
      <w:proofErr w:type="gramEnd"/>
    </w:p>
    <w:p w14:paraId="00B116A2" w14:textId="77777777" w:rsidR="00BD731E" w:rsidRPr="00E57F23" w:rsidRDefault="00BD731E" w:rsidP="00BD731E">
      <w:pPr>
        <w:pStyle w:val="AtsNormal0"/>
        <w:numPr>
          <w:ilvl w:val="0"/>
          <w:numId w:val="23"/>
        </w:numPr>
        <w:ind w:left="357" w:hanging="357"/>
        <w:rPr>
          <w:b/>
        </w:rPr>
      </w:pPr>
      <w:r>
        <w:rPr>
          <w:lang w:val="en-AU"/>
        </w:rPr>
        <w:t xml:space="preserve">Consider adopting the PAS 2080 standard, or similar standard, to manage and reduce the carbon emissions resulting from construction </w:t>
      </w:r>
      <w:proofErr w:type="gramStart"/>
      <w:r>
        <w:rPr>
          <w:lang w:val="en-AU"/>
        </w:rPr>
        <w:t>projects;</w:t>
      </w:r>
      <w:proofErr w:type="gramEnd"/>
      <w:r>
        <w:rPr>
          <w:lang w:val="en-AU"/>
        </w:rPr>
        <w:t xml:space="preserve"> </w:t>
      </w:r>
    </w:p>
    <w:p w14:paraId="24BDF93A" w14:textId="77777777" w:rsidR="00BD731E" w:rsidRPr="00F66458" w:rsidRDefault="00BD731E" w:rsidP="00BD731E">
      <w:pPr>
        <w:pStyle w:val="AtsNormal0"/>
        <w:numPr>
          <w:ilvl w:val="0"/>
          <w:numId w:val="23"/>
        </w:numPr>
        <w:ind w:left="357" w:hanging="357"/>
        <w:rPr>
          <w:b/>
        </w:rPr>
      </w:pPr>
      <w:r>
        <w:rPr>
          <w:lang w:val="en-AU"/>
        </w:rPr>
        <w:t>If full sustainable design standards are not available, consider developing internal sustainability processes that are aligned to local, national and/or global sustainability initiatives; and</w:t>
      </w:r>
    </w:p>
    <w:p w14:paraId="270EFEA3" w14:textId="77777777" w:rsidR="00BD731E" w:rsidRPr="00F66458" w:rsidRDefault="00BD731E" w:rsidP="00BD731E">
      <w:pPr>
        <w:pStyle w:val="AtsNormal0"/>
        <w:numPr>
          <w:ilvl w:val="0"/>
          <w:numId w:val="23"/>
        </w:numPr>
        <w:ind w:left="357" w:hanging="357"/>
      </w:pPr>
      <w:r w:rsidRPr="006C73F0">
        <w:t xml:space="preserve">Encourage </w:t>
      </w:r>
      <w:r>
        <w:t>COMNAP to continue to share sustainable design practices for station modernisation projects</w:t>
      </w:r>
      <w:r w:rsidRPr="00F66458">
        <w:rPr>
          <w:lang w:val="en-AU"/>
        </w:rPr>
        <w:t xml:space="preserve">. </w:t>
      </w:r>
    </w:p>
    <w:p w14:paraId="332D9241" w14:textId="77777777" w:rsidR="00BD731E" w:rsidRDefault="00BD731E" w:rsidP="00952E9F"/>
    <w:sectPr w:rsidR="00BD731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FB25" w14:textId="77777777" w:rsidR="00000000" w:rsidRDefault="00BD731E">
      <w:r>
        <w:separator/>
      </w:r>
    </w:p>
  </w:endnote>
  <w:endnote w:type="continuationSeparator" w:id="0">
    <w:p w14:paraId="006E3051" w14:textId="77777777" w:rsidR="00000000" w:rsidRDefault="00BD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40D4" w14:textId="77777777" w:rsidR="00FA0B9F" w:rsidRDefault="00BD731E" w:rsidP="00CF5C82">
    <w:pPr>
      <w:framePr w:wrap="around" w:vAnchor="text" w:hAnchor="margin" w:xAlign="right" w:y="1"/>
    </w:pPr>
    <w:r>
      <w:fldChar w:fldCharType="begin"/>
    </w:r>
    <w:r>
      <w:instrText xml:space="preserve">PAGE  </w:instrText>
    </w:r>
    <w:r>
      <w:fldChar w:fldCharType="end"/>
    </w:r>
  </w:p>
  <w:p w14:paraId="33C8DA6F" w14:textId="77777777" w:rsidR="00FA0B9F" w:rsidRDefault="00BD731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E46" w14:textId="77777777" w:rsidR="00FA0B9F" w:rsidRDefault="00BD731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1F31E9" w14:textId="116C1CD0" w:rsidR="00FA0B9F" w:rsidRDefault="00BD731E" w:rsidP="00BD731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3412" w14:textId="77777777" w:rsidR="00E311C9" w:rsidRDefault="00BD731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58D8E46" w14:textId="77777777" w:rsidR="00E311C9" w:rsidRDefault="00BD731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9B8D" w14:textId="77777777" w:rsidR="00000000" w:rsidRDefault="00BD731E">
      <w:r>
        <w:separator/>
      </w:r>
    </w:p>
  </w:footnote>
  <w:footnote w:type="continuationSeparator" w:id="0">
    <w:p w14:paraId="593FBB2A" w14:textId="77777777" w:rsidR="00000000" w:rsidRDefault="00BD731E">
      <w:r>
        <w:continuationSeparator/>
      </w:r>
    </w:p>
  </w:footnote>
  <w:footnote w:id="1">
    <w:p w14:paraId="054B8D05" w14:textId="77777777" w:rsidR="00BD731E" w:rsidRDefault="00BD731E" w:rsidP="00BD731E">
      <w:pPr>
        <w:pStyle w:val="Textonotapie"/>
      </w:pPr>
      <w:r>
        <w:rPr>
          <w:rStyle w:val="Refdenotaalpie"/>
        </w:rPr>
        <w:footnoteRef/>
      </w:r>
      <w:r>
        <w:t xml:space="preserve"> </w:t>
      </w:r>
      <w:r>
        <w:rPr>
          <w:lang w:val="en-NZ"/>
        </w:rPr>
        <w:t xml:space="preserve">World Green Building Council - </w:t>
      </w:r>
      <w:r w:rsidRPr="00C4718F">
        <w:rPr>
          <w:lang w:val="en-NZ"/>
        </w:rPr>
        <w:t>https://www.worldgbc.org/what-green-building</w:t>
      </w:r>
    </w:p>
  </w:footnote>
  <w:footnote w:id="2">
    <w:p w14:paraId="3E6DB3D3" w14:textId="77777777" w:rsidR="00BD731E" w:rsidRDefault="00BD731E" w:rsidP="00BD731E">
      <w:pPr>
        <w:pStyle w:val="Textonotapie"/>
      </w:pPr>
      <w:r>
        <w:rPr>
          <w:rStyle w:val="Refdenotaalpie"/>
        </w:rPr>
        <w:footnoteRef/>
      </w:r>
      <w:r>
        <w:t xml:space="preserve"> </w:t>
      </w:r>
      <w:r w:rsidRPr="006C73F0">
        <w:t>https://www.breeam.com/</w:t>
      </w:r>
    </w:p>
    <w:p w14:paraId="11986DED" w14:textId="77777777" w:rsidR="00BD731E" w:rsidRDefault="00BD731E" w:rsidP="00BD731E">
      <w:pPr>
        <w:pStyle w:val="Textonotapie"/>
      </w:pPr>
    </w:p>
  </w:footnote>
  <w:footnote w:id="3">
    <w:p w14:paraId="1FBDC4D0" w14:textId="77777777" w:rsidR="00BD731E" w:rsidRDefault="00BD731E" w:rsidP="00BD731E">
      <w:pPr>
        <w:pStyle w:val="Textonotapie"/>
      </w:pPr>
      <w:r>
        <w:rPr>
          <w:rStyle w:val="Refdenotaalpie"/>
        </w:rPr>
        <w:footnoteRef/>
      </w:r>
      <w:r>
        <w:t xml:space="preserve"> </w:t>
      </w:r>
      <w:hyperlink r:id="rId1" w:history="1">
        <w:r w:rsidRPr="00DD13D9">
          <w:rPr>
            <w:rStyle w:val="Hipervnculo"/>
          </w:rPr>
          <w:t>https://www.nzgbc.org.nz/</w:t>
        </w:r>
      </w:hyperlink>
      <w:r>
        <w:t xml:space="preserve"> </w:t>
      </w:r>
    </w:p>
  </w:footnote>
  <w:footnote w:id="4">
    <w:p w14:paraId="4E341D61" w14:textId="77777777" w:rsidR="00BD731E" w:rsidRDefault="00BD731E" w:rsidP="00BD731E">
      <w:pPr>
        <w:pStyle w:val="Textonotapie"/>
      </w:pPr>
      <w:r>
        <w:rPr>
          <w:rStyle w:val="Refdenotaalpie"/>
        </w:rPr>
        <w:footnoteRef/>
      </w:r>
      <w:r>
        <w:t xml:space="preserve"> </w:t>
      </w:r>
      <w:hyperlink r:id="rId2" w:history="1">
        <w:r w:rsidRPr="00DD13D9">
          <w:rPr>
            <w:rStyle w:val="Hipervnculo"/>
          </w:rPr>
          <w:t>https://www.ceequal.com/</w:t>
        </w:r>
      </w:hyperlink>
      <w:r>
        <w:t xml:space="preserve"> </w:t>
      </w:r>
    </w:p>
  </w:footnote>
  <w:footnote w:id="5">
    <w:p w14:paraId="4057E675" w14:textId="77777777" w:rsidR="00BD731E" w:rsidRDefault="00BD731E" w:rsidP="00BD731E">
      <w:pPr>
        <w:pStyle w:val="Textonotapie"/>
      </w:pPr>
      <w:r>
        <w:rPr>
          <w:rStyle w:val="Refdenotaalpie"/>
        </w:rPr>
        <w:footnoteRef/>
      </w:r>
      <w:r>
        <w:t xml:space="preserve"> </w:t>
      </w:r>
      <w:hyperlink r:id="rId3" w:history="1">
        <w:r w:rsidRPr="00DD13D9">
          <w:rPr>
            <w:rStyle w:val="Hipervnculo"/>
          </w:rPr>
          <w:t>https://www.bsigroup.com/en-GB/our-services/product-certification/product-certification-schemes/pas-2080-carbon-management-in-infrastructure-verification/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E0CBA" w14:paraId="024E2065" w14:textId="77777777" w:rsidTr="00490760">
      <w:trPr>
        <w:trHeight w:val="344"/>
        <w:jc w:val="center"/>
      </w:trPr>
      <w:tc>
        <w:tcPr>
          <w:tcW w:w="5495" w:type="dxa"/>
        </w:tcPr>
        <w:p w14:paraId="08CB5CC1" w14:textId="77777777" w:rsidR="00DB7C09" w:rsidRDefault="00BD731E" w:rsidP="00F968D4"/>
      </w:tc>
      <w:tc>
        <w:tcPr>
          <w:tcW w:w="4253" w:type="dxa"/>
          <w:gridSpan w:val="2"/>
        </w:tcPr>
        <w:p w14:paraId="7CB1FD46" w14:textId="77777777" w:rsidR="00DB7C09" w:rsidRPr="00BD47E4" w:rsidRDefault="00BD731E" w:rsidP="002A07BC">
          <w:pPr>
            <w:jc w:val="right"/>
            <w:rPr>
              <w:b/>
              <w:sz w:val="32"/>
              <w:szCs w:val="32"/>
            </w:rPr>
          </w:pPr>
          <w:bookmarkStart w:id="2" w:name="type"/>
          <w:r w:rsidRPr="00BD47E4">
            <w:rPr>
              <w:b/>
              <w:sz w:val="32"/>
              <w:szCs w:val="32"/>
            </w:rPr>
            <w:t>WP</w:t>
          </w:r>
          <w:bookmarkEnd w:id="2"/>
        </w:p>
      </w:tc>
      <w:tc>
        <w:tcPr>
          <w:tcW w:w="1524" w:type="dxa"/>
          <w:gridSpan w:val="2"/>
        </w:tcPr>
        <w:p w14:paraId="534E6A3A" w14:textId="77777777" w:rsidR="00DB7C09" w:rsidRPr="00BD47E4" w:rsidRDefault="00BD731E" w:rsidP="00DB7C09">
          <w:pPr>
            <w:rPr>
              <w:b/>
              <w:sz w:val="32"/>
              <w:szCs w:val="32"/>
            </w:rPr>
          </w:pPr>
          <w:bookmarkStart w:id="3" w:name="number"/>
          <w:r w:rsidRPr="00BD47E4">
            <w:rPr>
              <w:b/>
              <w:sz w:val="32"/>
              <w:szCs w:val="32"/>
            </w:rPr>
            <w:t>27</w:t>
          </w:r>
          <w:bookmarkEnd w:id="3"/>
        </w:p>
      </w:tc>
    </w:tr>
    <w:tr w:rsidR="00FE0CBA" w14:paraId="45560FDD" w14:textId="77777777" w:rsidTr="00490760">
      <w:trPr>
        <w:trHeight w:val="2165"/>
        <w:jc w:val="center"/>
      </w:trPr>
      <w:tc>
        <w:tcPr>
          <w:tcW w:w="5495" w:type="dxa"/>
        </w:tcPr>
        <w:p w14:paraId="0A3D76B2" w14:textId="77777777" w:rsidR="00490760" w:rsidRPr="00EE4D48" w:rsidRDefault="00BD731E" w:rsidP="002A07BC">
          <w:pPr>
            <w:rPr>
              <w:b/>
              <w:sz w:val="28"/>
              <w:szCs w:val="28"/>
            </w:rPr>
          </w:pPr>
          <w:r>
            <w:rPr>
              <w:b/>
              <w:noProof/>
              <w:sz w:val="28"/>
              <w:szCs w:val="28"/>
            </w:rPr>
            <w:drawing>
              <wp:inline distT="0" distB="0" distL="0" distR="0" wp14:anchorId="21A03667" wp14:editId="1A53D82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9792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2FF4063" w14:textId="77777777" w:rsidR="00490760" w:rsidRPr="00FE5146" w:rsidRDefault="00BD731E" w:rsidP="00490760">
          <w:pPr>
            <w:jc w:val="right"/>
            <w:rPr>
              <w:sz w:val="144"/>
              <w:szCs w:val="144"/>
            </w:rPr>
          </w:pPr>
          <w:r w:rsidRPr="00FE5146">
            <w:rPr>
              <w:sz w:val="144"/>
              <w:szCs w:val="144"/>
            </w:rPr>
            <w:t>ENG</w:t>
          </w:r>
        </w:p>
      </w:tc>
    </w:tr>
    <w:tr w:rsidR="00FE0CBA" w14:paraId="45DCA117" w14:textId="77777777" w:rsidTr="00BD47E4">
      <w:trPr>
        <w:trHeight w:val="409"/>
        <w:jc w:val="center"/>
      </w:trPr>
      <w:tc>
        <w:tcPr>
          <w:tcW w:w="9039" w:type="dxa"/>
          <w:gridSpan w:val="2"/>
        </w:tcPr>
        <w:p w14:paraId="11AB7039" w14:textId="77777777" w:rsidR="00BD47E4" w:rsidRDefault="00BD731E" w:rsidP="002C30DA">
          <w:pPr>
            <w:jc w:val="right"/>
          </w:pPr>
          <w:r>
            <w:t>Agenda Item:</w:t>
          </w:r>
        </w:p>
      </w:tc>
      <w:tc>
        <w:tcPr>
          <w:tcW w:w="1843" w:type="dxa"/>
          <w:gridSpan w:val="2"/>
        </w:tcPr>
        <w:p w14:paraId="78FCF380" w14:textId="77777777" w:rsidR="00BD47E4" w:rsidRDefault="00BD731E" w:rsidP="002C30DA">
          <w:pPr>
            <w:jc w:val="right"/>
          </w:pPr>
          <w:bookmarkStart w:id="4" w:name="agenda"/>
          <w:r>
            <w:t>CEP 7a</w:t>
          </w:r>
          <w:bookmarkEnd w:id="4"/>
        </w:p>
      </w:tc>
      <w:tc>
        <w:tcPr>
          <w:tcW w:w="390" w:type="dxa"/>
        </w:tcPr>
        <w:p w14:paraId="1B166991" w14:textId="77777777" w:rsidR="00BD47E4" w:rsidRDefault="00BD731E" w:rsidP="00387A65">
          <w:pPr>
            <w:jc w:val="right"/>
          </w:pPr>
        </w:p>
      </w:tc>
    </w:tr>
    <w:tr w:rsidR="00FE0CBA" w14:paraId="59D99D2B" w14:textId="77777777" w:rsidTr="00BD47E4">
      <w:trPr>
        <w:trHeight w:val="397"/>
        <w:jc w:val="center"/>
      </w:trPr>
      <w:tc>
        <w:tcPr>
          <w:tcW w:w="9039" w:type="dxa"/>
          <w:gridSpan w:val="2"/>
        </w:tcPr>
        <w:p w14:paraId="3C1CB8C9" w14:textId="77777777" w:rsidR="00BD47E4" w:rsidRDefault="00BD731E" w:rsidP="002C30DA">
          <w:pPr>
            <w:jc w:val="right"/>
          </w:pPr>
          <w:r>
            <w:t>Presented by:</w:t>
          </w:r>
        </w:p>
      </w:tc>
      <w:tc>
        <w:tcPr>
          <w:tcW w:w="1843" w:type="dxa"/>
          <w:gridSpan w:val="2"/>
        </w:tcPr>
        <w:p w14:paraId="34E9D129" w14:textId="4880D4AF" w:rsidR="00BD47E4" w:rsidRDefault="00BD731E" w:rsidP="002C30DA">
          <w:pPr>
            <w:jc w:val="right"/>
          </w:pPr>
          <w:bookmarkStart w:id="5" w:name="party"/>
          <w:r>
            <w:t>New Zealand</w:t>
          </w:r>
          <w:bookmarkEnd w:id="5"/>
          <w:r>
            <w:t>, United Kingdom</w:t>
          </w:r>
        </w:p>
      </w:tc>
      <w:tc>
        <w:tcPr>
          <w:tcW w:w="390" w:type="dxa"/>
        </w:tcPr>
        <w:p w14:paraId="0909D915" w14:textId="77777777" w:rsidR="00BD47E4" w:rsidRDefault="00BD731E" w:rsidP="00387A65">
          <w:pPr>
            <w:jc w:val="right"/>
          </w:pPr>
        </w:p>
      </w:tc>
    </w:tr>
    <w:tr w:rsidR="00FE0CBA" w14:paraId="0EFA2E5A" w14:textId="77777777" w:rsidTr="00BD47E4">
      <w:trPr>
        <w:trHeight w:val="409"/>
        <w:jc w:val="center"/>
      </w:trPr>
      <w:tc>
        <w:tcPr>
          <w:tcW w:w="9039" w:type="dxa"/>
          <w:gridSpan w:val="2"/>
        </w:tcPr>
        <w:p w14:paraId="0C6F70B6" w14:textId="77777777" w:rsidR="00BD47E4" w:rsidRDefault="00BD731E" w:rsidP="002C30DA">
          <w:pPr>
            <w:jc w:val="right"/>
          </w:pPr>
          <w:r>
            <w:t>Original:</w:t>
          </w:r>
        </w:p>
      </w:tc>
      <w:tc>
        <w:tcPr>
          <w:tcW w:w="1843" w:type="dxa"/>
          <w:gridSpan w:val="2"/>
        </w:tcPr>
        <w:p w14:paraId="2A43B3C9" w14:textId="77777777" w:rsidR="00BD47E4" w:rsidRDefault="00BD731E" w:rsidP="002C30DA">
          <w:pPr>
            <w:jc w:val="right"/>
          </w:pPr>
          <w:bookmarkStart w:id="6" w:name="language"/>
          <w:r>
            <w:t>English</w:t>
          </w:r>
          <w:bookmarkEnd w:id="6"/>
        </w:p>
      </w:tc>
      <w:tc>
        <w:tcPr>
          <w:tcW w:w="390" w:type="dxa"/>
        </w:tcPr>
        <w:p w14:paraId="0254EC4E" w14:textId="77777777" w:rsidR="00BD47E4" w:rsidRDefault="00BD731E" w:rsidP="00387A65">
          <w:pPr>
            <w:jc w:val="right"/>
          </w:pPr>
        </w:p>
      </w:tc>
    </w:tr>
    <w:tr w:rsidR="00FE0CBA" w14:paraId="23A92988" w14:textId="77777777" w:rsidTr="00BD47E4">
      <w:trPr>
        <w:trHeight w:val="409"/>
        <w:jc w:val="center"/>
      </w:trPr>
      <w:tc>
        <w:tcPr>
          <w:tcW w:w="9039" w:type="dxa"/>
          <w:gridSpan w:val="2"/>
        </w:tcPr>
        <w:p w14:paraId="2ED0E726" w14:textId="77777777" w:rsidR="0097629D" w:rsidRDefault="00BD731E" w:rsidP="002C30DA">
          <w:pPr>
            <w:jc w:val="right"/>
          </w:pPr>
          <w:r>
            <w:t>Submitted:</w:t>
          </w:r>
        </w:p>
      </w:tc>
      <w:tc>
        <w:tcPr>
          <w:tcW w:w="1843" w:type="dxa"/>
          <w:gridSpan w:val="2"/>
        </w:tcPr>
        <w:p w14:paraId="1F406CFB" w14:textId="77777777" w:rsidR="0097629D" w:rsidRDefault="00BD731E" w:rsidP="0097629D">
          <w:pPr>
            <w:jc w:val="right"/>
          </w:pPr>
          <w:bookmarkStart w:id="7" w:name="date_submission"/>
          <w:r>
            <w:t>29/4/2021</w:t>
          </w:r>
          <w:bookmarkEnd w:id="7"/>
        </w:p>
      </w:tc>
      <w:tc>
        <w:tcPr>
          <w:tcW w:w="390" w:type="dxa"/>
        </w:tcPr>
        <w:p w14:paraId="05A19A4D" w14:textId="77777777" w:rsidR="0097629D" w:rsidRDefault="00BD731E" w:rsidP="00387A65">
          <w:pPr>
            <w:jc w:val="right"/>
          </w:pPr>
        </w:p>
      </w:tc>
    </w:tr>
  </w:tbl>
  <w:p w14:paraId="2BAB0AAB" w14:textId="77777777" w:rsidR="00AE5DD0" w:rsidRDefault="00BD73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E0CBA" w14:paraId="5E5BCFB8" w14:textId="77777777">
      <w:trPr>
        <w:trHeight w:val="354"/>
        <w:jc w:val="center"/>
      </w:trPr>
      <w:tc>
        <w:tcPr>
          <w:tcW w:w="9694" w:type="dxa"/>
        </w:tcPr>
        <w:p w14:paraId="7FFE2444" w14:textId="51690F58" w:rsidR="00AE5DD0" w:rsidRPr="00BD47E4" w:rsidRDefault="00BD731E" w:rsidP="00C26F2D">
          <w:pPr>
            <w:jc w:val="right"/>
            <w:rPr>
              <w:b/>
              <w:sz w:val="32"/>
              <w:szCs w:val="32"/>
            </w:rPr>
          </w:pPr>
          <w:r>
            <w:rPr>
              <w:b/>
              <w:sz w:val="32"/>
              <w:szCs w:val="32"/>
            </w:rPr>
            <w:t>WP</w:t>
          </w:r>
        </w:p>
      </w:tc>
      <w:tc>
        <w:tcPr>
          <w:tcW w:w="1332" w:type="dxa"/>
        </w:tcPr>
        <w:p w14:paraId="53C2419C" w14:textId="759BCCEB" w:rsidR="00AE5DD0" w:rsidRPr="00BD47E4" w:rsidRDefault="00BD731E" w:rsidP="00080F4C">
          <w:pPr>
            <w:rPr>
              <w:b/>
              <w:sz w:val="32"/>
              <w:szCs w:val="32"/>
            </w:rPr>
          </w:pPr>
          <w:r>
            <w:rPr>
              <w:b/>
              <w:sz w:val="32"/>
              <w:szCs w:val="32"/>
            </w:rPr>
            <w:t>27</w:t>
          </w:r>
        </w:p>
      </w:tc>
    </w:tr>
  </w:tbl>
  <w:p w14:paraId="033C9BB7" w14:textId="77777777" w:rsidR="00AE5DD0" w:rsidRDefault="00BD73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D670A"/>
    <w:multiLevelType w:val="hybridMultilevel"/>
    <w:tmpl w:val="4BE89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5F6FD9"/>
    <w:multiLevelType w:val="hybridMultilevel"/>
    <w:tmpl w:val="361E9A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F7F06610">
      <w:start w:val="1"/>
      <w:numFmt w:val="bullet"/>
      <w:pStyle w:val="ATSBullet1"/>
      <w:lvlText w:val=""/>
      <w:lvlJc w:val="left"/>
      <w:pPr>
        <w:tabs>
          <w:tab w:val="num" w:pos="360"/>
        </w:tabs>
        <w:ind w:left="360" w:hanging="360"/>
      </w:pPr>
      <w:rPr>
        <w:rFonts w:ascii="Symbol" w:hAnsi="Symbol" w:hint="default"/>
        <w:color w:val="auto"/>
      </w:rPr>
    </w:lvl>
    <w:lvl w:ilvl="1" w:tplc="CBCE4B02" w:tentative="1">
      <w:start w:val="1"/>
      <w:numFmt w:val="bullet"/>
      <w:lvlText w:val="o"/>
      <w:lvlJc w:val="left"/>
      <w:pPr>
        <w:tabs>
          <w:tab w:val="num" w:pos="1440"/>
        </w:tabs>
        <w:ind w:left="1440" w:hanging="360"/>
      </w:pPr>
      <w:rPr>
        <w:rFonts w:ascii="Courier New" w:hAnsi="Courier New" w:cs="Courier New" w:hint="default"/>
      </w:rPr>
    </w:lvl>
    <w:lvl w:ilvl="2" w:tplc="ED4ACEBC" w:tentative="1">
      <w:start w:val="1"/>
      <w:numFmt w:val="bullet"/>
      <w:lvlText w:val=""/>
      <w:lvlJc w:val="left"/>
      <w:pPr>
        <w:tabs>
          <w:tab w:val="num" w:pos="2160"/>
        </w:tabs>
        <w:ind w:left="2160" w:hanging="360"/>
      </w:pPr>
      <w:rPr>
        <w:rFonts w:ascii="Wingdings" w:hAnsi="Wingdings" w:hint="default"/>
      </w:rPr>
    </w:lvl>
    <w:lvl w:ilvl="3" w:tplc="9BB4AD30" w:tentative="1">
      <w:start w:val="1"/>
      <w:numFmt w:val="bullet"/>
      <w:lvlText w:val=""/>
      <w:lvlJc w:val="left"/>
      <w:pPr>
        <w:tabs>
          <w:tab w:val="num" w:pos="2880"/>
        </w:tabs>
        <w:ind w:left="2880" w:hanging="360"/>
      </w:pPr>
      <w:rPr>
        <w:rFonts w:ascii="Symbol" w:hAnsi="Symbol" w:hint="default"/>
      </w:rPr>
    </w:lvl>
    <w:lvl w:ilvl="4" w:tplc="8856C272" w:tentative="1">
      <w:start w:val="1"/>
      <w:numFmt w:val="bullet"/>
      <w:lvlText w:val="o"/>
      <w:lvlJc w:val="left"/>
      <w:pPr>
        <w:tabs>
          <w:tab w:val="num" w:pos="3600"/>
        </w:tabs>
        <w:ind w:left="3600" w:hanging="360"/>
      </w:pPr>
      <w:rPr>
        <w:rFonts w:ascii="Courier New" w:hAnsi="Courier New" w:cs="Courier New" w:hint="default"/>
      </w:rPr>
    </w:lvl>
    <w:lvl w:ilvl="5" w:tplc="38B04868" w:tentative="1">
      <w:start w:val="1"/>
      <w:numFmt w:val="bullet"/>
      <w:lvlText w:val=""/>
      <w:lvlJc w:val="left"/>
      <w:pPr>
        <w:tabs>
          <w:tab w:val="num" w:pos="4320"/>
        </w:tabs>
        <w:ind w:left="4320" w:hanging="360"/>
      </w:pPr>
      <w:rPr>
        <w:rFonts w:ascii="Wingdings" w:hAnsi="Wingdings" w:hint="default"/>
      </w:rPr>
    </w:lvl>
    <w:lvl w:ilvl="6" w:tplc="3D4C0F50" w:tentative="1">
      <w:start w:val="1"/>
      <w:numFmt w:val="bullet"/>
      <w:lvlText w:val=""/>
      <w:lvlJc w:val="left"/>
      <w:pPr>
        <w:tabs>
          <w:tab w:val="num" w:pos="5040"/>
        </w:tabs>
        <w:ind w:left="5040" w:hanging="360"/>
      </w:pPr>
      <w:rPr>
        <w:rFonts w:ascii="Symbol" w:hAnsi="Symbol" w:hint="default"/>
      </w:rPr>
    </w:lvl>
    <w:lvl w:ilvl="7" w:tplc="C994A6C8" w:tentative="1">
      <w:start w:val="1"/>
      <w:numFmt w:val="bullet"/>
      <w:lvlText w:val="o"/>
      <w:lvlJc w:val="left"/>
      <w:pPr>
        <w:tabs>
          <w:tab w:val="num" w:pos="5760"/>
        </w:tabs>
        <w:ind w:left="5760" w:hanging="360"/>
      </w:pPr>
      <w:rPr>
        <w:rFonts w:ascii="Courier New" w:hAnsi="Courier New" w:cs="Courier New" w:hint="default"/>
      </w:rPr>
    </w:lvl>
    <w:lvl w:ilvl="8" w:tplc="B8D8AF9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2A39EC"/>
    <w:multiLevelType w:val="hybridMultilevel"/>
    <w:tmpl w:val="3424D1AE"/>
    <w:lvl w:ilvl="0" w:tplc="972A9008">
      <w:start w:val="1"/>
      <w:numFmt w:val="decimal"/>
      <w:lvlText w:val="%1."/>
      <w:lvlJc w:val="left"/>
      <w:pPr>
        <w:ind w:left="720" w:hanging="360"/>
      </w:pPr>
      <w:rPr>
        <w:rFonts w:cs="Times New Roman" w:hint="default"/>
        <w:b w:val="0"/>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1906163"/>
    <w:multiLevelType w:val="hybridMultilevel"/>
    <w:tmpl w:val="D24A1E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9D35C15"/>
    <w:multiLevelType w:val="hybridMultilevel"/>
    <w:tmpl w:val="A8A2E45C"/>
    <w:lvl w:ilvl="0" w:tplc="FC68BA8A">
      <w:start w:val="1"/>
      <w:numFmt w:val="decimal"/>
      <w:lvlText w:val="%1)"/>
      <w:lvlJc w:val="left"/>
      <w:pPr>
        <w:tabs>
          <w:tab w:val="num" w:pos="340"/>
        </w:tabs>
        <w:ind w:left="340" w:hanging="340"/>
      </w:pPr>
      <w:rPr>
        <w:rFonts w:hint="default"/>
      </w:rPr>
    </w:lvl>
    <w:lvl w:ilvl="1" w:tplc="AFF498B0" w:tentative="1">
      <w:start w:val="1"/>
      <w:numFmt w:val="lowerLetter"/>
      <w:lvlText w:val="%2."/>
      <w:lvlJc w:val="left"/>
      <w:pPr>
        <w:tabs>
          <w:tab w:val="num" w:pos="1440"/>
        </w:tabs>
        <w:ind w:left="1440" w:hanging="360"/>
      </w:pPr>
    </w:lvl>
    <w:lvl w:ilvl="2" w:tplc="1E169592" w:tentative="1">
      <w:start w:val="1"/>
      <w:numFmt w:val="lowerRoman"/>
      <w:lvlText w:val="%3."/>
      <w:lvlJc w:val="right"/>
      <w:pPr>
        <w:tabs>
          <w:tab w:val="num" w:pos="2160"/>
        </w:tabs>
        <w:ind w:left="2160" w:hanging="180"/>
      </w:pPr>
    </w:lvl>
    <w:lvl w:ilvl="3" w:tplc="9B3CE204" w:tentative="1">
      <w:start w:val="1"/>
      <w:numFmt w:val="decimal"/>
      <w:lvlText w:val="%4."/>
      <w:lvlJc w:val="left"/>
      <w:pPr>
        <w:tabs>
          <w:tab w:val="num" w:pos="2880"/>
        </w:tabs>
        <w:ind w:left="2880" w:hanging="360"/>
      </w:pPr>
    </w:lvl>
    <w:lvl w:ilvl="4" w:tplc="3252D886" w:tentative="1">
      <w:start w:val="1"/>
      <w:numFmt w:val="lowerLetter"/>
      <w:lvlText w:val="%5."/>
      <w:lvlJc w:val="left"/>
      <w:pPr>
        <w:tabs>
          <w:tab w:val="num" w:pos="3600"/>
        </w:tabs>
        <w:ind w:left="3600" w:hanging="360"/>
      </w:pPr>
    </w:lvl>
    <w:lvl w:ilvl="5" w:tplc="2DB287D6" w:tentative="1">
      <w:start w:val="1"/>
      <w:numFmt w:val="lowerRoman"/>
      <w:lvlText w:val="%6."/>
      <w:lvlJc w:val="right"/>
      <w:pPr>
        <w:tabs>
          <w:tab w:val="num" w:pos="4320"/>
        </w:tabs>
        <w:ind w:left="4320" w:hanging="180"/>
      </w:pPr>
    </w:lvl>
    <w:lvl w:ilvl="6" w:tplc="C8445810" w:tentative="1">
      <w:start w:val="1"/>
      <w:numFmt w:val="decimal"/>
      <w:lvlText w:val="%7."/>
      <w:lvlJc w:val="left"/>
      <w:pPr>
        <w:tabs>
          <w:tab w:val="num" w:pos="5040"/>
        </w:tabs>
        <w:ind w:left="5040" w:hanging="360"/>
      </w:pPr>
    </w:lvl>
    <w:lvl w:ilvl="7" w:tplc="D77074C0" w:tentative="1">
      <w:start w:val="1"/>
      <w:numFmt w:val="lowerLetter"/>
      <w:lvlText w:val="%8."/>
      <w:lvlJc w:val="left"/>
      <w:pPr>
        <w:tabs>
          <w:tab w:val="num" w:pos="5760"/>
        </w:tabs>
        <w:ind w:left="5760" w:hanging="360"/>
      </w:pPr>
    </w:lvl>
    <w:lvl w:ilvl="8" w:tplc="792643C4" w:tentative="1">
      <w:start w:val="1"/>
      <w:numFmt w:val="lowerRoman"/>
      <w:lvlText w:val="%9."/>
      <w:lvlJc w:val="right"/>
      <w:pPr>
        <w:tabs>
          <w:tab w:val="num" w:pos="6480"/>
        </w:tabs>
        <w:ind w:left="6480" w:hanging="180"/>
      </w:pPr>
    </w:lvl>
  </w:abstractNum>
  <w:abstractNum w:abstractNumId="17" w15:restartNumberingAfterBreak="0">
    <w:nsid w:val="642F3AFA"/>
    <w:multiLevelType w:val="hybridMultilevel"/>
    <w:tmpl w:val="9DF09BE6"/>
    <w:lvl w:ilvl="0" w:tplc="6406BD98">
      <w:start w:val="1"/>
      <w:numFmt w:val="decimal"/>
      <w:lvlText w:val="%1."/>
      <w:lvlJc w:val="left"/>
      <w:pPr>
        <w:tabs>
          <w:tab w:val="num" w:pos="1057"/>
        </w:tabs>
        <w:ind w:left="1057" w:hanging="360"/>
      </w:pPr>
      <w:rPr>
        <w:rFonts w:hint="default"/>
      </w:rPr>
    </w:lvl>
    <w:lvl w:ilvl="1" w:tplc="E6029F2A" w:tentative="1">
      <w:start w:val="1"/>
      <w:numFmt w:val="lowerLetter"/>
      <w:lvlText w:val="%2."/>
      <w:lvlJc w:val="left"/>
      <w:pPr>
        <w:tabs>
          <w:tab w:val="num" w:pos="2137"/>
        </w:tabs>
        <w:ind w:left="2137" w:hanging="360"/>
      </w:pPr>
    </w:lvl>
    <w:lvl w:ilvl="2" w:tplc="ABB26202" w:tentative="1">
      <w:start w:val="1"/>
      <w:numFmt w:val="lowerRoman"/>
      <w:lvlText w:val="%3."/>
      <w:lvlJc w:val="right"/>
      <w:pPr>
        <w:tabs>
          <w:tab w:val="num" w:pos="2857"/>
        </w:tabs>
        <w:ind w:left="2857" w:hanging="180"/>
      </w:pPr>
    </w:lvl>
    <w:lvl w:ilvl="3" w:tplc="53204D8E" w:tentative="1">
      <w:start w:val="1"/>
      <w:numFmt w:val="decimal"/>
      <w:lvlText w:val="%4."/>
      <w:lvlJc w:val="left"/>
      <w:pPr>
        <w:tabs>
          <w:tab w:val="num" w:pos="3577"/>
        </w:tabs>
        <w:ind w:left="3577" w:hanging="360"/>
      </w:pPr>
    </w:lvl>
    <w:lvl w:ilvl="4" w:tplc="B930F4C0" w:tentative="1">
      <w:start w:val="1"/>
      <w:numFmt w:val="lowerLetter"/>
      <w:lvlText w:val="%5."/>
      <w:lvlJc w:val="left"/>
      <w:pPr>
        <w:tabs>
          <w:tab w:val="num" w:pos="4297"/>
        </w:tabs>
        <w:ind w:left="4297" w:hanging="360"/>
      </w:pPr>
    </w:lvl>
    <w:lvl w:ilvl="5" w:tplc="0F92D7BC" w:tentative="1">
      <w:start w:val="1"/>
      <w:numFmt w:val="lowerRoman"/>
      <w:lvlText w:val="%6."/>
      <w:lvlJc w:val="right"/>
      <w:pPr>
        <w:tabs>
          <w:tab w:val="num" w:pos="5017"/>
        </w:tabs>
        <w:ind w:left="5017" w:hanging="180"/>
      </w:pPr>
    </w:lvl>
    <w:lvl w:ilvl="6" w:tplc="E79CEC40" w:tentative="1">
      <w:start w:val="1"/>
      <w:numFmt w:val="decimal"/>
      <w:lvlText w:val="%7."/>
      <w:lvlJc w:val="left"/>
      <w:pPr>
        <w:tabs>
          <w:tab w:val="num" w:pos="5737"/>
        </w:tabs>
        <w:ind w:left="5737" w:hanging="360"/>
      </w:pPr>
    </w:lvl>
    <w:lvl w:ilvl="7" w:tplc="0AB64D3E" w:tentative="1">
      <w:start w:val="1"/>
      <w:numFmt w:val="lowerLetter"/>
      <w:lvlText w:val="%8."/>
      <w:lvlJc w:val="left"/>
      <w:pPr>
        <w:tabs>
          <w:tab w:val="num" w:pos="6457"/>
        </w:tabs>
        <w:ind w:left="6457" w:hanging="360"/>
      </w:pPr>
    </w:lvl>
    <w:lvl w:ilvl="8" w:tplc="A1E2FFC6" w:tentative="1">
      <w:start w:val="1"/>
      <w:numFmt w:val="lowerRoman"/>
      <w:lvlText w:val="%9."/>
      <w:lvlJc w:val="right"/>
      <w:pPr>
        <w:tabs>
          <w:tab w:val="num" w:pos="7177"/>
        </w:tabs>
        <w:ind w:left="7177" w:hanging="180"/>
      </w:pPr>
    </w:lvl>
  </w:abstractNum>
  <w:abstractNum w:abstractNumId="18" w15:restartNumberingAfterBreak="0">
    <w:nsid w:val="7212657C"/>
    <w:multiLevelType w:val="hybridMultilevel"/>
    <w:tmpl w:val="0A8E2A84"/>
    <w:lvl w:ilvl="0" w:tplc="74FC41C6">
      <w:start w:val="1"/>
      <w:numFmt w:val="decimal"/>
      <w:pStyle w:val="ATSNumber1"/>
      <w:lvlText w:val="%1)"/>
      <w:lvlJc w:val="left"/>
      <w:pPr>
        <w:tabs>
          <w:tab w:val="num" w:pos="720"/>
        </w:tabs>
        <w:ind w:left="720" w:hanging="360"/>
      </w:pPr>
    </w:lvl>
    <w:lvl w:ilvl="1" w:tplc="BDC2572E" w:tentative="1">
      <w:start w:val="1"/>
      <w:numFmt w:val="lowerLetter"/>
      <w:lvlText w:val="%2."/>
      <w:lvlJc w:val="left"/>
      <w:pPr>
        <w:tabs>
          <w:tab w:val="num" w:pos="1440"/>
        </w:tabs>
        <w:ind w:left="1440" w:hanging="360"/>
      </w:pPr>
    </w:lvl>
    <w:lvl w:ilvl="2" w:tplc="E0D6F0C8" w:tentative="1">
      <w:start w:val="1"/>
      <w:numFmt w:val="lowerRoman"/>
      <w:lvlText w:val="%3."/>
      <w:lvlJc w:val="right"/>
      <w:pPr>
        <w:tabs>
          <w:tab w:val="num" w:pos="2160"/>
        </w:tabs>
        <w:ind w:left="2160" w:hanging="180"/>
      </w:pPr>
    </w:lvl>
    <w:lvl w:ilvl="3" w:tplc="F1BAF272" w:tentative="1">
      <w:start w:val="1"/>
      <w:numFmt w:val="decimal"/>
      <w:lvlText w:val="%4."/>
      <w:lvlJc w:val="left"/>
      <w:pPr>
        <w:tabs>
          <w:tab w:val="num" w:pos="2880"/>
        </w:tabs>
        <w:ind w:left="2880" w:hanging="360"/>
      </w:pPr>
    </w:lvl>
    <w:lvl w:ilvl="4" w:tplc="C6DC787E" w:tentative="1">
      <w:start w:val="1"/>
      <w:numFmt w:val="lowerLetter"/>
      <w:lvlText w:val="%5."/>
      <w:lvlJc w:val="left"/>
      <w:pPr>
        <w:tabs>
          <w:tab w:val="num" w:pos="3600"/>
        </w:tabs>
        <w:ind w:left="3600" w:hanging="360"/>
      </w:pPr>
    </w:lvl>
    <w:lvl w:ilvl="5" w:tplc="DF22D17E" w:tentative="1">
      <w:start w:val="1"/>
      <w:numFmt w:val="lowerRoman"/>
      <w:lvlText w:val="%6."/>
      <w:lvlJc w:val="right"/>
      <w:pPr>
        <w:tabs>
          <w:tab w:val="num" w:pos="4320"/>
        </w:tabs>
        <w:ind w:left="4320" w:hanging="180"/>
      </w:pPr>
    </w:lvl>
    <w:lvl w:ilvl="6" w:tplc="8FDEB2BA" w:tentative="1">
      <w:start w:val="1"/>
      <w:numFmt w:val="decimal"/>
      <w:lvlText w:val="%7."/>
      <w:lvlJc w:val="left"/>
      <w:pPr>
        <w:tabs>
          <w:tab w:val="num" w:pos="5040"/>
        </w:tabs>
        <w:ind w:left="5040" w:hanging="360"/>
      </w:pPr>
    </w:lvl>
    <w:lvl w:ilvl="7" w:tplc="163EB672" w:tentative="1">
      <w:start w:val="1"/>
      <w:numFmt w:val="lowerLetter"/>
      <w:lvlText w:val="%8."/>
      <w:lvlJc w:val="left"/>
      <w:pPr>
        <w:tabs>
          <w:tab w:val="num" w:pos="5760"/>
        </w:tabs>
        <w:ind w:left="5760" w:hanging="360"/>
      </w:pPr>
    </w:lvl>
    <w:lvl w:ilvl="8" w:tplc="E47CFDE4" w:tentative="1">
      <w:start w:val="1"/>
      <w:numFmt w:val="lowerRoman"/>
      <w:lvlText w:val="%9."/>
      <w:lvlJc w:val="right"/>
      <w:pPr>
        <w:tabs>
          <w:tab w:val="num" w:pos="6480"/>
        </w:tabs>
        <w:ind w:left="6480" w:hanging="180"/>
      </w:pPr>
    </w:lvl>
  </w:abstractNum>
  <w:abstractNum w:abstractNumId="19" w15:restartNumberingAfterBreak="0">
    <w:nsid w:val="743D2161"/>
    <w:multiLevelType w:val="hybridMultilevel"/>
    <w:tmpl w:val="B0868D9E"/>
    <w:lvl w:ilvl="0" w:tplc="6636AB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2520CC6" w:tentative="1">
      <w:start w:val="1"/>
      <w:numFmt w:val="bullet"/>
      <w:lvlText w:val="o"/>
      <w:lvlJc w:val="left"/>
      <w:pPr>
        <w:tabs>
          <w:tab w:val="num" w:pos="2517"/>
        </w:tabs>
        <w:ind w:left="2517" w:hanging="360"/>
      </w:pPr>
      <w:rPr>
        <w:rFonts w:ascii="Courier New" w:hAnsi="Courier New" w:cs="Courier New" w:hint="default"/>
      </w:rPr>
    </w:lvl>
    <w:lvl w:ilvl="2" w:tplc="71B6CBA4" w:tentative="1">
      <w:start w:val="1"/>
      <w:numFmt w:val="bullet"/>
      <w:lvlText w:val=""/>
      <w:lvlJc w:val="left"/>
      <w:pPr>
        <w:tabs>
          <w:tab w:val="num" w:pos="3237"/>
        </w:tabs>
        <w:ind w:left="3237" w:hanging="360"/>
      </w:pPr>
      <w:rPr>
        <w:rFonts w:ascii="Wingdings" w:hAnsi="Wingdings" w:hint="default"/>
      </w:rPr>
    </w:lvl>
    <w:lvl w:ilvl="3" w:tplc="1196FA0A" w:tentative="1">
      <w:start w:val="1"/>
      <w:numFmt w:val="bullet"/>
      <w:lvlText w:val=""/>
      <w:lvlJc w:val="left"/>
      <w:pPr>
        <w:tabs>
          <w:tab w:val="num" w:pos="3957"/>
        </w:tabs>
        <w:ind w:left="3957" w:hanging="360"/>
      </w:pPr>
      <w:rPr>
        <w:rFonts w:ascii="Symbol" w:hAnsi="Symbol" w:hint="default"/>
      </w:rPr>
    </w:lvl>
    <w:lvl w:ilvl="4" w:tplc="FB42C8D0" w:tentative="1">
      <w:start w:val="1"/>
      <w:numFmt w:val="bullet"/>
      <w:lvlText w:val="o"/>
      <w:lvlJc w:val="left"/>
      <w:pPr>
        <w:tabs>
          <w:tab w:val="num" w:pos="4677"/>
        </w:tabs>
        <w:ind w:left="4677" w:hanging="360"/>
      </w:pPr>
      <w:rPr>
        <w:rFonts w:ascii="Courier New" w:hAnsi="Courier New" w:cs="Courier New" w:hint="default"/>
      </w:rPr>
    </w:lvl>
    <w:lvl w:ilvl="5" w:tplc="5BEAB530" w:tentative="1">
      <w:start w:val="1"/>
      <w:numFmt w:val="bullet"/>
      <w:lvlText w:val=""/>
      <w:lvlJc w:val="left"/>
      <w:pPr>
        <w:tabs>
          <w:tab w:val="num" w:pos="5397"/>
        </w:tabs>
        <w:ind w:left="5397" w:hanging="360"/>
      </w:pPr>
      <w:rPr>
        <w:rFonts w:ascii="Wingdings" w:hAnsi="Wingdings" w:hint="default"/>
      </w:rPr>
    </w:lvl>
    <w:lvl w:ilvl="6" w:tplc="843C6632" w:tentative="1">
      <w:start w:val="1"/>
      <w:numFmt w:val="bullet"/>
      <w:lvlText w:val=""/>
      <w:lvlJc w:val="left"/>
      <w:pPr>
        <w:tabs>
          <w:tab w:val="num" w:pos="6117"/>
        </w:tabs>
        <w:ind w:left="6117" w:hanging="360"/>
      </w:pPr>
      <w:rPr>
        <w:rFonts w:ascii="Symbol" w:hAnsi="Symbol" w:hint="default"/>
      </w:rPr>
    </w:lvl>
    <w:lvl w:ilvl="7" w:tplc="0B7CDDA2" w:tentative="1">
      <w:start w:val="1"/>
      <w:numFmt w:val="bullet"/>
      <w:lvlText w:val="o"/>
      <w:lvlJc w:val="left"/>
      <w:pPr>
        <w:tabs>
          <w:tab w:val="num" w:pos="6837"/>
        </w:tabs>
        <w:ind w:left="6837" w:hanging="360"/>
      </w:pPr>
      <w:rPr>
        <w:rFonts w:ascii="Courier New" w:hAnsi="Courier New" w:cs="Courier New" w:hint="default"/>
      </w:rPr>
    </w:lvl>
    <w:lvl w:ilvl="8" w:tplc="4440E258"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7AE1C17"/>
    <w:multiLevelType w:val="hybridMultilevel"/>
    <w:tmpl w:val="A2F8B724"/>
    <w:lvl w:ilvl="0" w:tplc="14090001">
      <w:start w:val="1"/>
      <w:numFmt w:val="bullet"/>
      <w:lvlText w:val=""/>
      <w:lvlJc w:val="left"/>
      <w:pPr>
        <w:ind w:left="720" w:hanging="360"/>
      </w:pPr>
      <w:rPr>
        <w:rFonts w:ascii="Symbol" w:hAnsi="Symbol" w:hint="default"/>
      </w:rPr>
    </w:lvl>
    <w:lvl w:ilvl="1" w:tplc="672A559C">
      <w:start w:val="1"/>
      <w:numFmt w:val="bullet"/>
      <w:lvlText w:val="-"/>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C866FC0"/>
    <w:multiLevelType w:val="hybridMultilevel"/>
    <w:tmpl w:val="57EA2900"/>
    <w:lvl w:ilvl="0" w:tplc="8C0870B6">
      <w:start w:val="1"/>
      <w:numFmt w:val="decimal"/>
      <w:pStyle w:val="ATSNumber2"/>
      <w:lvlText w:val="%1."/>
      <w:lvlJc w:val="left"/>
      <w:pPr>
        <w:tabs>
          <w:tab w:val="num" w:pos="720"/>
        </w:tabs>
        <w:ind w:left="720" w:hanging="360"/>
      </w:pPr>
      <w:rPr>
        <w:rFonts w:hint="default"/>
      </w:rPr>
    </w:lvl>
    <w:lvl w:ilvl="1" w:tplc="68BEA9A4" w:tentative="1">
      <w:start w:val="1"/>
      <w:numFmt w:val="lowerLetter"/>
      <w:lvlText w:val="%2."/>
      <w:lvlJc w:val="left"/>
      <w:pPr>
        <w:tabs>
          <w:tab w:val="num" w:pos="1440"/>
        </w:tabs>
        <w:ind w:left="1440" w:hanging="360"/>
      </w:pPr>
    </w:lvl>
    <w:lvl w:ilvl="2" w:tplc="76D8C552" w:tentative="1">
      <w:start w:val="1"/>
      <w:numFmt w:val="lowerRoman"/>
      <w:lvlText w:val="%3."/>
      <w:lvlJc w:val="right"/>
      <w:pPr>
        <w:tabs>
          <w:tab w:val="num" w:pos="2160"/>
        </w:tabs>
        <w:ind w:left="2160" w:hanging="180"/>
      </w:pPr>
    </w:lvl>
    <w:lvl w:ilvl="3" w:tplc="6F72E120" w:tentative="1">
      <w:start w:val="1"/>
      <w:numFmt w:val="decimal"/>
      <w:lvlText w:val="%4."/>
      <w:lvlJc w:val="left"/>
      <w:pPr>
        <w:tabs>
          <w:tab w:val="num" w:pos="2880"/>
        </w:tabs>
        <w:ind w:left="2880" w:hanging="360"/>
      </w:pPr>
    </w:lvl>
    <w:lvl w:ilvl="4" w:tplc="3CC6ECA6" w:tentative="1">
      <w:start w:val="1"/>
      <w:numFmt w:val="lowerLetter"/>
      <w:lvlText w:val="%5."/>
      <w:lvlJc w:val="left"/>
      <w:pPr>
        <w:tabs>
          <w:tab w:val="num" w:pos="3600"/>
        </w:tabs>
        <w:ind w:left="3600" w:hanging="360"/>
      </w:pPr>
    </w:lvl>
    <w:lvl w:ilvl="5" w:tplc="1ED2BDEC" w:tentative="1">
      <w:start w:val="1"/>
      <w:numFmt w:val="lowerRoman"/>
      <w:lvlText w:val="%6."/>
      <w:lvlJc w:val="right"/>
      <w:pPr>
        <w:tabs>
          <w:tab w:val="num" w:pos="4320"/>
        </w:tabs>
        <w:ind w:left="4320" w:hanging="180"/>
      </w:pPr>
    </w:lvl>
    <w:lvl w:ilvl="6" w:tplc="7D940794" w:tentative="1">
      <w:start w:val="1"/>
      <w:numFmt w:val="decimal"/>
      <w:lvlText w:val="%7."/>
      <w:lvlJc w:val="left"/>
      <w:pPr>
        <w:tabs>
          <w:tab w:val="num" w:pos="5040"/>
        </w:tabs>
        <w:ind w:left="5040" w:hanging="360"/>
      </w:pPr>
    </w:lvl>
    <w:lvl w:ilvl="7" w:tplc="1C6E0320" w:tentative="1">
      <w:start w:val="1"/>
      <w:numFmt w:val="lowerLetter"/>
      <w:lvlText w:val="%8."/>
      <w:lvlJc w:val="left"/>
      <w:pPr>
        <w:tabs>
          <w:tab w:val="num" w:pos="5760"/>
        </w:tabs>
        <w:ind w:left="5760" w:hanging="360"/>
      </w:pPr>
    </w:lvl>
    <w:lvl w:ilvl="8" w:tplc="2430B3C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8"/>
  </w:num>
  <w:num w:numId="14">
    <w:abstractNumId w:val="16"/>
  </w:num>
  <w:num w:numId="15">
    <w:abstractNumId w:val="17"/>
  </w:num>
  <w:num w:numId="16">
    <w:abstractNumId w:val="11"/>
  </w:num>
  <w:num w:numId="17">
    <w:abstractNumId w:val="13"/>
  </w:num>
  <w:num w:numId="18">
    <w:abstractNumId w:val="19"/>
  </w:num>
  <w:num w:numId="19">
    <w:abstractNumId w:val="18"/>
  </w:num>
  <w:num w:numId="20">
    <w:abstractNumId w:val="21"/>
  </w:num>
  <w:num w:numId="21">
    <w:abstractNumId w:val="15"/>
  </w:num>
  <w:num w:numId="22">
    <w:abstractNumId w:val="20"/>
  </w:num>
  <w:num w:numId="23">
    <w:abstractNumId w:val="14"/>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BA"/>
    <w:rsid w:val="00BD731E"/>
    <w:rsid w:val="00FE0C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F4BC8"/>
  <w15:chartTrackingRefBased/>
  <w15:docId w15:val="{ED883130-CDD0-47C3-BAAD-7787D62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BD731E"/>
    <w:rPr>
      <w:sz w:val="22"/>
      <w:szCs w:val="22"/>
      <w:lang w:val="en-GB" w:eastAsia="en-US"/>
    </w:rPr>
  </w:style>
  <w:style w:type="paragraph" w:customStyle="1" w:styleId="AtsNormal0">
    <w:name w:val="Ats Normal"/>
    <w:basedOn w:val="Normal"/>
    <w:rsid w:val="00BD731E"/>
    <w:pPr>
      <w:spacing w:before="120" w:after="120"/>
    </w:pPr>
    <w:rPr>
      <w:lang w:eastAsia="en-GB"/>
    </w:rPr>
  </w:style>
  <w:style w:type="character" w:customStyle="1" w:styleId="ATSNormalChar">
    <w:name w:val="ATS Normal Char"/>
    <w:link w:val="ATSNormal"/>
    <w:locked/>
    <w:rsid w:val="00BD731E"/>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sigroup.com/en-GB/our-services/product-certification/product-certification-schemes/pas-2080-carbon-management-in-infrastructure-verification/" TargetMode="External"/><Relationship Id="rId2" Type="http://schemas.openxmlformats.org/officeDocument/2006/relationships/hyperlink" Target="https://www.ceequal.com/" TargetMode="External"/><Relationship Id="rId1" Type="http://schemas.openxmlformats.org/officeDocument/2006/relationships/hyperlink" Target="https://www.nzgbc.org.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1453</Words>
  <Characters>8791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2021-04-29T14:42:00Z</dcterms:modified>
</cp:coreProperties>
</file>