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04B2" w14:textId="77777777" w:rsidR="00C26F2D" w:rsidRPr="00BF077B" w:rsidRDefault="00527CBC" w:rsidP="00BF077B">
      <w:pPr>
        <w:pStyle w:val="ATSNormal"/>
        <w:rPr>
          <w:rStyle w:val="Ttulodellibro"/>
        </w:rPr>
      </w:pPr>
    </w:p>
    <w:p w14:paraId="4807EA78" w14:textId="77777777" w:rsidR="002F0A13" w:rsidRDefault="00527CBC" w:rsidP="004B4A60">
      <w:pPr>
        <w:rPr>
          <w:b/>
          <w:u w:val="single"/>
          <w:lang w:val="es-ES_tradnl"/>
        </w:rPr>
      </w:pPr>
    </w:p>
    <w:p w14:paraId="72BAD435" w14:textId="77777777" w:rsidR="002F0A13" w:rsidRDefault="00527CBC" w:rsidP="004B4A60">
      <w:pPr>
        <w:rPr>
          <w:b/>
          <w:u w:val="single"/>
          <w:lang w:val="es-ES_tradnl"/>
        </w:rPr>
      </w:pPr>
    </w:p>
    <w:p w14:paraId="046BF490" w14:textId="77777777" w:rsidR="002F0A13" w:rsidRDefault="00527CBC" w:rsidP="004B4A60">
      <w:pPr>
        <w:rPr>
          <w:b/>
          <w:u w:val="single"/>
          <w:lang w:val="es-ES_tradnl"/>
        </w:rPr>
      </w:pPr>
    </w:p>
    <w:p w14:paraId="3C91DCCE" w14:textId="77777777" w:rsidR="002F0A13" w:rsidRDefault="00527CBC" w:rsidP="004B4A60">
      <w:pPr>
        <w:rPr>
          <w:b/>
          <w:u w:val="single"/>
          <w:lang w:val="es-ES_tradnl"/>
        </w:rPr>
      </w:pPr>
    </w:p>
    <w:p w14:paraId="42D08FEC" w14:textId="77777777" w:rsidR="00C26F2D" w:rsidRDefault="00527CBC" w:rsidP="004B4A60">
      <w:pPr>
        <w:rPr>
          <w:b/>
          <w:u w:val="single"/>
          <w:lang w:val="es-ES_tradnl"/>
        </w:rPr>
      </w:pPr>
    </w:p>
    <w:p w14:paraId="562E1657" w14:textId="77777777" w:rsidR="004B4A60" w:rsidRPr="0057246E" w:rsidRDefault="00527CBC" w:rsidP="001B789F">
      <w:pPr>
        <w:pStyle w:val="ATSTitle"/>
      </w:pPr>
      <w:bookmarkStart w:id="0" w:name="name"/>
      <w:r>
        <w:t>Revision of the Management Plan for Antarctic Specially Protected Area (ASPA) No. 167 Hawker Island, Princess Elizabeth Land</w:t>
      </w:r>
      <w:bookmarkEnd w:id="0"/>
    </w:p>
    <w:p w14:paraId="411BFDFE" w14:textId="77777777" w:rsidR="004B4A60" w:rsidRPr="0057246E" w:rsidRDefault="00527CBC" w:rsidP="00F75424">
      <w:pPr>
        <w:jc w:val="center"/>
      </w:pPr>
    </w:p>
    <w:p w14:paraId="69EBD2CF" w14:textId="77777777" w:rsidR="004B4A60" w:rsidRPr="002F0A13" w:rsidRDefault="00527CBC" w:rsidP="002F0A13"/>
    <w:p w14:paraId="170351BA" w14:textId="77777777" w:rsidR="004B4A60" w:rsidRDefault="00527CBC" w:rsidP="00F75424">
      <w:pPr>
        <w:jc w:val="center"/>
      </w:pPr>
      <w:bookmarkStart w:id="1" w:name="memo"/>
      <w:bookmarkEnd w:id="1"/>
    </w:p>
    <w:p w14:paraId="75631014" w14:textId="77777777" w:rsidR="0097629D" w:rsidRDefault="00527CBC" w:rsidP="00F75424">
      <w:pPr>
        <w:jc w:val="center"/>
      </w:pPr>
    </w:p>
    <w:p w14:paraId="746CC25A" w14:textId="77777777" w:rsidR="0097629D" w:rsidRDefault="00527CBC" w:rsidP="00F75424">
      <w:pPr>
        <w:jc w:val="center"/>
      </w:pPr>
    </w:p>
    <w:p w14:paraId="0B68F6E7" w14:textId="77777777" w:rsidR="0097629D" w:rsidRDefault="00527CBC" w:rsidP="00F75424">
      <w:pPr>
        <w:jc w:val="center"/>
      </w:pPr>
    </w:p>
    <w:p w14:paraId="54D4A74D" w14:textId="77777777" w:rsidR="0097629D" w:rsidRPr="00C26F2D" w:rsidRDefault="00527CBC" w:rsidP="00F75424">
      <w:pPr>
        <w:jc w:val="center"/>
      </w:pPr>
    </w:p>
    <w:p w14:paraId="7D231554" w14:textId="77777777" w:rsidR="004B4A60" w:rsidRPr="0057246E" w:rsidRDefault="00527CBC" w:rsidP="004B4A60"/>
    <w:p w14:paraId="45F627FC" w14:textId="77777777" w:rsidR="00C26F2D" w:rsidRDefault="00527CBC"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B702B3E" w14:textId="77777777" w:rsidR="00527CBC" w:rsidRDefault="00527CBC" w:rsidP="00527CBC">
      <w:pPr>
        <w:pStyle w:val="ATSHeading1"/>
      </w:pPr>
      <w:r>
        <w:lastRenderedPageBreak/>
        <w:t>Revision of the Management Plan for Antarctic Specially Protected Area (ASPA) No. 167 Hawker Island, Princess Elizabeth Land</w:t>
      </w:r>
    </w:p>
    <w:p w14:paraId="2937CFA7" w14:textId="77777777" w:rsidR="00527CBC" w:rsidRDefault="00527CBC" w:rsidP="00527CBC">
      <w:pPr>
        <w:pStyle w:val="ATSNormal"/>
        <w:jc w:val="center"/>
        <w:rPr>
          <w:b/>
        </w:rPr>
      </w:pPr>
      <w:r>
        <w:rPr>
          <w:b/>
        </w:rPr>
        <w:t xml:space="preserve">Working Paper submitted by Australia </w:t>
      </w:r>
    </w:p>
    <w:p w14:paraId="5D26033F" w14:textId="77777777" w:rsidR="00527CBC" w:rsidRDefault="00527CBC" w:rsidP="00527CBC">
      <w:pPr>
        <w:pStyle w:val="ATSHeading2"/>
      </w:pPr>
      <w:r>
        <w:t>Summary</w:t>
      </w:r>
    </w:p>
    <w:p w14:paraId="16576FF7" w14:textId="77777777" w:rsidR="00527CBC" w:rsidRDefault="00527CBC" w:rsidP="00527CBC">
      <w:pPr>
        <w:pStyle w:val="ATSNormal"/>
        <w:rPr>
          <w:lang w:val="en-AU"/>
        </w:rPr>
      </w:pPr>
      <w:r>
        <w:t xml:space="preserve">In accordance with Article 6.3 of Annex V to the Protocol on Environmental Protection to the Antarctic Treaty, Australia has undertaken a five-yearly review of the management plan for Antarctic Specially Protected Area (ASPA) 167 Hawker Island. The review was conducted with reference to Annex V and the </w:t>
      </w:r>
      <w:r>
        <w:rPr>
          <w:i/>
          <w:lang w:val="en-AU"/>
        </w:rPr>
        <w:t xml:space="preserve">Guide to the Preparation of Management Plans for Antarctic Specially Protected Areas </w:t>
      </w:r>
      <w:r>
        <w:rPr>
          <w:lang w:val="en-AU"/>
        </w:rPr>
        <w:t xml:space="preserve">(the Guide) appended to Resolution 2 (2011). The following sections briefly describe the Area, and describe the proposed minor amendments to the management plan. </w:t>
      </w:r>
      <w:r>
        <w:t>Australia recommends that the CEP approves the attached revised management plan.</w:t>
      </w:r>
    </w:p>
    <w:p w14:paraId="336F15AC" w14:textId="77777777" w:rsidR="00527CBC" w:rsidRDefault="00527CBC" w:rsidP="00527CBC">
      <w:pPr>
        <w:pStyle w:val="ATSHeading2"/>
        <w:rPr>
          <w:rFonts w:cs="Arial"/>
        </w:rPr>
      </w:pPr>
      <w:r>
        <w:rPr>
          <w:rFonts w:cs="Arial"/>
        </w:rPr>
        <w:t>Background</w:t>
      </w:r>
    </w:p>
    <w:p w14:paraId="479F3124" w14:textId="77777777" w:rsidR="00527CBC" w:rsidRDefault="00527CBC" w:rsidP="00527CBC">
      <w:r>
        <w:t>Hawker Island (the Area) (68°38’S, 77°51’E) is located 7 km south-west from Davis station off the Vestfold Hills on the Ingrid Christensen Coast, Princess Elizabeth Land, East Antarctica. The island was designated as Antarctic Specially Protected Area (ASPA) No. 167 under Measure 1 (2006), following a proposal by Australia, primarily to protect the southernmost breeding colony of southern giant petrels (</w:t>
      </w:r>
      <w:r>
        <w:rPr>
          <w:i/>
          <w:iCs/>
        </w:rPr>
        <w:t>Macronectes giganteus</w:t>
      </w:r>
      <w:r>
        <w:t>). The Area is one of only four known breeding locations for southern giant petrels in East Antarctica, all of which are ASPAs: ASPA 102, Rookery Islands, Holme Bay, Mac.Robertson Land (67º36’S, 62º53’E) – near Mawson Station; ASPA 160, Frazier Islands, Wilkes Land (66°13’S, 110°11’E) – near Casey station; and ASPA 120, Pointe Géologie, Terre Adélie (66º40’S, 140º01’E) – near Dumont d’Urville. Hawker Island also supports breeding colonies of Adélie penguins (</w:t>
      </w:r>
      <w:r>
        <w:rPr>
          <w:i/>
          <w:iCs/>
        </w:rPr>
        <w:t>Pygocelis adeliae</w:t>
      </w:r>
      <w:r>
        <w:t>), south polar skuas (</w:t>
      </w:r>
      <w:r>
        <w:rPr>
          <w:i/>
          <w:iCs/>
        </w:rPr>
        <w:t>Catharacta maccormicki</w:t>
      </w:r>
      <w:r>
        <w:t>), and Cape petrels (</w:t>
      </w:r>
      <w:r>
        <w:rPr>
          <w:i/>
          <w:iCs/>
        </w:rPr>
        <w:t>Daption capense</w:t>
      </w:r>
      <w:r>
        <w:t>). Occasionally Southern elephant seal (</w:t>
      </w:r>
      <w:r w:rsidRPr="004A563B">
        <w:rPr>
          <w:i/>
        </w:rPr>
        <w:t>Nirounga leonine</w:t>
      </w:r>
      <w:r>
        <w:t>) haul out on the southern beaches and Weddell seals (</w:t>
      </w:r>
      <w:r>
        <w:rPr>
          <w:i/>
          <w:iCs/>
        </w:rPr>
        <w:t>Leptonychotes weddellii</w:t>
      </w:r>
      <w:r>
        <w:t>) pup on the sea ice nearby.</w:t>
      </w:r>
    </w:p>
    <w:p w14:paraId="412CFAC2" w14:textId="77777777" w:rsidR="00527CBC" w:rsidRDefault="00527CBC" w:rsidP="00527CBC">
      <w:pPr>
        <w:pStyle w:val="ATSNormal"/>
        <w:rPr>
          <w:rFonts w:ascii="Arial" w:hAnsi="Arial" w:cs="Arial"/>
          <w:b/>
          <w:i/>
          <w:sz w:val="24"/>
          <w:highlight w:val="yellow"/>
        </w:rPr>
      </w:pPr>
      <w:r>
        <w:rPr>
          <w:rFonts w:ascii="Arial" w:hAnsi="Arial" w:cs="Arial"/>
          <w:b/>
          <w:i/>
          <w:sz w:val="24"/>
        </w:rPr>
        <w:t>Review of management plan</w:t>
      </w:r>
    </w:p>
    <w:p w14:paraId="759CC5A8" w14:textId="77777777" w:rsidR="00527CBC" w:rsidRDefault="00527CBC" w:rsidP="00527CBC">
      <w:pPr>
        <w:pStyle w:val="ATSNormal"/>
      </w:pPr>
      <w:r>
        <w:t xml:space="preserve">The review of the management plan involved a literature review, and consultation with personnel permitted to enter the Area during the past five years and ornithologists who are familiar with the Area. The revisions to the management plan seek to afford enhanced protection of the values that the Area was designated to protect.    </w:t>
      </w:r>
    </w:p>
    <w:p w14:paraId="1A57AE6D" w14:textId="77777777" w:rsidR="00527CBC" w:rsidRPr="00785B77" w:rsidRDefault="00527CBC" w:rsidP="00527CBC">
      <w:pPr>
        <w:pStyle w:val="ATSHeading2"/>
      </w:pPr>
      <w:r>
        <w:t xml:space="preserve">Summary </w:t>
      </w:r>
      <w:r w:rsidRPr="00785B77">
        <w:t xml:space="preserve">of amendments to </w:t>
      </w:r>
      <w:r>
        <w:t>the management plan for ASPA 167</w:t>
      </w:r>
    </w:p>
    <w:p w14:paraId="30CB50C2" w14:textId="77777777" w:rsidR="00527CBC" w:rsidRPr="00785B77" w:rsidRDefault="00527CBC" w:rsidP="00527CBC">
      <w:pPr>
        <w:pStyle w:val="ATSNormal"/>
      </w:pPr>
      <w:r>
        <w:t xml:space="preserve">A revised management plan for ASPA 167 is presented at </w:t>
      </w:r>
      <w:r w:rsidRPr="00A4674D">
        <w:rPr>
          <w:u w:val="single"/>
        </w:rPr>
        <w:t>Attachment A</w:t>
      </w:r>
      <w:r>
        <w:t>. No major changes are proposed, and there</w:t>
      </w:r>
      <w:r w:rsidRPr="00785B77">
        <w:t xml:space="preserve"> are no changes to the Area boundary. </w:t>
      </w:r>
      <w:r>
        <w:t>Proposed minor amendments are summarised as follows:</w:t>
      </w:r>
    </w:p>
    <w:p w14:paraId="02E5EF0F" w14:textId="77777777" w:rsidR="00527CBC" w:rsidRPr="00785B77" w:rsidRDefault="00527CBC" w:rsidP="00527CBC">
      <w:pPr>
        <w:pStyle w:val="ATSBullet1"/>
        <w:numPr>
          <w:ilvl w:val="0"/>
          <w:numId w:val="11"/>
        </w:numPr>
      </w:pPr>
      <w:r w:rsidRPr="00785B77">
        <w:t xml:space="preserve">The Introduction has been modified to more accurately describe </w:t>
      </w:r>
      <w:r>
        <w:t xml:space="preserve">areas used by </w:t>
      </w:r>
      <w:r w:rsidRPr="00785B77">
        <w:t>seal</w:t>
      </w:r>
      <w:r>
        <w:t>s</w:t>
      </w:r>
      <w:r w:rsidRPr="00785B77">
        <w:t xml:space="preserve"> </w:t>
      </w:r>
      <w:r>
        <w:t>within and near</w:t>
      </w:r>
      <w:r w:rsidRPr="00785B77">
        <w:t xml:space="preserve"> the Area. </w:t>
      </w:r>
    </w:p>
    <w:p w14:paraId="4A10B7FD" w14:textId="77777777" w:rsidR="00527CBC" w:rsidRPr="00785B77" w:rsidRDefault="00527CBC" w:rsidP="00527CBC">
      <w:pPr>
        <w:pStyle w:val="ATSBullet1"/>
        <w:numPr>
          <w:ilvl w:val="0"/>
          <w:numId w:val="11"/>
        </w:numPr>
      </w:pPr>
      <w:r w:rsidRPr="00785B77">
        <w:t xml:space="preserve">Section 2 </w:t>
      </w:r>
      <w:r>
        <w:t xml:space="preserve">has been </w:t>
      </w:r>
      <w:r w:rsidRPr="00785B77">
        <w:t xml:space="preserve">revised </w:t>
      </w:r>
      <w:r>
        <w:t xml:space="preserve">for consistency with other management plans, </w:t>
      </w:r>
      <w:r w:rsidRPr="00785B77">
        <w:t xml:space="preserve">to </w:t>
      </w:r>
      <w:r>
        <w:t xml:space="preserve">reflect that management of the Area aims to allow </w:t>
      </w:r>
      <w:r w:rsidRPr="00785B77">
        <w:t>visits for management purposes in support of the aims of the management plan</w:t>
      </w:r>
      <w:r>
        <w:t xml:space="preserve"> and to protect the values of the Area as a reference area for future comparative studies with other breeding populations of southern giant petrels</w:t>
      </w:r>
      <w:r w:rsidRPr="00785B77">
        <w:t xml:space="preserve">.  </w:t>
      </w:r>
    </w:p>
    <w:p w14:paraId="7E6F3ED3" w14:textId="77777777" w:rsidR="00527CBC" w:rsidRPr="00785B77" w:rsidRDefault="00527CBC" w:rsidP="00527CBC">
      <w:pPr>
        <w:pStyle w:val="ATSBullet1"/>
        <w:numPr>
          <w:ilvl w:val="0"/>
          <w:numId w:val="11"/>
        </w:numPr>
      </w:pPr>
      <w:r w:rsidRPr="00785B77">
        <w:t xml:space="preserve">Section 6(i) </w:t>
      </w:r>
      <w:r>
        <w:t>has been</w:t>
      </w:r>
      <w:r w:rsidRPr="00785B77">
        <w:t xml:space="preserve"> revised to:</w:t>
      </w:r>
    </w:p>
    <w:p w14:paraId="0CCA144D" w14:textId="77777777" w:rsidR="00527CBC" w:rsidRPr="00924361" w:rsidRDefault="00527CBC" w:rsidP="00527CBC">
      <w:pPr>
        <w:pStyle w:val="Prrafodelista"/>
        <w:numPr>
          <w:ilvl w:val="1"/>
          <w:numId w:val="11"/>
        </w:numPr>
        <w:rPr>
          <w:lang w:eastAsia="en-GB"/>
        </w:rPr>
      </w:pPr>
      <w:r>
        <w:rPr>
          <w:lang w:eastAsia="en-GB"/>
        </w:rPr>
        <w:t>N</w:t>
      </w:r>
      <w:r w:rsidRPr="00924361">
        <w:rPr>
          <w:lang w:eastAsia="en-GB"/>
        </w:rPr>
        <w:t xml:space="preserve">ote that the Area is </w:t>
      </w:r>
      <w:r w:rsidRPr="00F02EB7">
        <w:t xml:space="preserve">located in </w:t>
      </w:r>
      <w:r>
        <w:t xml:space="preserve">Antarctic Conservation </w:t>
      </w:r>
      <w:r w:rsidRPr="00F02EB7">
        <w:t>Biogeographic Region 7 East Antarctica</w:t>
      </w:r>
      <w:r>
        <w:t>, and is</w:t>
      </w:r>
      <w:r w:rsidRPr="00924361">
        <w:rPr>
          <w:lang w:eastAsia="en-GB"/>
        </w:rPr>
        <w:t xml:space="preserve"> </w:t>
      </w:r>
      <w:r>
        <w:rPr>
          <w:lang w:eastAsia="en-GB"/>
        </w:rPr>
        <w:t xml:space="preserve">not </w:t>
      </w:r>
      <w:r w:rsidRPr="00924361">
        <w:rPr>
          <w:lang w:eastAsia="en-GB"/>
        </w:rPr>
        <w:t xml:space="preserve">identified as </w:t>
      </w:r>
      <w:r>
        <w:rPr>
          <w:lang w:eastAsia="en-GB"/>
        </w:rPr>
        <w:t xml:space="preserve">an </w:t>
      </w:r>
      <w:r w:rsidRPr="00924361">
        <w:rPr>
          <w:lang w:eastAsia="en-GB"/>
        </w:rPr>
        <w:t xml:space="preserve">Antarctic Important Bird Area. </w:t>
      </w:r>
    </w:p>
    <w:p w14:paraId="3F7973F6" w14:textId="77777777" w:rsidR="00527CBC" w:rsidRPr="00785B77" w:rsidRDefault="00527CBC" w:rsidP="00527CBC">
      <w:pPr>
        <w:pStyle w:val="ATSBullet1"/>
        <w:numPr>
          <w:ilvl w:val="1"/>
          <w:numId w:val="11"/>
        </w:numPr>
      </w:pPr>
      <w:r w:rsidRPr="00785B77">
        <w:lastRenderedPageBreak/>
        <w:t xml:space="preserve">Include updated counts for </w:t>
      </w:r>
      <w:r>
        <w:t xml:space="preserve">southern giant petrel </w:t>
      </w:r>
      <w:r w:rsidRPr="00785B77">
        <w:t>chicks (2020).</w:t>
      </w:r>
    </w:p>
    <w:p w14:paraId="316281BB" w14:textId="77777777" w:rsidR="00527CBC" w:rsidRPr="00785B77" w:rsidRDefault="00527CBC" w:rsidP="00527CBC">
      <w:pPr>
        <w:pStyle w:val="ATSBullet1"/>
        <w:numPr>
          <w:ilvl w:val="1"/>
          <w:numId w:val="11"/>
        </w:numPr>
      </w:pPr>
      <w:r w:rsidRPr="00785B77">
        <w:t xml:space="preserve">Update </w:t>
      </w:r>
      <w:r>
        <w:t xml:space="preserve">the </w:t>
      </w:r>
      <w:r w:rsidRPr="00785B77">
        <w:t xml:space="preserve">number of offshore islands where Adelie penguins breed.   </w:t>
      </w:r>
    </w:p>
    <w:p w14:paraId="2B17A2D9" w14:textId="77777777" w:rsidR="00527CBC" w:rsidRPr="00785B77" w:rsidRDefault="00527CBC" w:rsidP="00527CBC">
      <w:pPr>
        <w:pStyle w:val="ATSBullet1"/>
        <w:numPr>
          <w:ilvl w:val="1"/>
          <w:numId w:val="11"/>
        </w:numPr>
      </w:pPr>
      <w:r w:rsidRPr="00785B77">
        <w:t>Update the number of Adelie penguin pairs that breed in the Vestfold Hills (2009/10).</w:t>
      </w:r>
    </w:p>
    <w:p w14:paraId="44CF3659" w14:textId="77777777" w:rsidR="00527CBC" w:rsidRPr="00785B77" w:rsidRDefault="00527CBC" w:rsidP="00527CBC">
      <w:pPr>
        <w:pStyle w:val="ATSBullet1"/>
        <w:numPr>
          <w:ilvl w:val="1"/>
          <w:numId w:val="11"/>
        </w:numPr>
      </w:pPr>
      <w:r w:rsidRPr="00785B77">
        <w:t>Remov</w:t>
      </w:r>
      <w:r>
        <w:t>e</w:t>
      </w:r>
      <w:r w:rsidRPr="00785B77">
        <w:t xml:space="preserve"> a sentence that did not have any management implications.  </w:t>
      </w:r>
    </w:p>
    <w:p w14:paraId="5C64D42A" w14:textId="77777777" w:rsidR="00527CBC" w:rsidRPr="00785B77" w:rsidRDefault="00527CBC" w:rsidP="00527CBC">
      <w:pPr>
        <w:pStyle w:val="ATSBullet1"/>
        <w:numPr>
          <w:ilvl w:val="1"/>
          <w:numId w:val="11"/>
        </w:numPr>
      </w:pPr>
      <w:r w:rsidRPr="00785B77">
        <w:t>Inclu</w:t>
      </w:r>
      <w:r>
        <w:t>de</w:t>
      </w:r>
      <w:r w:rsidRPr="00785B77">
        <w:t xml:space="preserve"> the number of Cape petrel pairs (2017/18). </w:t>
      </w:r>
    </w:p>
    <w:p w14:paraId="232C3550" w14:textId="77777777" w:rsidR="00527CBC" w:rsidRPr="00785B77" w:rsidRDefault="00527CBC" w:rsidP="00527CBC">
      <w:pPr>
        <w:pStyle w:val="ATSBullet1"/>
        <w:numPr>
          <w:ilvl w:val="1"/>
          <w:numId w:val="11"/>
        </w:numPr>
      </w:pPr>
      <w:r>
        <w:t>N</w:t>
      </w:r>
      <w:r w:rsidRPr="00785B77">
        <w:t>ot</w:t>
      </w:r>
      <w:r>
        <w:t>e</w:t>
      </w:r>
      <w:r w:rsidRPr="00785B77">
        <w:t xml:space="preserve"> that South polar skuas may breed near the penguin colony. </w:t>
      </w:r>
    </w:p>
    <w:p w14:paraId="720600AC" w14:textId="77777777" w:rsidR="00527CBC" w:rsidRPr="00785B77" w:rsidRDefault="00527CBC" w:rsidP="00527CBC">
      <w:pPr>
        <w:pStyle w:val="ATSBullet1"/>
        <w:numPr>
          <w:ilvl w:val="1"/>
          <w:numId w:val="11"/>
        </w:numPr>
      </w:pPr>
      <w:r>
        <w:t>Mention</w:t>
      </w:r>
      <w:r w:rsidRPr="00785B77">
        <w:t xml:space="preserve"> additional southern elephant seal haul out locations in the Vestfold Hills.   </w:t>
      </w:r>
    </w:p>
    <w:p w14:paraId="6B54B2AE" w14:textId="77777777" w:rsidR="00527CBC" w:rsidRPr="00785B77" w:rsidRDefault="00527CBC" w:rsidP="00527CBC">
      <w:pPr>
        <w:pStyle w:val="ATSBullet1"/>
        <w:numPr>
          <w:ilvl w:val="0"/>
          <w:numId w:val="11"/>
        </w:numPr>
      </w:pPr>
      <w:r w:rsidRPr="00785B77">
        <w:t xml:space="preserve">Section 6(ii) </w:t>
      </w:r>
      <w:r>
        <w:t>has been</w:t>
      </w:r>
      <w:r w:rsidRPr="00785B77">
        <w:t xml:space="preserve"> revised to include additional information on preferred landing sites for boats accessing the Area. </w:t>
      </w:r>
    </w:p>
    <w:p w14:paraId="2B57A224" w14:textId="77777777" w:rsidR="00527CBC" w:rsidRDefault="00527CBC" w:rsidP="00527CBC">
      <w:pPr>
        <w:pStyle w:val="ATSBullet1"/>
        <w:numPr>
          <w:ilvl w:val="0"/>
          <w:numId w:val="11"/>
        </w:numPr>
      </w:pPr>
      <w:r>
        <w:t xml:space="preserve">Section 7(ii) has been revised to include conditions regarding the use of remotely piloted aircraft systems (RPAS), stating that overflights of bird colonies are prohibited except where essential for compelling scientific or management purposes, noting that such overflights shall be undertaken in accordance with the </w:t>
      </w:r>
      <w:r>
        <w:rPr>
          <w:i/>
        </w:rPr>
        <w:t>Environmental guidelines for operation of Remotely Piloted Aircraft Systems (RPAS) in Antarctica.</w:t>
      </w:r>
    </w:p>
    <w:p w14:paraId="5BF40C54" w14:textId="77777777" w:rsidR="00527CBC" w:rsidRDefault="00527CBC" w:rsidP="00527CBC">
      <w:pPr>
        <w:pStyle w:val="ATSBullet1"/>
        <w:numPr>
          <w:ilvl w:val="0"/>
          <w:numId w:val="11"/>
        </w:numPr>
      </w:pPr>
      <w:r>
        <w:t xml:space="preserve">Section (iv) has been revised to state that structure installation, modification and removal, should, if possible, be carried out during the non-breeding period for SGP. </w:t>
      </w:r>
    </w:p>
    <w:p w14:paraId="3C89D6C5" w14:textId="77777777" w:rsidR="00527CBC" w:rsidRDefault="00527CBC" w:rsidP="00527CBC">
      <w:pPr>
        <w:pStyle w:val="ATSBullet1"/>
        <w:numPr>
          <w:ilvl w:val="0"/>
          <w:numId w:val="11"/>
        </w:numPr>
      </w:pPr>
      <w:r>
        <w:t xml:space="preserve">Section 7(vii) has been revised to state that, where feasible, preference should be given to activities and methodologies that minimise disturbance to breeding birds. </w:t>
      </w:r>
    </w:p>
    <w:p w14:paraId="0F011EC2" w14:textId="77777777" w:rsidR="00527CBC" w:rsidRPr="00151DB5" w:rsidRDefault="00527CBC" w:rsidP="00527CBC">
      <w:pPr>
        <w:pStyle w:val="ATSBullet1"/>
        <w:numPr>
          <w:ilvl w:val="0"/>
          <w:numId w:val="11"/>
        </w:numPr>
      </w:pPr>
      <w:r w:rsidRPr="00965AB4">
        <w:t xml:space="preserve">Section 8 </w:t>
      </w:r>
      <w:r>
        <w:t>has been</w:t>
      </w:r>
      <w:r w:rsidRPr="00965AB4">
        <w:t xml:space="preserve"> revised to update with relevant, recent publications</w:t>
      </w:r>
      <w:r w:rsidRPr="00151DB5">
        <w:t xml:space="preserve">, and minor corrections.  </w:t>
      </w:r>
    </w:p>
    <w:p w14:paraId="3905AE20" w14:textId="77777777" w:rsidR="00527CBC" w:rsidRPr="00151DB5" w:rsidRDefault="00527CBC" w:rsidP="00527CBC">
      <w:pPr>
        <w:pStyle w:val="ATSBullet1"/>
        <w:numPr>
          <w:ilvl w:val="0"/>
          <w:numId w:val="11"/>
        </w:numPr>
      </w:pPr>
      <w:r w:rsidRPr="00151DB5">
        <w:t>Map B has been revised to include location of small Cape petrel colony.</w:t>
      </w:r>
    </w:p>
    <w:p w14:paraId="29F5DD90" w14:textId="77777777" w:rsidR="00527CBC" w:rsidRPr="00151DB5" w:rsidRDefault="00527CBC" w:rsidP="00527CBC">
      <w:pPr>
        <w:pStyle w:val="ATSBullet1"/>
        <w:numPr>
          <w:ilvl w:val="0"/>
          <w:numId w:val="11"/>
        </w:numPr>
      </w:pPr>
      <w:r w:rsidRPr="00151DB5">
        <w:t xml:space="preserve">Editorial amendments have been made throughout.  </w:t>
      </w:r>
    </w:p>
    <w:p w14:paraId="5841B248" w14:textId="77777777" w:rsidR="00527CBC" w:rsidRDefault="00527CBC" w:rsidP="00527CBC">
      <w:pPr>
        <w:pStyle w:val="ATSBullet1"/>
        <w:numPr>
          <w:ilvl w:val="0"/>
          <w:numId w:val="0"/>
        </w:numPr>
        <w:ind w:left="360" w:hanging="360"/>
      </w:pPr>
    </w:p>
    <w:p w14:paraId="6B614D3E" w14:textId="77777777" w:rsidR="00527CBC" w:rsidRDefault="00527CBC" w:rsidP="00527CBC">
      <w:pPr>
        <w:pStyle w:val="ATSBullet1"/>
        <w:numPr>
          <w:ilvl w:val="0"/>
          <w:numId w:val="0"/>
        </w:numPr>
        <w:rPr>
          <w:rFonts w:ascii="Arial" w:hAnsi="Arial" w:cs="Arial"/>
          <w:b/>
          <w:i/>
        </w:rPr>
      </w:pPr>
      <w:r w:rsidRPr="00965AB4">
        <w:rPr>
          <w:rFonts w:ascii="Arial" w:hAnsi="Arial" w:cs="Arial"/>
          <w:b/>
          <w:i/>
        </w:rPr>
        <w:t>Recommendation</w:t>
      </w:r>
      <w:r>
        <w:rPr>
          <w:rFonts w:ascii="Arial" w:hAnsi="Arial" w:cs="Arial"/>
          <w:b/>
          <w:i/>
        </w:rPr>
        <w:t xml:space="preserve"> </w:t>
      </w:r>
    </w:p>
    <w:p w14:paraId="0EDD429B" w14:textId="77777777" w:rsidR="00527CBC" w:rsidRDefault="00527CBC" w:rsidP="00527CBC">
      <w:pPr>
        <w:pStyle w:val="ATSNormal"/>
        <w:jc w:val="both"/>
      </w:pPr>
      <w:r>
        <w:t xml:space="preserve">Australia recommends that the CEP approves the attached revised management plan for ASPA 167 Hawker Island, Princess Elizabeth Land. </w:t>
      </w:r>
    </w:p>
    <w:p w14:paraId="5950EA2E" w14:textId="77777777" w:rsidR="00527CBC" w:rsidRDefault="00527CBC" w:rsidP="00527CBC">
      <w:pPr>
        <w:rPr>
          <w:lang w:eastAsia="en-GB"/>
        </w:rPr>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531"/>
        <w:gridCol w:w="4771"/>
      </w:tblGrid>
      <w:tr w:rsidR="00527CBC" w14:paraId="563E2B31" w14:textId="77777777" w:rsidTr="001D22D3">
        <w:trPr>
          <w:cantSplit/>
          <w:trHeight w:val="434"/>
          <w:jc w:val="center"/>
        </w:trPr>
        <w:tc>
          <w:tcPr>
            <w:tcW w:w="9302" w:type="dxa"/>
            <w:gridSpan w:val="2"/>
            <w:hideMark/>
          </w:tcPr>
          <w:p w14:paraId="1034D78E" w14:textId="77777777" w:rsidR="00527CBC" w:rsidRDefault="00527CBC" w:rsidP="001D22D3">
            <w:pPr>
              <w:pStyle w:val="ATSHeading1"/>
              <w:spacing w:before="120" w:after="0"/>
              <w:rPr>
                <w:rFonts w:cs="Arial"/>
                <w:snapToGrid w:val="0"/>
                <w:szCs w:val="28"/>
                <w:lang w:val="en-US"/>
              </w:rPr>
            </w:pPr>
            <w:r>
              <w:lastRenderedPageBreak/>
              <w:br w:type="page"/>
            </w:r>
            <w:r>
              <w:br w:type="page"/>
            </w:r>
            <w:r>
              <w:rPr>
                <w:rFonts w:cs="Arial"/>
                <w:szCs w:val="28"/>
              </w:rPr>
              <w:t>ASPA No. 167, Hawker Island, Princess Elizabeth Land</w:t>
            </w:r>
          </w:p>
        </w:tc>
      </w:tr>
      <w:tr w:rsidR="00527CBC" w14:paraId="17E08318" w14:textId="77777777" w:rsidTr="001D22D3">
        <w:trPr>
          <w:jc w:val="center"/>
        </w:trPr>
        <w:tc>
          <w:tcPr>
            <w:tcW w:w="4531" w:type="dxa"/>
            <w:hideMark/>
          </w:tcPr>
          <w:p w14:paraId="2A0BD104" w14:textId="77777777" w:rsidR="00527CBC" w:rsidRDefault="00527CBC" w:rsidP="001D22D3">
            <w:pPr>
              <w:pStyle w:val="ATSNormal"/>
              <w:rPr>
                <w:b/>
                <w:snapToGrid w:val="0"/>
                <w:szCs w:val="21"/>
              </w:rPr>
            </w:pPr>
            <w:r>
              <w:rPr>
                <w:b/>
                <w:snapToGrid w:val="0"/>
                <w:szCs w:val="21"/>
              </w:rPr>
              <w:t>1. Is a new ASPA proposed?</w:t>
            </w:r>
          </w:p>
        </w:tc>
        <w:tc>
          <w:tcPr>
            <w:tcW w:w="4771" w:type="dxa"/>
            <w:hideMark/>
          </w:tcPr>
          <w:p w14:paraId="225E549B" w14:textId="77777777" w:rsidR="00527CBC" w:rsidRDefault="00527CBC" w:rsidP="001D22D3">
            <w:pPr>
              <w:pStyle w:val="ATSNormal"/>
              <w:rPr>
                <w:snapToGrid w:val="0"/>
                <w:szCs w:val="21"/>
              </w:rPr>
            </w:pPr>
            <w:r>
              <w:rPr>
                <w:snapToGrid w:val="0"/>
                <w:szCs w:val="21"/>
              </w:rPr>
              <w:t>No</w:t>
            </w:r>
          </w:p>
        </w:tc>
      </w:tr>
      <w:tr w:rsidR="00527CBC" w14:paraId="54FBDB5D" w14:textId="77777777" w:rsidTr="001D22D3">
        <w:trPr>
          <w:jc w:val="center"/>
        </w:trPr>
        <w:tc>
          <w:tcPr>
            <w:tcW w:w="4531" w:type="dxa"/>
            <w:hideMark/>
          </w:tcPr>
          <w:p w14:paraId="1B11FFD2" w14:textId="77777777" w:rsidR="00527CBC" w:rsidRDefault="00527CBC" w:rsidP="001D22D3">
            <w:pPr>
              <w:pStyle w:val="ATSNormal"/>
              <w:rPr>
                <w:b/>
                <w:snapToGrid w:val="0"/>
                <w:szCs w:val="21"/>
              </w:rPr>
            </w:pPr>
            <w:r>
              <w:rPr>
                <w:b/>
                <w:snapToGrid w:val="0"/>
                <w:szCs w:val="21"/>
              </w:rPr>
              <w:t>2. Is a new ASMA proposed?</w:t>
            </w:r>
          </w:p>
        </w:tc>
        <w:tc>
          <w:tcPr>
            <w:tcW w:w="4771" w:type="dxa"/>
            <w:hideMark/>
          </w:tcPr>
          <w:p w14:paraId="1C8FD570" w14:textId="77777777" w:rsidR="00527CBC" w:rsidRDefault="00527CBC" w:rsidP="001D22D3">
            <w:pPr>
              <w:pStyle w:val="ATSNormal"/>
              <w:rPr>
                <w:snapToGrid w:val="0"/>
                <w:szCs w:val="21"/>
              </w:rPr>
            </w:pPr>
            <w:r>
              <w:rPr>
                <w:snapToGrid w:val="0"/>
                <w:szCs w:val="21"/>
              </w:rPr>
              <w:t>No</w:t>
            </w:r>
          </w:p>
        </w:tc>
      </w:tr>
      <w:tr w:rsidR="00527CBC" w14:paraId="3657D88E" w14:textId="77777777" w:rsidTr="001D22D3">
        <w:trPr>
          <w:jc w:val="center"/>
        </w:trPr>
        <w:tc>
          <w:tcPr>
            <w:tcW w:w="4531" w:type="dxa"/>
            <w:hideMark/>
          </w:tcPr>
          <w:p w14:paraId="5D1B6908" w14:textId="77777777" w:rsidR="00527CBC" w:rsidRDefault="00527CBC" w:rsidP="001D22D3">
            <w:pPr>
              <w:pStyle w:val="ATSNormal"/>
              <w:rPr>
                <w:b/>
                <w:snapToGrid w:val="0"/>
                <w:szCs w:val="21"/>
              </w:rPr>
            </w:pPr>
            <w:r>
              <w:rPr>
                <w:b/>
                <w:snapToGrid w:val="0"/>
                <w:szCs w:val="21"/>
              </w:rPr>
              <w:t>3. Does the proposal relate to an existing ASPA or ASMA?</w:t>
            </w:r>
          </w:p>
        </w:tc>
        <w:tc>
          <w:tcPr>
            <w:tcW w:w="4771" w:type="dxa"/>
            <w:hideMark/>
          </w:tcPr>
          <w:p w14:paraId="7F994779" w14:textId="77777777" w:rsidR="00527CBC" w:rsidRDefault="00527CBC" w:rsidP="001D22D3">
            <w:pPr>
              <w:pStyle w:val="ATSNormal"/>
              <w:rPr>
                <w:snapToGrid w:val="0"/>
                <w:szCs w:val="21"/>
              </w:rPr>
            </w:pPr>
            <w:r>
              <w:rPr>
                <w:snapToGrid w:val="0"/>
                <w:szCs w:val="21"/>
              </w:rPr>
              <w:t>Yes</w:t>
            </w:r>
          </w:p>
        </w:tc>
      </w:tr>
      <w:tr w:rsidR="00527CBC" w14:paraId="70FDBDA3" w14:textId="77777777" w:rsidTr="001D22D3">
        <w:trPr>
          <w:jc w:val="center"/>
        </w:trPr>
        <w:tc>
          <w:tcPr>
            <w:tcW w:w="4531" w:type="dxa"/>
            <w:hideMark/>
          </w:tcPr>
          <w:p w14:paraId="631B9321" w14:textId="77777777" w:rsidR="00527CBC" w:rsidRDefault="00527CBC" w:rsidP="001D22D3">
            <w:pPr>
              <w:pStyle w:val="ATSNormal"/>
              <w:jc w:val="center"/>
              <w:rPr>
                <w:i/>
                <w:szCs w:val="21"/>
              </w:rPr>
            </w:pPr>
            <w:r>
              <w:rPr>
                <w:i/>
                <w:szCs w:val="21"/>
              </w:rPr>
              <w:t>First designation:</w:t>
            </w:r>
          </w:p>
        </w:tc>
        <w:tc>
          <w:tcPr>
            <w:tcW w:w="4771" w:type="dxa"/>
            <w:hideMark/>
          </w:tcPr>
          <w:p w14:paraId="33E84722" w14:textId="77777777" w:rsidR="00527CBC" w:rsidRDefault="00527CBC" w:rsidP="001D22D3">
            <w:pPr>
              <w:pStyle w:val="ATSNormal"/>
              <w:rPr>
                <w:snapToGrid w:val="0"/>
                <w:szCs w:val="21"/>
              </w:rPr>
            </w:pPr>
            <w:r>
              <w:t>Measure 1 (</w:t>
            </w:r>
            <w:r>
              <w:rPr>
                <w:snapToGrid w:val="0"/>
                <w:szCs w:val="21"/>
              </w:rPr>
              <w:t>2006)</w:t>
            </w:r>
          </w:p>
        </w:tc>
      </w:tr>
      <w:tr w:rsidR="00527CBC" w14:paraId="161D16C7" w14:textId="77777777" w:rsidTr="001D22D3">
        <w:trPr>
          <w:jc w:val="center"/>
        </w:trPr>
        <w:tc>
          <w:tcPr>
            <w:tcW w:w="4531" w:type="dxa"/>
            <w:hideMark/>
          </w:tcPr>
          <w:p w14:paraId="516111B2" w14:textId="77777777" w:rsidR="00527CBC" w:rsidRDefault="00527CBC" w:rsidP="001D22D3">
            <w:pPr>
              <w:pStyle w:val="ATSNormal"/>
              <w:jc w:val="center"/>
              <w:rPr>
                <w:i/>
                <w:szCs w:val="21"/>
              </w:rPr>
            </w:pPr>
            <w:r>
              <w:rPr>
                <w:i/>
                <w:szCs w:val="21"/>
              </w:rPr>
              <w:t>First adoption of management plan:</w:t>
            </w:r>
          </w:p>
        </w:tc>
        <w:tc>
          <w:tcPr>
            <w:tcW w:w="4771" w:type="dxa"/>
            <w:hideMark/>
          </w:tcPr>
          <w:p w14:paraId="13F0C0B2" w14:textId="77777777" w:rsidR="00527CBC" w:rsidRDefault="00527CBC" w:rsidP="001D22D3">
            <w:pPr>
              <w:pStyle w:val="ATSNormal"/>
              <w:rPr>
                <w:snapToGrid w:val="0"/>
                <w:szCs w:val="21"/>
                <w:highlight w:val="yellow"/>
              </w:rPr>
            </w:pPr>
            <w:r>
              <w:t>Measure 1 (</w:t>
            </w:r>
            <w:r>
              <w:rPr>
                <w:snapToGrid w:val="0"/>
                <w:szCs w:val="21"/>
              </w:rPr>
              <w:t>2006)</w:t>
            </w:r>
          </w:p>
        </w:tc>
      </w:tr>
      <w:tr w:rsidR="00527CBC" w14:paraId="2000DEF7" w14:textId="77777777" w:rsidTr="001D22D3">
        <w:trPr>
          <w:jc w:val="center"/>
        </w:trPr>
        <w:tc>
          <w:tcPr>
            <w:tcW w:w="4531" w:type="dxa"/>
            <w:hideMark/>
          </w:tcPr>
          <w:p w14:paraId="74FF86EA" w14:textId="77777777" w:rsidR="00527CBC" w:rsidRDefault="00527CBC" w:rsidP="001D22D3">
            <w:pPr>
              <w:pStyle w:val="ATSNormal"/>
              <w:jc w:val="center"/>
              <w:rPr>
                <w:i/>
                <w:szCs w:val="21"/>
              </w:rPr>
            </w:pPr>
            <w:r>
              <w:rPr>
                <w:i/>
                <w:szCs w:val="21"/>
              </w:rPr>
              <w:t>Any revisions to management plan:</w:t>
            </w:r>
          </w:p>
        </w:tc>
        <w:tc>
          <w:tcPr>
            <w:tcW w:w="4771" w:type="dxa"/>
            <w:hideMark/>
          </w:tcPr>
          <w:p w14:paraId="09E7A8CF" w14:textId="77777777" w:rsidR="00527CBC" w:rsidRPr="00A904A6" w:rsidRDefault="00527CBC" w:rsidP="001D22D3">
            <w:pPr>
              <w:pStyle w:val="ATSNormal"/>
            </w:pPr>
            <w:r w:rsidRPr="00A904A6">
              <w:t>Measure 9 (2011)</w:t>
            </w:r>
          </w:p>
          <w:p w14:paraId="1743D2F6" w14:textId="77777777" w:rsidR="00527CBC" w:rsidRPr="00A904A6" w:rsidRDefault="00527CBC" w:rsidP="001D22D3">
            <w:pPr>
              <w:pStyle w:val="ATSNormal"/>
              <w:rPr>
                <w:snapToGrid w:val="0"/>
                <w:szCs w:val="21"/>
              </w:rPr>
            </w:pPr>
            <w:r w:rsidRPr="00A904A6">
              <w:t>Measure 8 (2016)</w:t>
            </w:r>
          </w:p>
        </w:tc>
      </w:tr>
      <w:tr w:rsidR="00527CBC" w14:paraId="56977CF8" w14:textId="77777777" w:rsidTr="001D22D3">
        <w:trPr>
          <w:jc w:val="center"/>
        </w:trPr>
        <w:tc>
          <w:tcPr>
            <w:tcW w:w="4531" w:type="dxa"/>
            <w:hideMark/>
          </w:tcPr>
          <w:p w14:paraId="5C767B07" w14:textId="77777777" w:rsidR="00527CBC" w:rsidRDefault="00527CBC" w:rsidP="001D22D3">
            <w:pPr>
              <w:pStyle w:val="ATSNormal"/>
              <w:jc w:val="center"/>
              <w:rPr>
                <w:i/>
                <w:szCs w:val="21"/>
              </w:rPr>
            </w:pPr>
            <w:r>
              <w:rPr>
                <w:i/>
                <w:szCs w:val="21"/>
              </w:rPr>
              <w:t>Current management plan:</w:t>
            </w:r>
          </w:p>
        </w:tc>
        <w:tc>
          <w:tcPr>
            <w:tcW w:w="4771" w:type="dxa"/>
            <w:hideMark/>
          </w:tcPr>
          <w:p w14:paraId="485A9874" w14:textId="77777777" w:rsidR="00527CBC" w:rsidRPr="00A904A6" w:rsidRDefault="00527CBC" w:rsidP="001D22D3">
            <w:pPr>
              <w:pStyle w:val="ATSNormal"/>
              <w:rPr>
                <w:snapToGrid w:val="0"/>
                <w:szCs w:val="21"/>
              </w:rPr>
            </w:pPr>
            <w:r w:rsidRPr="00A904A6">
              <w:t>Measure 8 (2016)</w:t>
            </w:r>
          </w:p>
        </w:tc>
      </w:tr>
      <w:tr w:rsidR="00527CBC" w14:paraId="41652FD6" w14:textId="77777777" w:rsidTr="001D22D3">
        <w:trPr>
          <w:jc w:val="center"/>
        </w:trPr>
        <w:tc>
          <w:tcPr>
            <w:tcW w:w="4531" w:type="dxa"/>
            <w:hideMark/>
          </w:tcPr>
          <w:p w14:paraId="0CA22657" w14:textId="77777777" w:rsidR="00527CBC" w:rsidRDefault="00527CBC" w:rsidP="001D22D3">
            <w:pPr>
              <w:pStyle w:val="ATSNormal"/>
              <w:jc w:val="center"/>
              <w:rPr>
                <w:i/>
                <w:szCs w:val="21"/>
              </w:rPr>
            </w:pPr>
            <w:r>
              <w:rPr>
                <w:i/>
                <w:szCs w:val="21"/>
              </w:rPr>
              <w:t>Any extensions of expiry dates of management plan:</w:t>
            </w:r>
          </w:p>
        </w:tc>
        <w:tc>
          <w:tcPr>
            <w:tcW w:w="4771" w:type="dxa"/>
            <w:hideMark/>
          </w:tcPr>
          <w:p w14:paraId="43A58ED4" w14:textId="77777777" w:rsidR="00527CBC" w:rsidRDefault="00527CBC" w:rsidP="001D22D3">
            <w:pPr>
              <w:pStyle w:val="ATSNormal"/>
              <w:rPr>
                <w:snapToGrid w:val="0"/>
                <w:szCs w:val="21"/>
                <w:highlight w:val="yellow"/>
              </w:rPr>
            </w:pPr>
            <w:r>
              <w:rPr>
                <w:snapToGrid w:val="0"/>
                <w:szCs w:val="21"/>
              </w:rPr>
              <w:t>N/A</w:t>
            </w:r>
          </w:p>
        </w:tc>
      </w:tr>
      <w:tr w:rsidR="00527CBC" w14:paraId="25FA5E4B" w14:textId="77777777" w:rsidTr="001D22D3">
        <w:trPr>
          <w:jc w:val="center"/>
        </w:trPr>
        <w:tc>
          <w:tcPr>
            <w:tcW w:w="4531" w:type="dxa"/>
            <w:hideMark/>
          </w:tcPr>
          <w:p w14:paraId="61E8EFE5" w14:textId="77777777" w:rsidR="00527CBC" w:rsidRDefault="00527CBC" w:rsidP="001D22D3">
            <w:pPr>
              <w:pStyle w:val="ATSNormal"/>
              <w:jc w:val="center"/>
              <w:rPr>
                <w:i/>
                <w:szCs w:val="21"/>
              </w:rPr>
            </w:pPr>
            <w:r>
              <w:rPr>
                <w:i/>
                <w:szCs w:val="21"/>
              </w:rPr>
              <w:t>Renamed and renumbered by Decision 1 (2002) as:</w:t>
            </w:r>
          </w:p>
        </w:tc>
        <w:tc>
          <w:tcPr>
            <w:tcW w:w="4771" w:type="dxa"/>
            <w:hideMark/>
          </w:tcPr>
          <w:p w14:paraId="40480526" w14:textId="77777777" w:rsidR="00527CBC" w:rsidRDefault="00527CBC" w:rsidP="001D22D3">
            <w:pPr>
              <w:pStyle w:val="ATSNormal"/>
            </w:pPr>
            <w:r>
              <w:t>N/A</w:t>
            </w:r>
          </w:p>
        </w:tc>
      </w:tr>
      <w:tr w:rsidR="00527CBC" w14:paraId="0CFFD749" w14:textId="77777777" w:rsidTr="001D22D3">
        <w:trPr>
          <w:jc w:val="center"/>
        </w:trPr>
        <w:tc>
          <w:tcPr>
            <w:tcW w:w="4531" w:type="dxa"/>
            <w:hideMark/>
          </w:tcPr>
          <w:p w14:paraId="110034C5" w14:textId="77777777" w:rsidR="00527CBC" w:rsidRDefault="00527CBC" w:rsidP="001D22D3">
            <w:pPr>
              <w:pStyle w:val="ATSNormal"/>
              <w:jc w:val="center"/>
              <w:rPr>
                <w:i/>
                <w:szCs w:val="21"/>
              </w:rPr>
            </w:pPr>
            <w:r>
              <w:rPr>
                <w:i/>
                <w:szCs w:val="21"/>
              </w:rPr>
              <w:t>Other relevant measures:</w:t>
            </w:r>
          </w:p>
        </w:tc>
        <w:tc>
          <w:tcPr>
            <w:tcW w:w="4771" w:type="dxa"/>
            <w:hideMark/>
          </w:tcPr>
          <w:p w14:paraId="4FF53505" w14:textId="77777777" w:rsidR="00527CBC" w:rsidRDefault="00527CBC" w:rsidP="001D22D3">
            <w:pPr>
              <w:pStyle w:val="ATSNormal"/>
              <w:rPr>
                <w:snapToGrid w:val="0"/>
                <w:szCs w:val="21"/>
                <w:highlight w:val="yellow"/>
              </w:rPr>
            </w:pPr>
            <w:r>
              <w:rPr>
                <w:snapToGrid w:val="0"/>
                <w:szCs w:val="21"/>
              </w:rPr>
              <w:t>N/A</w:t>
            </w:r>
          </w:p>
        </w:tc>
      </w:tr>
      <w:tr w:rsidR="00527CBC" w14:paraId="781CA5B2" w14:textId="77777777" w:rsidTr="001D22D3">
        <w:trPr>
          <w:cantSplit/>
          <w:jc w:val="center"/>
        </w:trPr>
        <w:tc>
          <w:tcPr>
            <w:tcW w:w="9302" w:type="dxa"/>
            <w:gridSpan w:val="2"/>
            <w:hideMark/>
          </w:tcPr>
          <w:p w14:paraId="4DF2D686" w14:textId="77777777" w:rsidR="00527CBC" w:rsidRDefault="00527CBC" w:rsidP="001D22D3">
            <w:pPr>
              <w:pStyle w:val="ATSNormal"/>
              <w:rPr>
                <w:b/>
                <w:snapToGrid w:val="0"/>
                <w:szCs w:val="21"/>
              </w:rPr>
            </w:pPr>
            <w:r>
              <w:rPr>
                <w:b/>
                <w:snapToGrid w:val="0"/>
                <w:szCs w:val="21"/>
              </w:rPr>
              <w:t>4. If the proposal contains a revision of an existing management plan, please indicate the types of amendment:</w:t>
            </w:r>
          </w:p>
        </w:tc>
      </w:tr>
      <w:tr w:rsidR="00527CBC" w14:paraId="5705DFB1" w14:textId="77777777" w:rsidTr="001D22D3">
        <w:trPr>
          <w:jc w:val="center"/>
        </w:trPr>
        <w:tc>
          <w:tcPr>
            <w:tcW w:w="4531" w:type="dxa"/>
            <w:hideMark/>
          </w:tcPr>
          <w:p w14:paraId="7E0DA7C1" w14:textId="77777777" w:rsidR="00527CBC" w:rsidRDefault="00527CBC" w:rsidP="001D22D3">
            <w:pPr>
              <w:pStyle w:val="ATSNormal"/>
              <w:jc w:val="center"/>
              <w:rPr>
                <w:i/>
                <w:szCs w:val="21"/>
              </w:rPr>
            </w:pPr>
            <w:r>
              <w:rPr>
                <w:i/>
                <w:szCs w:val="21"/>
              </w:rPr>
              <w:t>(i) major or minor?</w:t>
            </w:r>
          </w:p>
        </w:tc>
        <w:tc>
          <w:tcPr>
            <w:tcW w:w="4771" w:type="dxa"/>
            <w:hideMark/>
          </w:tcPr>
          <w:p w14:paraId="6CE98E52" w14:textId="77777777" w:rsidR="00527CBC" w:rsidRDefault="00527CBC" w:rsidP="001D22D3">
            <w:pPr>
              <w:pStyle w:val="ATSNormal"/>
              <w:rPr>
                <w:snapToGrid w:val="0"/>
                <w:szCs w:val="21"/>
              </w:rPr>
            </w:pPr>
            <w:r>
              <w:rPr>
                <w:snapToGrid w:val="0"/>
                <w:szCs w:val="21"/>
              </w:rPr>
              <w:t>Minor.</w:t>
            </w:r>
          </w:p>
        </w:tc>
      </w:tr>
      <w:tr w:rsidR="00527CBC" w14:paraId="07B834A5" w14:textId="77777777" w:rsidTr="001D22D3">
        <w:trPr>
          <w:jc w:val="center"/>
        </w:trPr>
        <w:tc>
          <w:tcPr>
            <w:tcW w:w="4531" w:type="dxa"/>
            <w:hideMark/>
          </w:tcPr>
          <w:p w14:paraId="1763658A" w14:textId="77777777" w:rsidR="00527CBC" w:rsidRDefault="00527CBC" w:rsidP="001D22D3">
            <w:pPr>
              <w:pStyle w:val="ATSNormal"/>
              <w:jc w:val="center"/>
              <w:rPr>
                <w:i/>
                <w:szCs w:val="21"/>
              </w:rPr>
            </w:pPr>
            <w:r>
              <w:rPr>
                <w:i/>
                <w:szCs w:val="21"/>
              </w:rPr>
              <w:t>(ii) any changes to the boundaries or co-ordinates?</w:t>
            </w:r>
          </w:p>
        </w:tc>
        <w:tc>
          <w:tcPr>
            <w:tcW w:w="4771" w:type="dxa"/>
            <w:hideMark/>
          </w:tcPr>
          <w:p w14:paraId="5B3B299C" w14:textId="77777777" w:rsidR="00527CBC" w:rsidRDefault="00527CBC" w:rsidP="001D22D3">
            <w:pPr>
              <w:pStyle w:val="ATSNormal"/>
              <w:rPr>
                <w:snapToGrid w:val="0"/>
                <w:szCs w:val="21"/>
              </w:rPr>
            </w:pPr>
            <w:r>
              <w:rPr>
                <w:snapToGrid w:val="0"/>
                <w:szCs w:val="21"/>
              </w:rPr>
              <w:t>No.</w:t>
            </w:r>
          </w:p>
        </w:tc>
      </w:tr>
      <w:tr w:rsidR="00527CBC" w14:paraId="146D8A58" w14:textId="77777777" w:rsidTr="001D22D3">
        <w:trPr>
          <w:jc w:val="center"/>
        </w:trPr>
        <w:tc>
          <w:tcPr>
            <w:tcW w:w="4531" w:type="dxa"/>
            <w:hideMark/>
          </w:tcPr>
          <w:p w14:paraId="40C851CB" w14:textId="77777777" w:rsidR="00527CBC" w:rsidRDefault="00527CBC" w:rsidP="001D22D3">
            <w:pPr>
              <w:pStyle w:val="ATSNormal"/>
              <w:jc w:val="center"/>
              <w:rPr>
                <w:i/>
                <w:szCs w:val="21"/>
              </w:rPr>
            </w:pPr>
            <w:r>
              <w:rPr>
                <w:i/>
                <w:szCs w:val="21"/>
              </w:rPr>
              <w:t>(iii) any changes to the maps? If yes, are the changes in the captions only or also in the graphics?</w:t>
            </w:r>
          </w:p>
        </w:tc>
        <w:tc>
          <w:tcPr>
            <w:tcW w:w="4771" w:type="dxa"/>
            <w:hideMark/>
          </w:tcPr>
          <w:p w14:paraId="5FF6A6E5" w14:textId="77777777" w:rsidR="00527CBC" w:rsidRDefault="00527CBC" w:rsidP="001D22D3">
            <w:pPr>
              <w:pStyle w:val="ATSNormal"/>
              <w:rPr>
                <w:szCs w:val="21"/>
              </w:rPr>
            </w:pPr>
            <w:r w:rsidRPr="00965AB4">
              <w:rPr>
                <w:szCs w:val="21"/>
              </w:rPr>
              <w:t xml:space="preserve">Yes. Minor changes to </w:t>
            </w:r>
            <w:r>
              <w:rPr>
                <w:szCs w:val="21"/>
              </w:rPr>
              <w:t>Map B to include location of Cape Petrel</w:t>
            </w:r>
            <w:r w:rsidRPr="00965AB4">
              <w:rPr>
                <w:szCs w:val="21"/>
              </w:rPr>
              <w:t>.</w:t>
            </w:r>
          </w:p>
        </w:tc>
      </w:tr>
      <w:tr w:rsidR="00527CBC" w14:paraId="5E533798" w14:textId="77777777" w:rsidTr="001D22D3">
        <w:trPr>
          <w:jc w:val="center"/>
        </w:trPr>
        <w:tc>
          <w:tcPr>
            <w:tcW w:w="4531" w:type="dxa"/>
            <w:hideMark/>
          </w:tcPr>
          <w:p w14:paraId="4960FBB4" w14:textId="77777777" w:rsidR="00527CBC" w:rsidRDefault="00527CBC" w:rsidP="001D22D3">
            <w:pPr>
              <w:pStyle w:val="ATSNormal"/>
              <w:jc w:val="center"/>
              <w:rPr>
                <w:i/>
                <w:szCs w:val="21"/>
              </w:rPr>
            </w:pPr>
            <w:r>
              <w:rPr>
                <w:i/>
                <w:szCs w:val="21"/>
              </w:rPr>
              <w:t>(iv) any change to the description of the area that is relevant to identifying its location or its boundaries?</w:t>
            </w:r>
          </w:p>
        </w:tc>
        <w:tc>
          <w:tcPr>
            <w:tcW w:w="4771" w:type="dxa"/>
            <w:hideMark/>
          </w:tcPr>
          <w:p w14:paraId="28A508E6" w14:textId="77777777" w:rsidR="00527CBC" w:rsidRDefault="00527CBC" w:rsidP="001D22D3">
            <w:pPr>
              <w:pStyle w:val="ATSNormal"/>
              <w:rPr>
                <w:snapToGrid w:val="0"/>
                <w:szCs w:val="21"/>
              </w:rPr>
            </w:pPr>
            <w:r>
              <w:rPr>
                <w:snapToGrid w:val="0"/>
                <w:szCs w:val="21"/>
              </w:rPr>
              <w:t xml:space="preserve">No.  </w:t>
            </w:r>
          </w:p>
        </w:tc>
      </w:tr>
      <w:tr w:rsidR="00527CBC" w14:paraId="6DBBBDB4" w14:textId="77777777" w:rsidTr="001D22D3">
        <w:trPr>
          <w:jc w:val="center"/>
        </w:trPr>
        <w:tc>
          <w:tcPr>
            <w:tcW w:w="4531" w:type="dxa"/>
            <w:hideMark/>
          </w:tcPr>
          <w:p w14:paraId="3988AC78" w14:textId="77777777" w:rsidR="00527CBC" w:rsidRDefault="00527CBC" w:rsidP="001D22D3">
            <w:pPr>
              <w:pStyle w:val="ATSNormal"/>
              <w:jc w:val="center"/>
              <w:rPr>
                <w:i/>
                <w:szCs w:val="21"/>
              </w:rPr>
            </w:pPr>
            <w:r>
              <w:rPr>
                <w:i/>
                <w:szCs w:val="21"/>
              </w:rPr>
              <w:t>(v) any changes that affect any other ASPA, ASMA or HSM within this area or adjacent to it? In particular, please explain any merger with, incorporation of or abolition of any existing area or site.</w:t>
            </w:r>
          </w:p>
        </w:tc>
        <w:tc>
          <w:tcPr>
            <w:tcW w:w="4771" w:type="dxa"/>
            <w:hideMark/>
          </w:tcPr>
          <w:p w14:paraId="4B4D40CC" w14:textId="77777777" w:rsidR="00527CBC" w:rsidRDefault="00527CBC" w:rsidP="001D22D3">
            <w:pPr>
              <w:pStyle w:val="ATSNormal"/>
              <w:rPr>
                <w:snapToGrid w:val="0"/>
                <w:szCs w:val="21"/>
              </w:rPr>
            </w:pPr>
            <w:r>
              <w:rPr>
                <w:snapToGrid w:val="0"/>
                <w:szCs w:val="21"/>
              </w:rPr>
              <w:t>No.</w:t>
            </w:r>
          </w:p>
        </w:tc>
      </w:tr>
      <w:tr w:rsidR="00527CBC" w14:paraId="133B2276" w14:textId="77777777" w:rsidTr="001D22D3">
        <w:trPr>
          <w:jc w:val="center"/>
        </w:trPr>
        <w:tc>
          <w:tcPr>
            <w:tcW w:w="4531" w:type="dxa"/>
            <w:hideMark/>
          </w:tcPr>
          <w:p w14:paraId="56699C4C" w14:textId="77777777" w:rsidR="00527CBC" w:rsidRDefault="00527CBC" w:rsidP="001D22D3">
            <w:pPr>
              <w:pStyle w:val="ATSNormal"/>
              <w:jc w:val="center"/>
              <w:rPr>
                <w:i/>
                <w:szCs w:val="21"/>
              </w:rPr>
            </w:pPr>
            <w:r>
              <w:rPr>
                <w:i/>
                <w:szCs w:val="21"/>
              </w:rPr>
              <w:t>(vi) Other - brief summary of other types of changes, indicating the paragraphs of the management plan in which these are located.</w:t>
            </w:r>
          </w:p>
        </w:tc>
        <w:tc>
          <w:tcPr>
            <w:tcW w:w="4771" w:type="dxa"/>
            <w:hideMark/>
          </w:tcPr>
          <w:p w14:paraId="2C9DFDD5" w14:textId="77777777" w:rsidR="00527CBC" w:rsidRPr="00785B77" w:rsidRDefault="00527CBC" w:rsidP="00527CBC">
            <w:pPr>
              <w:pStyle w:val="ATSBullet1"/>
              <w:numPr>
                <w:ilvl w:val="0"/>
                <w:numId w:val="11"/>
              </w:numPr>
            </w:pPr>
            <w:r w:rsidRPr="00785B77">
              <w:t>Section 2 revised</w:t>
            </w:r>
            <w:r>
              <w:t xml:space="preserve"> for consistency with other management plans, </w:t>
            </w:r>
            <w:r w:rsidRPr="00785B77">
              <w:t xml:space="preserve">to </w:t>
            </w:r>
            <w:r>
              <w:t xml:space="preserve">reflect that management of the Area aims to allow </w:t>
            </w:r>
            <w:r w:rsidRPr="00785B77">
              <w:t>visits for management purposes in support of the aims of the management plan</w:t>
            </w:r>
            <w:r>
              <w:t xml:space="preserve"> and to protect the values of the Area as a reference area for future comparative studies with other breeding populations of southern giant petrels</w:t>
            </w:r>
            <w:r w:rsidRPr="00785B77">
              <w:t xml:space="preserve">.  </w:t>
            </w:r>
          </w:p>
          <w:p w14:paraId="441F8F46" w14:textId="77777777" w:rsidR="00527CBC" w:rsidRPr="00785B77" w:rsidRDefault="00527CBC" w:rsidP="00527CBC">
            <w:pPr>
              <w:pStyle w:val="ATSBullet1"/>
              <w:numPr>
                <w:ilvl w:val="0"/>
                <w:numId w:val="11"/>
              </w:numPr>
            </w:pPr>
            <w:r w:rsidRPr="00785B77">
              <w:lastRenderedPageBreak/>
              <w:t>Section 6(i) revised to:</w:t>
            </w:r>
          </w:p>
          <w:p w14:paraId="09C8416E" w14:textId="77777777" w:rsidR="00527CBC" w:rsidRPr="00924361" w:rsidRDefault="00527CBC" w:rsidP="00527CBC">
            <w:pPr>
              <w:pStyle w:val="Prrafodelista"/>
              <w:numPr>
                <w:ilvl w:val="1"/>
                <w:numId w:val="11"/>
              </w:numPr>
              <w:rPr>
                <w:lang w:eastAsia="en-GB"/>
              </w:rPr>
            </w:pPr>
            <w:r>
              <w:rPr>
                <w:lang w:eastAsia="en-GB"/>
              </w:rPr>
              <w:t>N</w:t>
            </w:r>
            <w:r w:rsidRPr="00924361">
              <w:rPr>
                <w:lang w:eastAsia="en-GB"/>
              </w:rPr>
              <w:t xml:space="preserve">ote that the Area is </w:t>
            </w:r>
            <w:r w:rsidRPr="00F02EB7">
              <w:t xml:space="preserve">located in </w:t>
            </w:r>
            <w:r>
              <w:t xml:space="preserve">Antarctic Conservation </w:t>
            </w:r>
            <w:r w:rsidRPr="00F02EB7">
              <w:t>Biogeographic Region 7 East Antarctica</w:t>
            </w:r>
            <w:r>
              <w:t>, and is</w:t>
            </w:r>
            <w:r w:rsidRPr="00924361">
              <w:rPr>
                <w:lang w:eastAsia="en-GB"/>
              </w:rPr>
              <w:t xml:space="preserve"> </w:t>
            </w:r>
            <w:r>
              <w:rPr>
                <w:lang w:eastAsia="en-GB"/>
              </w:rPr>
              <w:t xml:space="preserve">not </w:t>
            </w:r>
            <w:r w:rsidRPr="00924361">
              <w:rPr>
                <w:lang w:eastAsia="en-GB"/>
              </w:rPr>
              <w:t xml:space="preserve">identified as </w:t>
            </w:r>
            <w:r>
              <w:rPr>
                <w:lang w:eastAsia="en-GB"/>
              </w:rPr>
              <w:t xml:space="preserve">an </w:t>
            </w:r>
            <w:r w:rsidRPr="00924361">
              <w:rPr>
                <w:lang w:eastAsia="en-GB"/>
              </w:rPr>
              <w:t xml:space="preserve">Antarctic Important Bird Area. </w:t>
            </w:r>
          </w:p>
          <w:p w14:paraId="6282D9FF" w14:textId="77777777" w:rsidR="00527CBC" w:rsidRDefault="00527CBC" w:rsidP="00527CBC">
            <w:pPr>
              <w:pStyle w:val="ATSBullet1"/>
              <w:numPr>
                <w:ilvl w:val="1"/>
                <w:numId w:val="11"/>
              </w:numPr>
            </w:pPr>
            <w:r w:rsidRPr="00785B77">
              <w:t xml:space="preserve">Include updated counts for </w:t>
            </w:r>
            <w:r>
              <w:t>southern giant petrel</w:t>
            </w:r>
            <w:r w:rsidRPr="00785B77">
              <w:t xml:space="preserve"> chicks (2020).</w:t>
            </w:r>
          </w:p>
          <w:p w14:paraId="50F1FEF3" w14:textId="77777777" w:rsidR="00527CBC" w:rsidRDefault="00527CBC" w:rsidP="00527CBC">
            <w:pPr>
              <w:pStyle w:val="ATSBullet1"/>
              <w:numPr>
                <w:ilvl w:val="1"/>
                <w:numId w:val="11"/>
              </w:numPr>
            </w:pPr>
            <w:r w:rsidRPr="00785B77">
              <w:t xml:space="preserve">Update </w:t>
            </w:r>
            <w:r>
              <w:t xml:space="preserve">the </w:t>
            </w:r>
            <w:r w:rsidRPr="00785B77">
              <w:t xml:space="preserve">number of offshore islands where Adelie penguins breed.   </w:t>
            </w:r>
          </w:p>
          <w:p w14:paraId="6ECE9F05" w14:textId="77777777" w:rsidR="00527CBC" w:rsidRPr="00785B77" w:rsidRDefault="00527CBC" w:rsidP="00527CBC">
            <w:pPr>
              <w:pStyle w:val="ATSBullet1"/>
              <w:numPr>
                <w:ilvl w:val="1"/>
                <w:numId w:val="11"/>
              </w:numPr>
            </w:pPr>
            <w:r w:rsidRPr="00785B77">
              <w:t>Update the number of Adelie penguin pairs that breed in the Vestfold Hills (2009/10).</w:t>
            </w:r>
          </w:p>
          <w:p w14:paraId="07B76E7E" w14:textId="77777777" w:rsidR="00527CBC" w:rsidRPr="00785B77" w:rsidRDefault="00527CBC" w:rsidP="00527CBC">
            <w:pPr>
              <w:pStyle w:val="ATSBullet1"/>
              <w:numPr>
                <w:ilvl w:val="1"/>
                <w:numId w:val="11"/>
              </w:numPr>
            </w:pPr>
            <w:r w:rsidRPr="00785B77">
              <w:t>Remov</w:t>
            </w:r>
            <w:r>
              <w:t>e</w:t>
            </w:r>
            <w:r w:rsidRPr="00785B77">
              <w:t xml:space="preserve"> a sentence that did not have any management implications.  </w:t>
            </w:r>
          </w:p>
          <w:p w14:paraId="23168C00" w14:textId="77777777" w:rsidR="00527CBC" w:rsidRPr="00785B77" w:rsidRDefault="00527CBC" w:rsidP="00527CBC">
            <w:pPr>
              <w:pStyle w:val="ATSBullet1"/>
              <w:numPr>
                <w:ilvl w:val="1"/>
                <w:numId w:val="11"/>
              </w:numPr>
            </w:pPr>
            <w:r w:rsidRPr="00785B77">
              <w:t>Inclu</w:t>
            </w:r>
            <w:r>
              <w:t>de</w:t>
            </w:r>
            <w:r w:rsidRPr="00785B77">
              <w:t xml:space="preserve"> the number of Cape petrel pairs (2017/18). </w:t>
            </w:r>
          </w:p>
          <w:p w14:paraId="3305A6A1" w14:textId="77777777" w:rsidR="00527CBC" w:rsidRPr="00785B77" w:rsidRDefault="00527CBC" w:rsidP="00527CBC">
            <w:pPr>
              <w:pStyle w:val="ATSBullet1"/>
              <w:numPr>
                <w:ilvl w:val="1"/>
                <w:numId w:val="11"/>
              </w:numPr>
            </w:pPr>
            <w:r>
              <w:t>N</w:t>
            </w:r>
            <w:r w:rsidRPr="00785B77">
              <w:t>ot</w:t>
            </w:r>
            <w:r>
              <w:t>e</w:t>
            </w:r>
            <w:r w:rsidRPr="00785B77">
              <w:t xml:space="preserve"> that South polar skuas may breed near the penguin colony. </w:t>
            </w:r>
          </w:p>
          <w:p w14:paraId="7AD64507" w14:textId="77777777" w:rsidR="00527CBC" w:rsidRPr="00785B77" w:rsidRDefault="00527CBC" w:rsidP="00527CBC">
            <w:pPr>
              <w:pStyle w:val="ATSBullet1"/>
              <w:numPr>
                <w:ilvl w:val="1"/>
                <w:numId w:val="11"/>
              </w:numPr>
            </w:pPr>
            <w:r>
              <w:t xml:space="preserve">Mention </w:t>
            </w:r>
            <w:r w:rsidRPr="00785B77">
              <w:t xml:space="preserve">additional southern elephant seal haul out locations in the Vestfold Hills.   </w:t>
            </w:r>
          </w:p>
          <w:p w14:paraId="092315E2" w14:textId="77777777" w:rsidR="00527CBC" w:rsidRPr="00785B77" w:rsidRDefault="00527CBC" w:rsidP="00527CBC">
            <w:pPr>
              <w:pStyle w:val="ATSBullet1"/>
              <w:numPr>
                <w:ilvl w:val="0"/>
                <w:numId w:val="11"/>
              </w:numPr>
            </w:pPr>
            <w:r w:rsidRPr="00785B77">
              <w:t xml:space="preserve">Section 6(ii) </w:t>
            </w:r>
            <w:r>
              <w:t>has been</w:t>
            </w:r>
            <w:r w:rsidRPr="00785B77">
              <w:t xml:space="preserve"> revised to include additional information on preferred landing sites for boats accessing the Area. </w:t>
            </w:r>
          </w:p>
          <w:p w14:paraId="220B27CA" w14:textId="77777777" w:rsidR="00527CBC" w:rsidRDefault="00527CBC" w:rsidP="00527CBC">
            <w:pPr>
              <w:pStyle w:val="ATSBullet1"/>
              <w:numPr>
                <w:ilvl w:val="0"/>
                <w:numId w:val="11"/>
              </w:numPr>
            </w:pPr>
            <w:r>
              <w:t xml:space="preserve">Section 7(ii) has been revised to include conditions regarding the use of remotely piloted aircraft systems (RPAS), stating that overflights of bird colonies are prohibited except where essential for compelling scientific or management purposes, noting that such overflights shall be undertaken in accordance with the </w:t>
            </w:r>
            <w:r>
              <w:rPr>
                <w:i/>
              </w:rPr>
              <w:t>Environmental guidelines for operation of Remotely Piloted Aircraft Systems (RPAS) in Antarctica.</w:t>
            </w:r>
          </w:p>
          <w:p w14:paraId="21023C10" w14:textId="77777777" w:rsidR="00527CBC" w:rsidRDefault="00527CBC" w:rsidP="00527CBC">
            <w:pPr>
              <w:pStyle w:val="ATSBullet1"/>
              <w:numPr>
                <w:ilvl w:val="0"/>
                <w:numId w:val="11"/>
              </w:numPr>
            </w:pPr>
            <w:r>
              <w:t xml:space="preserve">Section (iv) has been revised to state that structure installation, modification and removal, should, if possible, be carried out during the non-breeding period for SGP. </w:t>
            </w:r>
          </w:p>
          <w:p w14:paraId="6DC6F6D2" w14:textId="77777777" w:rsidR="00527CBC" w:rsidRDefault="00527CBC" w:rsidP="00527CBC">
            <w:pPr>
              <w:pStyle w:val="ATSBullet1"/>
              <w:numPr>
                <w:ilvl w:val="0"/>
                <w:numId w:val="11"/>
              </w:numPr>
            </w:pPr>
            <w:r>
              <w:t xml:space="preserve">Section 7(vii) has been revised to state that, where feasible, preference should be given to activities and methodologies that minimise disturbance to breeding birds. </w:t>
            </w:r>
          </w:p>
          <w:p w14:paraId="04F7BB4C" w14:textId="77777777" w:rsidR="00527CBC" w:rsidRPr="00965AB4" w:rsidRDefault="00527CBC" w:rsidP="00527CBC">
            <w:pPr>
              <w:pStyle w:val="ATSBullet1"/>
              <w:numPr>
                <w:ilvl w:val="0"/>
                <w:numId w:val="11"/>
              </w:numPr>
            </w:pPr>
            <w:r w:rsidRPr="00965AB4">
              <w:t xml:space="preserve">Section 8 </w:t>
            </w:r>
            <w:r>
              <w:t>has been</w:t>
            </w:r>
            <w:r w:rsidRPr="00965AB4">
              <w:t xml:space="preserve"> revised to update with relevant, recent publications, and minor corrections.  </w:t>
            </w:r>
          </w:p>
          <w:p w14:paraId="2ED90064" w14:textId="77777777" w:rsidR="00527CBC" w:rsidRDefault="00527CBC" w:rsidP="00527CBC">
            <w:pPr>
              <w:pStyle w:val="ATSBullet1"/>
              <w:numPr>
                <w:ilvl w:val="0"/>
                <w:numId w:val="11"/>
              </w:numPr>
            </w:pPr>
            <w:r w:rsidRPr="00965AB4">
              <w:t xml:space="preserve">Map B </w:t>
            </w:r>
            <w:r>
              <w:t xml:space="preserve">has been </w:t>
            </w:r>
            <w:r w:rsidRPr="00965AB4">
              <w:t>revised to include location of small Cape petrel colony.</w:t>
            </w:r>
          </w:p>
          <w:p w14:paraId="55F0D57E" w14:textId="77777777" w:rsidR="00527CBC" w:rsidRPr="002B79DC" w:rsidRDefault="00527CBC" w:rsidP="00527CBC">
            <w:pPr>
              <w:pStyle w:val="ATSBullet1"/>
              <w:numPr>
                <w:ilvl w:val="0"/>
                <w:numId w:val="11"/>
              </w:numPr>
            </w:pPr>
            <w:r w:rsidRPr="00965AB4">
              <w:lastRenderedPageBreak/>
              <w:t>Editorial amendments hav</w:t>
            </w:r>
            <w:r>
              <w:t xml:space="preserve">e been made throughout. </w:t>
            </w:r>
            <w:r w:rsidRPr="00965AB4">
              <w:t xml:space="preserve"> </w:t>
            </w:r>
            <w:r>
              <w:t xml:space="preserve"> </w:t>
            </w:r>
          </w:p>
        </w:tc>
      </w:tr>
      <w:tr w:rsidR="00527CBC" w14:paraId="5756E27B" w14:textId="77777777" w:rsidTr="001D22D3">
        <w:trPr>
          <w:jc w:val="center"/>
        </w:trPr>
        <w:tc>
          <w:tcPr>
            <w:tcW w:w="4531" w:type="dxa"/>
            <w:hideMark/>
          </w:tcPr>
          <w:p w14:paraId="5EA5BA9E" w14:textId="77777777" w:rsidR="00527CBC" w:rsidRDefault="00527CBC" w:rsidP="001D22D3">
            <w:pPr>
              <w:pStyle w:val="ATSNormal"/>
              <w:rPr>
                <w:b/>
                <w:snapToGrid w:val="0"/>
                <w:szCs w:val="21"/>
              </w:rPr>
            </w:pPr>
            <w:r>
              <w:rPr>
                <w:b/>
                <w:snapToGrid w:val="0"/>
                <w:szCs w:val="21"/>
              </w:rPr>
              <w:lastRenderedPageBreak/>
              <w:t>5. If a new ASPA or ASMA is proposed, does it contain any marine area?</w:t>
            </w:r>
          </w:p>
        </w:tc>
        <w:tc>
          <w:tcPr>
            <w:tcW w:w="4771" w:type="dxa"/>
            <w:hideMark/>
          </w:tcPr>
          <w:p w14:paraId="16F5309E" w14:textId="77777777" w:rsidR="00527CBC" w:rsidRDefault="00527CBC" w:rsidP="001D22D3">
            <w:pPr>
              <w:pStyle w:val="ATSNormal"/>
              <w:rPr>
                <w:snapToGrid w:val="0"/>
                <w:szCs w:val="21"/>
              </w:rPr>
            </w:pPr>
            <w:r>
              <w:rPr>
                <w:snapToGrid w:val="0"/>
                <w:szCs w:val="21"/>
              </w:rPr>
              <w:t>N/A</w:t>
            </w:r>
          </w:p>
        </w:tc>
      </w:tr>
      <w:tr w:rsidR="00527CBC" w14:paraId="0DBBEFA1" w14:textId="77777777" w:rsidTr="001D22D3">
        <w:trPr>
          <w:jc w:val="center"/>
        </w:trPr>
        <w:tc>
          <w:tcPr>
            <w:tcW w:w="4531" w:type="dxa"/>
            <w:hideMark/>
          </w:tcPr>
          <w:p w14:paraId="3B3B74A8" w14:textId="77777777" w:rsidR="00527CBC" w:rsidRDefault="00527CBC" w:rsidP="001D22D3">
            <w:pPr>
              <w:pStyle w:val="ATSNormal"/>
              <w:rPr>
                <w:b/>
                <w:snapToGrid w:val="0"/>
                <w:szCs w:val="21"/>
              </w:rPr>
            </w:pPr>
            <w:r>
              <w:rPr>
                <w:b/>
                <w:snapToGrid w:val="0"/>
                <w:szCs w:val="21"/>
              </w:rPr>
              <w:t>6. If yes, does the proposal require the prior approval of CCAMLR in accordance with Decision 9 (2005)?</w:t>
            </w:r>
          </w:p>
        </w:tc>
        <w:tc>
          <w:tcPr>
            <w:tcW w:w="4771" w:type="dxa"/>
            <w:hideMark/>
          </w:tcPr>
          <w:p w14:paraId="72F7210D" w14:textId="77777777" w:rsidR="00527CBC" w:rsidRDefault="00527CBC" w:rsidP="001D22D3">
            <w:pPr>
              <w:pStyle w:val="ATSNormal"/>
              <w:rPr>
                <w:snapToGrid w:val="0"/>
                <w:szCs w:val="21"/>
              </w:rPr>
            </w:pPr>
            <w:r>
              <w:rPr>
                <w:snapToGrid w:val="0"/>
                <w:szCs w:val="21"/>
              </w:rPr>
              <w:t>N/A</w:t>
            </w:r>
          </w:p>
        </w:tc>
      </w:tr>
      <w:tr w:rsidR="00527CBC" w14:paraId="2BB63C76" w14:textId="77777777" w:rsidTr="001D22D3">
        <w:trPr>
          <w:jc w:val="center"/>
        </w:trPr>
        <w:tc>
          <w:tcPr>
            <w:tcW w:w="4531" w:type="dxa"/>
            <w:hideMark/>
          </w:tcPr>
          <w:p w14:paraId="7DE4A95C" w14:textId="77777777" w:rsidR="00527CBC" w:rsidRDefault="00527CBC" w:rsidP="001D22D3">
            <w:pPr>
              <w:pStyle w:val="ATSNormal"/>
              <w:rPr>
                <w:b/>
                <w:szCs w:val="21"/>
              </w:rPr>
            </w:pPr>
            <w:r>
              <w:rPr>
                <w:b/>
                <w:szCs w:val="21"/>
              </w:rPr>
              <w:t xml:space="preserve">7. If yes, has the prior approval of CCAMLR been obtained? </w:t>
            </w:r>
          </w:p>
        </w:tc>
        <w:tc>
          <w:tcPr>
            <w:tcW w:w="4771" w:type="dxa"/>
            <w:hideMark/>
          </w:tcPr>
          <w:p w14:paraId="48421F44" w14:textId="77777777" w:rsidR="00527CBC" w:rsidRDefault="00527CBC" w:rsidP="001D22D3">
            <w:pPr>
              <w:pStyle w:val="ATSNormal"/>
              <w:rPr>
                <w:snapToGrid w:val="0"/>
                <w:szCs w:val="21"/>
              </w:rPr>
            </w:pPr>
            <w:r>
              <w:rPr>
                <w:snapToGrid w:val="0"/>
                <w:szCs w:val="21"/>
              </w:rPr>
              <w:t>N/A</w:t>
            </w:r>
          </w:p>
        </w:tc>
      </w:tr>
      <w:tr w:rsidR="00527CBC" w14:paraId="1AEAE916" w14:textId="77777777" w:rsidTr="001D22D3">
        <w:trPr>
          <w:jc w:val="center"/>
        </w:trPr>
        <w:tc>
          <w:tcPr>
            <w:tcW w:w="4531" w:type="dxa"/>
            <w:hideMark/>
          </w:tcPr>
          <w:p w14:paraId="093A3CA8" w14:textId="77777777" w:rsidR="00527CBC" w:rsidRDefault="00527CBC" w:rsidP="001D22D3">
            <w:pPr>
              <w:pStyle w:val="ATSNormal"/>
              <w:rPr>
                <w:b/>
                <w:szCs w:val="21"/>
              </w:rPr>
            </w:pPr>
            <w:r>
              <w:rPr>
                <w:b/>
                <w:szCs w:val="21"/>
              </w:rPr>
              <w:t xml:space="preserve">8. If the proposal relates to an ASPA, what is the primary reason for designation (i.e. which part under Article 3.2 of Annex V)? </w:t>
            </w:r>
          </w:p>
        </w:tc>
        <w:tc>
          <w:tcPr>
            <w:tcW w:w="4771" w:type="dxa"/>
            <w:hideMark/>
          </w:tcPr>
          <w:p w14:paraId="1A35BEF1" w14:textId="77777777" w:rsidR="00527CBC" w:rsidRDefault="00527CBC" w:rsidP="001D22D3">
            <w:pPr>
              <w:pStyle w:val="ATSNormal"/>
              <w:rPr>
                <w:szCs w:val="22"/>
              </w:rPr>
            </w:pPr>
            <w:r>
              <w:rPr>
                <w:szCs w:val="22"/>
              </w:rPr>
              <w:t xml:space="preserve">Article 3.2(c) – </w:t>
            </w:r>
            <w:r w:rsidRPr="00B574B2">
              <w:rPr>
                <w:szCs w:val="22"/>
              </w:rPr>
              <w:t>areas with important or unusual assemblages of species, including major</w:t>
            </w:r>
            <w:r>
              <w:rPr>
                <w:szCs w:val="22"/>
              </w:rPr>
              <w:t xml:space="preserve"> </w:t>
            </w:r>
            <w:r w:rsidRPr="00B574B2">
              <w:rPr>
                <w:szCs w:val="22"/>
              </w:rPr>
              <w:t>colonies of breeding native birds or mammals</w:t>
            </w:r>
            <w:r>
              <w:rPr>
                <w:szCs w:val="22"/>
              </w:rPr>
              <w:t>.</w:t>
            </w:r>
          </w:p>
        </w:tc>
      </w:tr>
      <w:tr w:rsidR="00527CBC" w14:paraId="7E5D679A" w14:textId="77777777" w:rsidTr="001D22D3">
        <w:trPr>
          <w:jc w:val="center"/>
        </w:trPr>
        <w:tc>
          <w:tcPr>
            <w:tcW w:w="4531" w:type="dxa"/>
            <w:hideMark/>
          </w:tcPr>
          <w:p w14:paraId="40FCBA0C" w14:textId="77777777" w:rsidR="00527CBC" w:rsidRDefault="00527CBC" w:rsidP="001D22D3">
            <w:pPr>
              <w:pStyle w:val="Default"/>
              <w:rPr>
                <w:b/>
                <w:color w:val="auto"/>
                <w:sz w:val="22"/>
                <w:szCs w:val="21"/>
                <w:lang w:val="en-GB" w:eastAsia="en-GB"/>
              </w:rPr>
            </w:pPr>
            <w:r>
              <w:rPr>
                <w:b/>
                <w:szCs w:val="21"/>
              </w:rPr>
              <w:t xml:space="preserve">9. </w:t>
            </w:r>
            <w:r>
              <w:rPr>
                <w:b/>
                <w:color w:val="auto"/>
                <w:sz w:val="22"/>
                <w:szCs w:val="21"/>
                <w:lang w:val="en-GB" w:eastAsia="en-GB"/>
              </w:rPr>
              <w:t xml:space="preserve">Have you identified the main Environmental Domain represented by the ASPA/ASMA (refer to the ‘Environmental Domains Analysis for the Antarctic Continent’ appended to Resolution 3 (2008))? </w:t>
            </w:r>
          </w:p>
        </w:tc>
        <w:tc>
          <w:tcPr>
            <w:tcW w:w="4771" w:type="dxa"/>
            <w:hideMark/>
          </w:tcPr>
          <w:p w14:paraId="3A7A3C05" w14:textId="77777777" w:rsidR="00527CBC" w:rsidRDefault="00527CBC" w:rsidP="001D22D3">
            <w:pPr>
              <w:pStyle w:val="Default"/>
              <w:rPr>
                <w:sz w:val="22"/>
                <w:szCs w:val="22"/>
              </w:rPr>
            </w:pPr>
            <w:r w:rsidRPr="001F6641">
              <w:rPr>
                <w:sz w:val="22"/>
                <w:szCs w:val="22"/>
              </w:rPr>
              <w:t xml:space="preserve">Yes. </w:t>
            </w:r>
            <w:r>
              <w:rPr>
                <w:sz w:val="22"/>
                <w:szCs w:val="22"/>
              </w:rPr>
              <w:t xml:space="preserve">Environment </w:t>
            </w:r>
            <w:r w:rsidRPr="001F6641">
              <w:rPr>
                <w:sz w:val="22"/>
                <w:szCs w:val="22"/>
              </w:rPr>
              <w:t>D East Antarctica coastal geologic</w:t>
            </w:r>
            <w:r>
              <w:rPr>
                <w:sz w:val="22"/>
                <w:szCs w:val="22"/>
              </w:rPr>
              <w:t>.</w:t>
            </w:r>
          </w:p>
        </w:tc>
      </w:tr>
      <w:tr w:rsidR="00527CBC" w14:paraId="53D0C472" w14:textId="77777777" w:rsidTr="001D22D3">
        <w:trPr>
          <w:jc w:val="center"/>
        </w:trPr>
        <w:tc>
          <w:tcPr>
            <w:tcW w:w="4531" w:type="dxa"/>
          </w:tcPr>
          <w:p w14:paraId="605C6C57" w14:textId="77777777" w:rsidR="00527CBC" w:rsidRPr="002811E2" w:rsidRDefault="00527CBC" w:rsidP="001D22D3">
            <w:pPr>
              <w:pStyle w:val="Default"/>
              <w:rPr>
                <w:b/>
                <w:sz w:val="22"/>
                <w:szCs w:val="22"/>
              </w:rPr>
            </w:pPr>
            <w:r w:rsidRPr="002811E2">
              <w:rPr>
                <w:b/>
                <w:sz w:val="22"/>
                <w:szCs w:val="22"/>
              </w:rPr>
              <w:t xml:space="preserve">10. If relevant, have you identified the main Antarctic Conservation Biogeographic Region represented by the ASPA/ASMA (refer to the ‘Antarctic Conservation </w:t>
            </w:r>
          </w:p>
          <w:p w14:paraId="54B526F0" w14:textId="77777777" w:rsidR="00527CBC" w:rsidRDefault="00527CBC" w:rsidP="001D22D3">
            <w:pPr>
              <w:pStyle w:val="Default"/>
              <w:rPr>
                <w:b/>
                <w:szCs w:val="21"/>
              </w:rPr>
            </w:pPr>
            <w:r w:rsidRPr="002811E2">
              <w:rPr>
                <w:b/>
                <w:sz w:val="22"/>
                <w:szCs w:val="22"/>
              </w:rPr>
              <w:t>Biogeographic Regions’ appended to Resolution 6 (2012))?</w:t>
            </w:r>
          </w:p>
        </w:tc>
        <w:tc>
          <w:tcPr>
            <w:tcW w:w="4771" w:type="dxa"/>
          </w:tcPr>
          <w:p w14:paraId="44A39D27" w14:textId="77777777" w:rsidR="00527CBC" w:rsidRPr="001F6641" w:rsidRDefault="00527CBC" w:rsidP="001D22D3">
            <w:pPr>
              <w:pStyle w:val="Default"/>
              <w:rPr>
                <w:sz w:val="22"/>
                <w:szCs w:val="22"/>
              </w:rPr>
            </w:pPr>
            <w:r w:rsidRPr="002811E2">
              <w:rPr>
                <w:sz w:val="22"/>
                <w:szCs w:val="22"/>
              </w:rPr>
              <w:t>Yes.</w:t>
            </w:r>
            <w:r>
              <w:rPr>
                <w:sz w:val="22"/>
                <w:szCs w:val="22"/>
              </w:rPr>
              <w:t xml:space="preserve"> ACBR 7</w:t>
            </w:r>
            <w:r w:rsidRPr="002811E2">
              <w:rPr>
                <w:sz w:val="22"/>
                <w:szCs w:val="22"/>
              </w:rPr>
              <w:t xml:space="preserve"> </w:t>
            </w:r>
            <w:r>
              <w:rPr>
                <w:sz w:val="22"/>
                <w:szCs w:val="22"/>
              </w:rPr>
              <w:t>East Antarctica</w:t>
            </w:r>
            <w:r w:rsidRPr="002811E2">
              <w:rPr>
                <w:sz w:val="22"/>
                <w:szCs w:val="22"/>
              </w:rPr>
              <w:t>.</w:t>
            </w:r>
          </w:p>
        </w:tc>
      </w:tr>
      <w:tr w:rsidR="00527CBC" w14:paraId="658FEC30" w14:textId="77777777" w:rsidTr="001D22D3">
        <w:trPr>
          <w:jc w:val="center"/>
        </w:trPr>
        <w:tc>
          <w:tcPr>
            <w:tcW w:w="4531" w:type="dxa"/>
          </w:tcPr>
          <w:p w14:paraId="0B0D3D1B" w14:textId="77777777" w:rsidR="00527CBC" w:rsidRDefault="00527CBC" w:rsidP="001D22D3">
            <w:pPr>
              <w:pStyle w:val="Default"/>
              <w:rPr>
                <w:b/>
                <w:szCs w:val="21"/>
              </w:rPr>
            </w:pPr>
            <w:r w:rsidRPr="002811E2">
              <w:rPr>
                <w:b/>
                <w:sz w:val="22"/>
                <w:szCs w:val="22"/>
              </w:rPr>
              <w:t>11. If relevant, have you identified any Antarctic Important Bird Areas (Resolution 5 (2015)) represented by the ASPA/ASMA (refer to the ‘Important Bird Areas in Antarctica 2015 Summary’ appended to ATCMXXXVIII IP27 and the full report available at: http://www.era.gs/resources/iba/)?</w:t>
            </w:r>
          </w:p>
        </w:tc>
        <w:tc>
          <w:tcPr>
            <w:tcW w:w="4771" w:type="dxa"/>
          </w:tcPr>
          <w:p w14:paraId="15EDF9AC" w14:textId="77777777" w:rsidR="00527CBC" w:rsidRPr="001F6641" w:rsidRDefault="00527CBC" w:rsidP="001D22D3">
            <w:pPr>
              <w:pStyle w:val="Default"/>
              <w:rPr>
                <w:sz w:val="22"/>
                <w:szCs w:val="22"/>
              </w:rPr>
            </w:pPr>
            <w:r>
              <w:rPr>
                <w:sz w:val="22"/>
                <w:szCs w:val="22"/>
              </w:rPr>
              <w:t>n/a</w:t>
            </w:r>
            <w:r w:rsidRPr="002811E2">
              <w:rPr>
                <w:sz w:val="22"/>
                <w:szCs w:val="22"/>
              </w:rPr>
              <w:t>.</w:t>
            </w:r>
          </w:p>
        </w:tc>
      </w:tr>
    </w:tbl>
    <w:p w14:paraId="5D64C9D3" w14:textId="77777777" w:rsidR="00527CBC" w:rsidRDefault="00527CBC" w:rsidP="00527CBC"/>
    <w:p w14:paraId="1BEAA008" w14:textId="77777777" w:rsidR="00527CBC" w:rsidRDefault="00527CBC" w:rsidP="00952E9F"/>
    <w:sectPr w:rsidR="00527CBC" w:rsidSect="00C26F2D">
      <w:headerReference w:type="default" r:id="rId14"/>
      <w:footerReference w:type="default" r:id="rId15"/>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C9BC2" w14:textId="77777777" w:rsidR="00000000" w:rsidRDefault="00527CBC">
      <w:r>
        <w:separator/>
      </w:r>
    </w:p>
  </w:endnote>
  <w:endnote w:type="continuationSeparator" w:id="0">
    <w:p w14:paraId="1100A46A" w14:textId="77777777" w:rsidR="00000000" w:rsidRDefault="0052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4E2F" w14:textId="77777777" w:rsidR="00FA0B9F" w:rsidRDefault="00527CBC" w:rsidP="00CF5C82">
    <w:pPr>
      <w:framePr w:wrap="around" w:vAnchor="text" w:hAnchor="margin" w:xAlign="right" w:y="1"/>
    </w:pPr>
    <w:r>
      <w:fldChar w:fldCharType="begin"/>
    </w:r>
    <w:r>
      <w:instrText xml:space="preserve">PAGE  </w:instrText>
    </w:r>
    <w:r>
      <w:fldChar w:fldCharType="end"/>
    </w:r>
  </w:p>
  <w:p w14:paraId="354E2A0E" w14:textId="77777777" w:rsidR="00FA0B9F" w:rsidRDefault="00527CB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7F34" w14:textId="77777777" w:rsidR="00FA0B9F" w:rsidRDefault="00527CB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F86B48D" w14:textId="4D20C1F3" w:rsidR="00FA0B9F" w:rsidRDefault="00527CBC" w:rsidP="00FA0B9F">
    <w:pPr>
      <w:ind w:right="360"/>
    </w:pPr>
    <w:r>
      <w:t>Attachments: atcm43_att089_e.docx: ASPA167 Revised Management Plan</w:t>
    </w:r>
  </w:p>
  <w:p w14:paraId="7CBD604A" w14:textId="194CFFDF" w:rsidR="00527CBC" w:rsidRDefault="00527CBC" w:rsidP="00FA0B9F">
    <w:pPr>
      <w:ind w:right="360"/>
    </w:pPr>
    <w:r>
      <w:t>Atcm43_at090_e.pdf: ASPA 167 Map A</w:t>
    </w:r>
  </w:p>
  <w:p w14:paraId="3A00BC05" w14:textId="56FD6519" w:rsidR="00527CBC" w:rsidRPr="00527CBC" w:rsidRDefault="00527CBC" w:rsidP="00FA0B9F">
    <w:pPr>
      <w:ind w:right="360"/>
    </w:pPr>
    <w:r w:rsidRPr="00527CBC">
      <w:t>Atcm43_att091_e.pdf: ASPA 167 Map</w:t>
    </w:r>
    <w:r>
      <w:t xml:space="preserve"> 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8E1D0" w14:textId="77777777" w:rsidR="00527CBC" w:rsidRDefault="00527CB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19129" w14:textId="77777777" w:rsidR="00E311C9" w:rsidRDefault="00527CB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AEA8FDC" w14:textId="77777777" w:rsidR="00E311C9" w:rsidRDefault="00527CB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1272D" w14:textId="77777777" w:rsidR="00000000" w:rsidRDefault="00527CBC">
      <w:r>
        <w:separator/>
      </w:r>
    </w:p>
  </w:footnote>
  <w:footnote w:type="continuationSeparator" w:id="0">
    <w:p w14:paraId="751E78A1" w14:textId="77777777" w:rsidR="00000000" w:rsidRDefault="00527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FE172" w14:textId="77777777" w:rsidR="00527CBC" w:rsidRDefault="00527CB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A6037D" w14:paraId="47DD56D5" w14:textId="77777777" w:rsidTr="00490760">
      <w:trPr>
        <w:trHeight w:val="344"/>
        <w:jc w:val="center"/>
      </w:trPr>
      <w:tc>
        <w:tcPr>
          <w:tcW w:w="5495" w:type="dxa"/>
        </w:tcPr>
        <w:p w14:paraId="305E6312" w14:textId="77777777" w:rsidR="00DB7C09" w:rsidRDefault="00527CBC" w:rsidP="00F968D4"/>
      </w:tc>
      <w:tc>
        <w:tcPr>
          <w:tcW w:w="4253" w:type="dxa"/>
          <w:gridSpan w:val="2"/>
        </w:tcPr>
        <w:p w14:paraId="300B8900" w14:textId="77777777" w:rsidR="00DB7C09" w:rsidRPr="00BD47E4" w:rsidRDefault="00527CBC" w:rsidP="002A07BC">
          <w:pPr>
            <w:jc w:val="right"/>
            <w:rPr>
              <w:b/>
              <w:sz w:val="32"/>
              <w:szCs w:val="32"/>
            </w:rPr>
          </w:pPr>
          <w:bookmarkStart w:id="2" w:name="type"/>
          <w:r w:rsidRPr="00BD47E4">
            <w:rPr>
              <w:b/>
              <w:sz w:val="32"/>
              <w:szCs w:val="32"/>
            </w:rPr>
            <w:t>WP</w:t>
          </w:r>
          <w:bookmarkEnd w:id="2"/>
        </w:p>
      </w:tc>
      <w:tc>
        <w:tcPr>
          <w:tcW w:w="1524" w:type="dxa"/>
          <w:gridSpan w:val="2"/>
        </w:tcPr>
        <w:p w14:paraId="45938836" w14:textId="77777777" w:rsidR="00DB7C09" w:rsidRPr="00BD47E4" w:rsidRDefault="00527CBC" w:rsidP="00DB7C09">
          <w:pPr>
            <w:rPr>
              <w:b/>
              <w:sz w:val="32"/>
              <w:szCs w:val="32"/>
            </w:rPr>
          </w:pPr>
          <w:bookmarkStart w:id="3" w:name="number"/>
          <w:r w:rsidRPr="00BD47E4">
            <w:rPr>
              <w:b/>
              <w:sz w:val="32"/>
              <w:szCs w:val="32"/>
            </w:rPr>
            <w:t>30</w:t>
          </w:r>
          <w:bookmarkEnd w:id="3"/>
        </w:p>
      </w:tc>
    </w:tr>
    <w:tr w:rsidR="00A6037D" w14:paraId="6F636BC9" w14:textId="77777777" w:rsidTr="00490760">
      <w:trPr>
        <w:trHeight w:val="2165"/>
        <w:jc w:val="center"/>
      </w:trPr>
      <w:tc>
        <w:tcPr>
          <w:tcW w:w="5495" w:type="dxa"/>
        </w:tcPr>
        <w:p w14:paraId="115913B5" w14:textId="77777777" w:rsidR="00490760" w:rsidRPr="00EE4D48" w:rsidRDefault="00527CBC" w:rsidP="002A07BC">
          <w:pPr>
            <w:rPr>
              <w:b/>
              <w:sz w:val="28"/>
              <w:szCs w:val="28"/>
            </w:rPr>
          </w:pPr>
          <w:r>
            <w:rPr>
              <w:b/>
              <w:noProof/>
              <w:sz w:val="28"/>
              <w:szCs w:val="28"/>
            </w:rPr>
            <w:drawing>
              <wp:inline distT="0" distB="0" distL="0" distR="0" wp14:anchorId="5402AA95" wp14:editId="055705B3">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63557"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2155B091" w14:textId="77777777" w:rsidR="00490760" w:rsidRPr="00FE5146" w:rsidRDefault="00527CBC" w:rsidP="00490760">
          <w:pPr>
            <w:jc w:val="right"/>
            <w:rPr>
              <w:sz w:val="144"/>
              <w:szCs w:val="144"/>
            </w:rPr>
          </w:pPr>
          <w:r w:rsidRPr="00FE5146">
            <w:rPr>
              <w:sz w:val="144"/>
              <w:szCs w:val="144"/>
            </w:rPr>
            <w:t>ENG</w:t>
          </w:r>
        </w:p>
      </w:tc>
    </w:tr>
    <w:tr w:rsidR="00A6037D" w14:paraId="420EFAB2" w14:textId="77777777" w:rsidTr="00BD47E4">
      <w:trPr>
        <w:trHeight w:val="409"/>
        <w:jc w:val="center"/>
      </w:trPr>
      <w:tc>
        <w:tcPr>
          <w:tcW w:w="9039" w:type="dxa"/>
          <w:gridSpan w:val="2"/>
        </w:tcPr>
        <w:p w14:paraId="542AF84D" w14:textId="77777777" w:rsidR="00BD47E4" w:rsidRDefault="00527CBC" w:rsidP="002C30DA">
          <w:pPr>
            <w:jc w:val="right"/>
          </w:pPr>
          <w:r>
            <w:t>Agenda Item:</w:t>
          </w:r>
        </w:p>
      </w:tc>
      <w:tc>
        <w:tcPr>
          <w:tcW w:w="1843" w:type="dxa"/>
          <w:gridSpan w:val="2"/>
        </w:tcPr>
        <w:p w14:paraId="0F848C99" w14:textId="77777777" w:rsidR="00BD47E4" w:rsidRDefault="00527CBC" w:rsidP="002C30DA">
          <w:pPr>
            <w:jc w:val="right"/>
          </w:pPr>
          <w:bookmarkStart w:id="4" w:name="agenda"/>
          <w:r>
            <w:t>CEP 9a</w:t>
          </w:r>
          <w:bookmarkEnd w:id="4"/>
        </w:p>
      </w:tc>
      <w:tc>
        <w:tcPr>
          <w:tcW w:w="390" w:type="dxa"/>
        </w:tcPr>
        <w:p w14:paraId="6B128F43" w14:textId="77777777" w:rsidR="00BD47E4" w:rsidRDefault="00527CBC" w:rsidP="00387A65">
          <w:pPr>
            <w:jc w:val="right"/>
          </w:pPr>
        </w:p>
      </w:tc>
    </w:tr>
    <w:tr w:rsidR="00A6037D" w14:paraId="1CE0925D" w14:textId="77777777" w:rsidTr="00BD47E4">
      <w:trPr>
        <w:trHeight w:val="397"/>
        <w:jc w:val="center"/>
      </w:trPr>
      <w:tc>
        <w:tcPr>
          <w:tcW w:w="9039" w:type="dxa"/>
          <w:gridSpan w:val="2"/>
        </w:tcPr>
        <w:p w14:paraId="53B45428" w14:textId="77777777" w:rsidR="00BD47E4" w:rsidRDefault="00527CBC" w:rsidP="002C30DA">
          <w:pPr>
            <w:jc w:val="right"/>
          </w:pPr>
          <w:r>
            <w:t>Presented by:</w:t>
          </w:r>
        </w:p>
      </w:tc>
      <w:tc>
        <w:tcPr>
          <w:tcW w:w="1843" w:type="dxa"/>
          <w:gridSpan w:val="2"/>
        </w:tcPr>
        <w:p w14:paraId="480D6609" w14:textId="77777777" w:rsidR="00BD47E4" w:rsidRDefault="00527CBC" w:rsidP="002C30DA">
          <w:pPr>
            <w:jc w:val="right"/>
          </w:pPr>
          <w:bookmarkStart w:id="5" w:name="party"/>
          <w:r>
            <w:t>Australia</w:t>
          </w:r>
          <w:bookmarkEnd w:id="5"/>
        </w:p>
      </w:tc>
      <w:tc>
        <w:tcPr>
          <w:tcW w:w="390" w:type="dxa"/>
        </w:tcPr>
        <w:p w14:paraId="45104980" w14:textId="77777777" w:rsidR="00BD47E4" w:rsidRDefault="00527CBC" w:rsidP="00387A65">
          <w:pPr>
            <w:jc w:val="right"/>
          </w:pPr>
        </w:p>
      </w:tc>
    </w:tr>
    <w:tr w:rsidR="00A6037D" w14:paraId="46FE1173" w14:textId="77777777" w:rsidTr="00BD47E4">
      <w:trPr>
        <w:trHeight w:val="409"/>
        <w:jc w:val="center"/>
      </w:trPr>
      <w:tc>
        <w:tcPr>
          <w:tcW w:w="9039" w:type="dxa"/>
          <w:gridSpan w:val="2"/>
        </w:tcPr>
        <w:p w14:paraId="6E5BAB9C" w14:textId="77777777" w:rsidR="00BD47E4" w:rsidRDefault="00527CBC" w:rsidP="002C30DA">
          <w:pPr>
            <w:jc w:val="right"/>
          </w:pPr>
          <w:r>
            <w:t>Original:</w:t>
          </w:r>
        </w:p>
      </w:tc>
      <w:tc>
        <w:tcPr>
          <w:tcW w:w="1843" w:type="dxa"/>
          <w:gridSpan w:val="2"/>
        </w:tcPr>
        <w:p w14:paraId="4DD377DB" w14:textId="77777777" w:rsidR="00BD47E4" w:rsidRDefault="00527CBC" w:rsidP="002C30DA">
          <w:pPr>
            <w:jc w:val="right"/>
          </w:pPr>
          <w:bookmarkStart w:id="6" w:name="language"/>
          <w:r>
            <w:t>English</w:t>
          </w:r>
          <w:bookmarkEnd w:id="6"/>
        </w:p>
      </w:tc>
      <w:tc>
        <w:tcPr>
          <w:tcW w:w="390" w:type="dxa"/>
        </w:tcPr>
        <w:p w14:paraId="44A9F3E2" w14:textId="77777777" w:rsidR="00BD47E4" w:rsidRDefault="00527CBC" w:rsidP="00387A65">
          <w:pPr>
            <w:jc w:val="right"/>
          </w:pPr>
        </w:p>
      </w:tc>
    </w:tr>
    <w:tr w:rsidR="00A6037D" w14:paraId="1B143499" w14:textId="77777777" w:rsidTr="00BD47E4">
      <w:trPr>
        <w:trHeight w:val="409"/>
        <w:jc w:val="center"/>
      </w:trPr>
      <w:tc>
        <w:tcPr>
          <w:tcW w:w="9039" w:type="dxa"/>
          <w:gridSpan w:val="2"/>
        </w:tcPr>
        <w:p w14:paraId="1BF03548" w14:textId="77777777" w:rsidR="0097629D" w:rsidRDefault="00527CBC" w:rsidP="002C30DA">
          <w:pPr>
            <w:jc w:val="right"/>
          </w:pPr>
          <w:r>
            <w:t>Submitted:</w:t>
          </w:r>
        </w:p>
      </w:tc>
      <w:tc>
        <w:tcPr>
          <w:tcW w:w="1843" w:type="dxa"/>
          <w:gridSpan w:val="2"/>
        </w:tcPr>
        <w:p w14:paraId="6938D017" w14:textId="77777777" w:rsidR="0097629D" w:rsidRDefault="00527CBC" w:rsidP="0097629D">
          <w:pPr>
            <w:jc w:val="right"/>
          </w:pPr>
          <w:bookmarkStart w:id="7" w:name="date_submission"/>
          <w:r>
            <w:t>29/4/2021</w:t>
          </w:r>
          <w:bookmarkEnd w:id="7"/>
        </w:p>
      </w:tc>
      <w:tc>
        <w:tcPr>
          <w:tcW w:w="390" w:type="dxa"/>
        </w:tcPr>
        <w:p w14:paraId="4393E064" w14:textId="77777777" w:rsidR="0097629D" w:rsidRDefault="00527CBC" w:rsidP="00387A65">
          <w:pPr>
            <w:jc w:val="right"/>
          </w:pPr>
        </w:p>
      </w:tc>
    </w:tr>
  </w:tbl>
  <w:p w14:paraId="71328402" w14:textId="77777777" w:rsidR="00AE5DD0" w:rsidRDefault="00527CB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2341" w14:textId="77777777" w:rsidR="00527CBC" w:rsidRDefault="00527CB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A6037D" w14:paraId="32715CC9" w14:textId="77777777">
      <w:trPr>
        <w:trHeight w:val="354"/>
        <w:jc w:val="center"/>
      </w:trPr>
      <w:tc>
        <w:tcPr>
          <w:tcW w:w="9694" w:type="dxa"/>
        </w:tcPr>
        <w:p w14:paraId="75AB51F7" w14:textId="63F4981D" w:rsidR="00AE5DD0" w:rsidRPr="00BD47E4" w:rsidRDefault="00527CBC" w:rsidP="00C26F2D">
          <w:pPr>
            <w:jc w:val="right"/>
            <w:rPr>
              <w:b/>
              <w:sz w:val="32"/>
              <w:szCs w:val="32"/>
            </w:rPr>
          </w:pPr>
          <w:r>
            <w:rPr>
              <w:b/>
              <w:sz w:val="32"/>
              <w:szCs w:val="32"/>
            </w:rPr>
            <w:t>WP</w:t>
          </w:r>
        </w:p>
      </w:tc>
      <w:tc>
        <w:tcPr>
          <w:tcW w:w="1332" w:type="dxa"/>
        </w:tcPr>
        <w:p w14:paraId="4874586E" w14:textId="7C70E68A" w:rsidR="00AE5DD0" w:rsidRPr="00BD47E4" w:rsidRDefault="00527CBC" w:rsidP="00080F4C">
          <w:pPr>
            <w:rPr>
              <w:b/>
              <w:sz w:val="32"/>
              <w:szCs w:val="32"/>
            </w:rPr>
          </w:pPr>
          <w:r>
            <w:rPr>
              <w:b/>
              <w:sz w:val="32"/>
              <w:szCs w:val="32"/>
            </w:rPr>
            <w:t>30</w:t>
          </w:r>
        </w:p>
      </w:tc>
    </w:tr>
  </w:tbl>
  <w:p w14:paraId="42016948" w14:textId="77777777" w:rsidR="00AE5DD0" w:rsidRDefault="00527C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B6414F2">
      <w:start w:val="1"/>
      <w:numFmt w:val="bullet"/>
      <w:pStyle w:val="ATSBullet1"/>
      <w:lvlText w:val=""/>
      <w:lvlJc w:val="left"/>
      <w:pPr>
        <w:tabs>
          <w:tab w:val="num" w:pos="360"/>
        </w:tabs>
        <w:ind w:left="360" w:hanging="360"/>
      </w:pPr>
      <w:rPr>
        <w:rFonts w:ascii="Symbol" w:hAnsi="Symbol" w:hint="default"/>
        <w:color w:val="auto"/>
      </w:rPr>
    </w:lvl>
    <w:lvl w:ilvl="1" w:tplc="0F94DBD8">
      <w:start w:val="1"/>
      <w:numFmt w:val="bullet"/>
      <w:lvlText w:val="o"/>
      <w:lvlJc w:val="left"/>
      <w:pPr>
        <w:tabs>
          <w:tab w:val="num" w:pos="1440"/>
        </w:tabs>
        <w:ind w:left="1440" w:hanging="360"/>
      </w:pPr>
      <w:rPr>
        <w:rFonts w:ascii="Courier New" w:hAnsi="Courier New" w:cs="Courier New" w:hint="default"/>
      </w:rPr>
    </w:lvl>
    <w:lvl w:ilvl="2" w:tplc="824AE8A4" w:tentative="1">
      <w:start w:val="1"/>
      <w:numFmt w:val="bullet"/>
      <w:lvlText w:val=""/>
      <w:lvlJc w:val="left"/>
      <w:pPr>
        <w:tabs>
          <w:tab w:val="num" w:pos="2160"/>
        </w:tabs>
        <w:ind w:left="2160" w:hanging="360"/>
      </w:pPr>
      <w:rPr>
        <w:rFonts w:ascii="Wingdings" w:hAnsi="Wingdings" w:hint="default"/>
      </w:rPr>
    </w:lvl>
    <w:lvl w:ilvl="3" w:tplc="773A8C92" w:tentative="1">
      <w:start w:val="1"/>
      <w:numFmt w:val="bullet"/>
      <w:lvlText w:val=""/>
      <w:lvlJc w:val="left"/>
      <w:pPr>
        <w:tabs>
          <w:tab w:val="num" w:pos="2880"/>
        </w:tabs>
        <w:ind w:left="2880" w:hanging="360"/>
      </w:pPr>
      <w:rPr>
        <w:rFonts w:ascii="Symbol" w:hAnsi="Symbol" w:hint="default"/>
      </w:rPr>
    </w:lvl>
    <w:lvl w:ilvl="4" w:tplc="5B4E1726" w:tentative="1">
      <w:start w:val="1"/>
      <w:numFmt w:val="bullet"/>
      <w:lvlText w:val="o"/>
      <w:lvlJc w:val="left"/>
      <w:pPr>
        <w:tabs>
          <w:tab w:val="num" w:pos="3600"/>
        </w:tabs>
        <w:ind w:left="3600" w:hanging="360"/>
      </w:pPr>
      <w:rPr>
        <w:rFonts w:ascii="Courier New" w:hAnsi="Courier New" w:cs="Courier New" w:hint="default"/>
      </w:rPr>
    </w:lvl>
    <w:lvl w:ilvl="5" w:tplc="58B0C3F8" w:tentative="1">
      <w:start w:val="1"/>
      <w:numFmt w:val="bullet"/>
      <w:lvlText w:val=""/>
      <w:lvlJc w:val="left"/>
      <w:pPr>
        <w:tabs>
          <w:tab w:val="num" w:pos="4320"/>
        </w:tabs>
        <w:ind w:left="4320" w:hanging="360"/>
      </w:pPr>
      <w:rPr>
        <w:rFonts w:ascii="Wingdings" w:hAnsi="Wingdings" w:hint="default"/>
      </w:rPr>
    </w:lvl>
    <w:lvl w:ilvl="6" w:tplc="933A9AA4" w:tentative="1">
      <w:start w:val="1"/>
      <w:numFmt w:val="bullet"/>
      <w:lvlText w:val=""/>
      <w:lvlJc w:val="left"/>
      <w:pPr>
        <w:tabs>
          <w:tab w:val="num" w:pos="5040"/>
        </w:tabs>
        <w:ind w:left="5040" w:hanging="360"/>
      </w:pPr>
      <w:rPr>
        <w:rFonts w:ascii="Symbol" w:hAnsi="Symbol" w:hint="default"/>
      </w:rPr>
    </w:lvl>
    <w:lvl w:ilvl="7" w:tplc="1EDA1AE6" w:tentative="1">
      <w:start w:val="1"/>
      <w:numFmt w:val="bullet"/>
      <w:lvlText w:val="o"/>
      <w:lvlJc w:val="left"/>
      <w:pPr>
        <w:tabs>
          <w:tab w:val="num" w:pos="5760"/>
        </w:tabs>
        <w:ind w:left="5760" w:hanging="360"/>
      </w:pPr>
      <w:rPr>
        <w:rFonts w:ascii="Courier New" w:hAnsi="Courier New" w:cs="Courier New" w:hint="default"/>
      </w:rPr>
    </w:lvl>
    <w:lvl w:ilvl="8" w:tplc="386858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7C6526E">
      <w:start w:val="1"/>
      <w:numFmt w:val="decimal"/>
      <w:lvlText w:val="%1)"/>
      <w:lvlJc w:val="left"/>
      <w:pPr>
        <w:tabs>
          <w:tab w:val="num" w:pos="340"/>
        </w:tabs>
        <w:ind w:left="340" w:hanging="340"/>
      </w:pPr>
      <w:rPr>
        <w:rFonts w:hint="default"/>
      </w:rPr>
    </w:lvl>
    <w:lvl w:ilvl="1" w:tplc="C8866326" w:tentative="1">
      <w:start w:val="1"/>
      <w:numFmt w:val="lowerLetter"/>
      <w:lvlText w:val="%2."/>
      <w:lvlJc w:val="left"/>
      <w:pPr>
        <w:tabs>
          <w:tab w:val="num" w:pos="1440"/>
        </w:tabs>
        <w:ind w:left="1440" w:hanging="360"/>
      </w:pPr>
    </w:lvl>
    <w:lvl w:ilvl="2" w:tplc="36A85938" w:tentative="1">
      <w:start w:val="1"/>
      <w:numFmt w:val="lowerRoman"/>
      <w:lvlText w:val="%3."/>
      <w:lvlJc w:val="right"/>
      <w:pPr>
        <w:tabs>
          <w:tab w:val="num" w:pos="2160"/>
        </w:tabs>
        <w:ind w:left="2160" w:hanging="180"/>
      </w:pPr>
    </w:lvl>
    <w:lvl w:ilvl="3" w:tplc="0C5C8AB6" w:tentative="1">
      <w:start w:val="1"/>
      <w:numFmt w:val="decimal"/>
      <w:lvlText w:val="%4."/>
      <w:lvlJc w:val="left"/>
      <w:pPr>
        <w:tabs>
          <w:tab w:val="num" w:pos="2880"/>
        </w:tabs>
        <w:ind w:left="2880" w:hanging="360"/>
      </w:pPr>
    </w:lvl>
    <w:lvl w:ilvl="4" w:tplc="12A49F06" w:tentative="1">
      <w:start w:val="1"/>
      <w:numFmt w:val="lowerLetter"/>
      <w:lvlText w:val="%5."/>
      <w:lvlJc w:val="left"/>
      <w:pPr>
        <w:tabs>
          <w:tab w:val="num" w:pos="3600"/>
        </w:tabs>
        <w:ind w:left="3600" w:hanging="360"/>
      </w:pPr>
    </w:lvl>
    <w:lvl w:ilvl="5" w:tplc="19A408F6" w:tentative="1">
      <w:start w:val="1"/>
      <w:numFmt w:val="lowerRoman"/>
      <w:lvlText w:val="%6."/>
      <w:lvlJc w:val="right"/>
      <w:pPr>
        <w:tabs>
          <w:tab w:val="num" w:pos="4320"/>
        </w:tabs>
        <w:ind w:left="4320" w:hanging="180"/>
      </w:pPr>
    </w:lvl>
    <w:lvl w:ilvl="6" w:tplc="3CCE0BA0" w:tentative="1">
      <w:start w:val="1"/>
      <w:numFmt w:val="decimal"/>
      <w:lvlText w:val="%7."/>
      <w:lvlJc w:val="left"/>
      <w:pPr>
        <w:tabs>
          <w:tab w:val="num" w:pos="5040"/>
        </w:tabs>
        <w:ind w:left="5040" w:hanging="360"/>
      </w:pPr>
    </w:lvl>
    <w:lvl w:ilvl="7" w:tplc="449C7476" w:tentative="1">
      <w:start w:val="1"/>
      <w:numFmt w:val="lowerLetter"/>
      <w:lvlText w:val="%8."/>
      <w:lvlJc w:val="left"/>
      <w:pPr>
        <w:tabs>
          <w:tab w:val="num" w:pos="5760"/>
        </w:tabs>
        <w:ind w:left="5760" w:hanging="360"/>
      </w:pPr>
    </w:lvl>
    <w:lvl w:ilvl="8" w:tplc="2F6485A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0C2C3AF0">
      <w:start w:val="1"/>
      <w:numFmt w:val="decimal"/>
      <w:lvlText w:val="%1."/>
      <w:lvlJc w:val="left"/>
      <w:pPr>
        <w:tabs>
          <w:tab w:val="num" w:pos="1057"/>
        </w:tabs>
        <w:ind w:left="1057" w:hanging="360"/>
      </w:pPr>
      <w:rPr>
        <w:rFonts w:hint="default"/>
      </w:rPr>
    </w:lvl>
    <w:lvl w:ilvl="1" w:tplc="88CC8F20" w:tentative="1">
      <w:start w:val="1"/>
      <w:numFmt w:val="lowerLetter"/>
      <w:lvlText w:val="%2."/>
      <w:lvlJc w:val="left"/>
      <w:pPr>
        <w:tabs>
          <w:tab w:val="num" w:pos="2137"/>
        </w:tabs>
        <w:ind w:left="2137" w:hanging="360"/>
      </w:pPr>
    </w:lvl>
    <w:lvl w:ilvl="2" w:tplc="64F0CBD0" w:tentative="1">
      <w:start w:val="1"/>
      <w:numFmt w:val="lowerRoman"/>
      <w:lvlText w:val="%3."/>
      <w:lvlJc w:val="right"/>
      <w:pPr>
        <w:tabs>
          <w:tab w:val="num" w:pos="2857"/>
        </w:tabs>
        <w:ind w:left="2857" w:hanging="180"/>
      </w:pPr>
    </w:lvl>
    <w:lvl w:ilvl="3" w:tplc="74544D8C" w:tentative="1">
      <w:start w:val="1"/>
      <w:numFmt w:val="decimal"/>
      <w:lvlText w:val="%4."/>
      <w:lvlJc w:val="left"/>
      <w:pPr>
        <w:tabs>
          <w:tab w:val="num" w:pos="3577"/>
        </w:tabs>
        <w:ind w:left="3577" w:hanging="360"/>
      </w:pPr>
    </w:lvl>
    <w:lvl w:ilvl="4" w:tplc="870C7188" w:tentative="1">
      <w:start w:val="1"/>
      <w:numFmt w:val="lowerLetter"/>
      <w:lvlText w:val="%5."/>
      <w:lvlJc w:val="left"/>
      <w:pPr>
        <w:tabs>
          <w:tab w:val="num" w:pos="4297"/>
        </w:tabs>
        <w:ind w:left="4297" w:hanging="360"/>
      </w:pPr>
    </w:lvl>
    <w:lvl w:ilvl="5" w:tplc="0498921A" w:tentative="1">
      <w:start w:val="1"/>
      <w:numFmt w:val="lowerRoman"/>
      <w:lvlText w:val="%6."/>
      <w:lvlJc w:val="right"/>
      <w:pPr>
        <w:tabs>
          <w:tab w:val="num" w:pos="5017"/>
        </w:tabs>
        <w:ind w:left="5017" w:hanging="180"/>
      </w:pPr>
    </w:lvl>
    <w:lvl w:ilvl="6" w:tplc="5DDAFC5E" w:tentative="1">
      <w:start w:val="1"/>
      <w:numFmt w:val="decimal"/>
      <w:lvlText w:val="%7."/>
      <w:lvlJc w:val="left"/>
      <w:pPr>
        <w:tabs>
          <w:tab w:val="num" w:pos="5737"/>
        </w:tabs>
        <w:ind w:left="5737" w:hanging="360"/>
      </w:pPr>
    </w:lvl>
    <w:lvl w:ilvl="7" w:tplc="36DCE166" w:tentative="1">
      <w:start w:val="1"/>
      <w:numFmt w:val="lowerLetter"/>
      <w:lvlText w:val="%8."/>
      <w:lvlJc w:val="left"/>
      <w:pPr>
        <w:tabs>
          <w:tab w:val="num" w:pos="6457"/>
        </w:tabs>
        <w:ind w:left="6457" w:hanging="360"/>
      </w:pPr>
    </w:lvl>
    <w:lvl w:ilvl="8" w:tplc="C876E3E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F9477C4">
      <w:start w:val="1"/>
      <w:numFmt w:val="decimal"/>
      <w:pStyle w:val="ATSNumber1"/>
      <w:lvlText w:val="%1)"/>
      <w:lvlJc w:val="left"/>
      <w:pPr>
        <w:tabs>
          <w:tab w:val="num" w:pos="720"/>
        </w:tabs>
        <w:ind w:left="720" w:hanging="360"/>
      </w:pPr>
    </w:lvl>
    <w:lvl w:ilvl="1" w:tplc="FBDCE2FC" w:tentative="1">
      <w:start w:val="1"/>
      <w:numFmt w:val="lowerLetter"/>
      <w:lvlText w:val="%2."/>
      <w:lvlJc w:val="left"/>
      <w:pPr>
        <w:tabs>
          <w:tab w:val="num" w:pos="1440"/>
        </w:tabs>
        <w:ind w:left="1440" w:hanging="360"/>
      </w:pPr>
    </w:lvl>
    <w:lvl w:ilvl="2" w:tplc="80FE30BA" w:tentative="1">
      <w:start w:val="1"/>
      <w:numFmt w:val="lowerRoman"/>
      <w:lvlText w:val="%3."/>
      <w:lvlJc w:val="right"/>
      <w:pPr>
        <w:tabs>
          <w:tab w:val="num" w:pos="2160"/>
        </w:tabs>
        <w:ind w:left="2160" w:hanging="180"/>
      </w:pPr>
    </w:lvl>
    <w:lvl w:ilvl="3" w:tplc="E0FA6020" w:tentative="1">
      <w:start w:val="1"/>
      <w:numFmt w:val="decimal"/>
      <w:lvlText w:val="%4."/>
      <w:lvlJc w:val="left"/>
      <w:pPr>
        <w:tabs>
          <w:tab w:val="num" w:pos="2880"/>
        </w:tabs>
        <w:ind w:left="2880" w:hanging="360"/>
      </w:pPr>
    </w:lvl>
    <w:lvl w:ilvl="4" w:tplc="3AA08FF2" w:tentative="1">
      <w:start w:val="1"/>
      <w:numFmt w:val="lowerLetter"/>
      <w:lvlText w:val="%5."/>
      <w:lvlJc w:val="left"/>
      <w:pPr>
        <w:tabs>
          <w:tab w:val="num" w:pos="3600"/>
        </w:tabs>
        <w:ind w:left="3600" w:hanging="360"/>
      </w:pPr>
    </w:lvl>
    <w:lvl w:ilvl="5" w:tplc="E124B240" w:tentative="1">
      <w:start w:val="1"/>
      <w:numFmt w:val="lowerRoman"/>
      <w:lvlText w:val="%6."/>
      <w:lvlJc w:val="right"/>
      <w:pPr>
        <w:tabs>
          <w:tab w:val="num" w:pos="4320"/>
        </w:tabs>
        <w:ind w:left="4320" w:hanging="180"/>
      </w:pPr>
    </w:lvl>
    <w:lvl w:ilvl="6" w:tplc="BBCC132C" w:tentative="1">
      <w:start w:val="1"/>
      <w:numFmt w:val="decimal"/>
      <w:lvlText w:val="%7."/>
      <w:lvlJc w:val="left"/>
      <w:pPr>
        <w:tabs>
          <w:tab w:val="num" w:pos="5040"/>
        </w:tabs>
        <w:ind w:left="5040" w:hanging="360"/>
      </w:pPr>
    </w:lvl>
    <w:lvl w:ilvl="7" w:tplc="BCB04B98" w:tentative="1">
      <w:start w:val="1"/>
      <w:numFmt w:val="lowerLetter"/>
      <w:lvlText w:val="%8."/>
      <w:lvlJc w:val="left"/>
      <w:pPr>
        <w:tabs>
          <w:tab w:val="num" w:pos="5760"/>
        </w:tabs>
        <w:ind w:left="5760" w:hanging="360"/>
      </w:pPr>
    </w:lvl>
    <w:lvl w:ilvl="8" w:tplc="69F43B6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1F10FBE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04EC8C0" w:tentative="1">
      <w:start w:val="1"/>
      <w:numFmt w:val="bullet"/>
      <w:lvlText w:val="o"/>
      <w:lvlJc w:val="left"/>
      <w:pPr>
        <w:tabs>
          <w:tab w:val="num" w:pos="2517"/>
        </w:tabs>
        <w:ind w:left="2517" w:hanging="360"/>
      </w:pPr>
      <w:rPr>
        <w:rFonts w:ascii="Courier New" w:hAnsi="Courier New" w:cs="Courier New" w:hint="default"/>
      </w:rPr>
    </w:lvl>
    <w:lvl w:ilvl="2" w:tplc="085AC254" w:tentative="1">
      <w:start w:val="1"/>
      <w:numFmt w:val="bullet"/>
      <w:lvlText w:val=""/>
      <w:lvlJc w:val="left"/>
      <w:pPr>
        <w:tabs>
          <w:tab w:val="num" w:pos="3237"/>
        </w:tabs>
        <w:ind w:left="3237" w:hanging="360"/>
      </w:pPr>
      <w:rPr>
        <w:rFonts w:ascii="Wingdings" w:hAnsi="Wingdings" w:hint="default"/>
      </w:rPr>
    </w:lvl>
    <w:lvl w:ilvl="3" w:tplc="B19C63DC" w:tentative="1">
      <w:start w:val="1"/>
      <w:numFmt w:val="bullet"/>
      <w:lvlText w:val=""/>
      <w:lvlJc w:val="left"/>
      <w:pPr>
        <w:tabs>
          <w:tab w:val="num" w:pos="3957"/>
        </w:tabs>
        <w:ind w:left="3957" w:hanging="360"/>
      </w:pPr>
      <w:rPr>
        <w:rFonts w:ascii="Symbol" w:hAnsi="Symbol" w:hint="default"/>
      </w:rPr>
    </w:lvl>
    <w:lvl w:ilvl="4" w:tplc="66461DBA" w:tentative="1">
      <w:start w:val="1"/>
      <w:numFmt w:val="bullet"/>
      <w:lvlText w:val="o"/>
      <w:lvlJc w:val="left"/>
      <w:pPr>
        <w:tabs>
          <w:tab w:val="num" w:pos="4677"/>
        </w:tabs>
        <w:ind w:left="4677" w:hanging="360"/>
      </w:pPr>
      <w:rPr>
        <w:rFonts w:ascii="Courier New" w:hAnsi="Courier New" w:cs="Courier New" w:hint="default"/>
      </w:rPr>
    </w:lvl>
    <w:lvl w:ilvl="5" w:tplc="BD6EA3F4" w:tentative="1">
      <w:start w:val="1"/>
      <w:numFmt w:val="bullet"/>
      <w:lvlText w:val=""/>
      <w:lvlJc w:val="left"/>
      <w:pPr>
        <w:tabs>
          <w:tab w:val="num" w:pos="5397"/>
        </w:tabs>
        <w:ind w:left="5397" w:hanging="360"/>
      </w:pPr>
      <w:rPr>
        <w:rFonts w:ascii="Wingdings" w:hAnsi="Wingdings" w:hint="default"/>
      </w:rPr>
    </w:lvl>
    <w:lvl w:ilvl="6" w:tplc="3F4CBE0E" w:tentative="1">
      <w:start w:val="1"/>
      <w:numFmt w:val="bullet"/>
      <w:lvlText w:val=""/>
      <w:lvlJc w:val="left"/>
      <w:pPr>
        <w:tabs>
          <w:tab w:val="num" w:pos="6117"/>
        </w:tabs>
        <w:ind w:left="6117" w:hanging="360"/>
      </w:pPr>
      <w:rPr>
        <w:rFonts w:ascii="Symbol" w:hAnsi="Symbol" w:hint="default"/>
      </w:rPr>
    </w:lvl>
    <w:lvl w:ilvl="7" w:tplc="B09020A2" w:tentative="1">
      <w:start w:val="1"/>
      <w:numFmt w:val="bullet"/>
      <w:lvlText w:val="o"/>
      <w:lvlJc w:val="left"/>
      <w:pPr>
        <w:tabs>
          <w:tab w:val="num" w:pos="6837"/>
        </w:tabs>
        <w:ind w:left="6837" w:hanging="360"/>
      </w:pPr>
      <w:rPr>
        <w:rFonts w:ascii="Courier New" w:hAnsi="Courier New" w:cs="Courier New" w:hint="default"/>
      </w:rPr>
    </w:lvl>
    <w:lvl w:ilvl="8" w:tplc="526EDAF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CA262A6">
      <w:start w:val="1"/>
      <w:numFmt w:val="decimal"/>
      <w:pStyle w:val="ATSNumber2"/>
      <w:lvlText w:val="%1."/>
      <w:lvlJc w:val="left"/>
      <w:pPr>
        <w:tabs>
          <w:tab w:val="num" w:pos="720"/>
        </w:tabs>
        <w:ind w:left="720" w:hanging="360"/>
      </w:pPr>
      <w:rPr>
        <w:rFonts w:hint="default"/>
      </w:rPr>
    </w:lvl>
    <w:lvl w:ilvl="1" w:tplc="CFD6EE34" w:tentative="1">
      <w:start w:val="1"/>
      <w:numFmt w:val="lowerLetter"/>
      <w:lvlText w:val="%2."/>
      <w:lvlJc w:val="left"/>
      <w:pPr>
        <w:tabs>
          <w:tab w:val="num" w:pos="1440"/>
        </w:tabs>
        <w:ind w:left="1440" w:hanging="360"/>
      </w:pPr>
    </w:lvl>
    <w:lvl w:ilvl="2" w:tplc="F0DA93B0" w:tentative="1">
      <w:start w:val="1"/>
      <w:numFmt w:val="lowerRoman"/>
      <w:lvlText w:val="%3."/>
      <w:lvlJc w:val="right"/>
      <w:pPr>
        <w:tabs>
          <w:tab w:val="num" w:pos="2160"/>
        </w:tabs>
        <w:ind w:left="2160" w:hanging="180"/>
      </w:pPr>
    </w:lvl>
    <w:lvl w:ilvl="3" w:tplc="2B744722" w:tentative="1">
      <w:start w:val="1"/>
      <w:numFmt w:val="decimal"/>
      <w:lvlText w:val="%4."/>
      <w:lvlJc w:val="left"/>
      <w:pPr>
        <w:tabs>
          <w:tab w:val="num" w:pos="2880"/>
        </w:tabs>
        <w:ind w:left="2880" w:hanging="360"/>
      </w:pPr>
    </w:lvl>
    <w:lvl w:ilvl="4" w:tplc="6F28B860" w:tentative="1">
      <w:start w:val="1"/>
      <w:numFmt w:val="lowerLetter"/>
      <w:lvlText w:val="%5."/>
      <w:lvlJc w:val="left"/>
      <w:pPr>
        <w:tabs>
          <w:tab w:val="num" w:pos="3600"/>
        </w:tabs>
        <w:ind w:left="3600" w:hanging="360"/>
      </w:pPr>
    </w:lvl>
    <w:lvl w:ilvl="5" w:tplc="C52E273C" w:tentative="1">
      <w:start w:val="1"/>
      <w:numFmt w:val="lowerRoman"/>
      <w:lvlText w:val="%6."/>
      <w:lvlJc w:val="right"/>
      <w:pPr>
        <w:tabs>
          <w:tab w:val="num" w:pos="4320"/>
        </w:tabs>
        <w:ind w:left="4320" w:hanging="180"/>
      </w:pPr>
    </w:lvl>
    <w:lvl w:ilvl="6" w:tplc="89C4CD54" w:tentative="1">
      <w:start w:val="1"/>
      <w:numFmt w:val="decimal"/>
      <w:lvlText w:val="%7."/>
      <w:lvlJc w:val="left"/>
      <w:pPr>
        <w:tabs>
          <w:tab w:val="num" w:pos="5040"/>
        </w:tabs>
        <w:ind w:left="5040" w:hanging="360"/>
      </w:pPr>
    </w:lvl>
    <w:lvl w:ilvl="7" w:tplc="CB040DBE" w:tentative="1">
      <w:start w:val="1"/>
      <w:numFmt w:val="lowerLetter"/>
      <w:lvlText w:val="%8."/>
      <w:lvlJc w:val="left"/>
      <w:pPr>
        <w:tabs>
          <w:tab w:val="num" w:pos="5760"/>
        </w:tabs>
        <w:ind w:left="5760" w:hanging="360"/>
      </w:pPr>
    </w:lvl>
    <w:lvl w:ilvl="8" w:tplc="856639A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7D"/>
    <w:rsid w:val="00527CBC"/>
    <w:rsid w:val="00A603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0D02E4"/>
  <w15:chartTrackingRefBased/>
  <w15:docId w15:val="{50BF2507-58E9-4AFF-8D60-165A4298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527CBC"/>
    <w:rPr>
      <w:sz w:val="22"/>
      <w:szCs w:val="24"/>
      <w:lang w:val="en-GB" w:eastAsia="en-GB"/>
    </w:rPr>
  </w:style>
  <w:style w:type="paragraph" w:customStyle="1" w:styleId="Default">
    <w:name w:val="Default"/>
    <w:rsid w:val="00527CBC"/>
    <w:pPr>
      <w:autoSpaceDE w:val="0"/>
      <w:autoSpaceDN w:val="0"/>
      <w:adjustRightInd w:val="0"/>
    </w:pPr>
    <w:rPr>
      <w:color w:val="000000"/>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1515</Words>
  <Characters>8351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2021-04-29T15:09:00Z</dcterms:modified>
</cp:coreProperties>
</file>