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49A29" w14:textId="77777777" w:rsidR="00C26F2D" w:rsidRPr="00BF077B" w:rsidRDefault="008E559A" w:rsidP="00BF077B">
      <w:pPr>
        <w:pStyle w:val="ATSNormal"/>
        <w:rPr>
          <w:rStyle w:val="Ttulodellibro"/>
        </w:rPr>
      </w:pPr>
    </w:p>
    <w:p w14:paraId="08CB0AD0" w14:textId="77777777" w:rsidR="002F0A13" w:rsidRDefault="008E559A" w:rsidP="004B4A60">
      <w:pPr>
        <w:rPr>
          <w:b/>
          <w:u w:val="single"/>
          <w:lang w:val="es-ES_tradnl"/>
        </w:rPr>
      </w:pPr>
    </w:p>
    <w:p w14:paraId="706A8109" w14:textId="77777777" w:rsidR="002F0A13" w:rsidRDefault="008E559A" w:rsidP="004B4A60">
      <w:pPr>
        <w:rPr>
          <w:b/>
          <w:u w:val="single"/>
          <w:lang w:val="es-ES_tradnl"/>
        </w:rPr>
      </w:pPr>
    </w:p>
    <w:p w14:paraId="40E52E4E" w14:textId="77777777" w:rsidR="002F0A13" w:rsidRDefault="008E559A" w:rsidP="004B4A60">
      <w:pPr>
        <w:rPr>
          <w:b/>
          <w:u w:val="single"/>
          <w:lang w:val="es-ES_tradnl"/>
        </w:rPr>
      </w:pPr>
    </w:p>
    <w:p w14:paraId="332E3FE0" w14:textId="77777777" w:rsidR="002F0A13" w:rsidRDefault="008E559A" w:rsidP="004B4A60">
      <w:pPr>
        <w:rPr>
          <w:b/>
          <w:u w:val="single"/>
          <w:lang w:val="es-ES_tradnl"/>
        </w:rPr>
      </w:pPr>
    </w:p>
    <w:p w14:paraId="1055508A" w14:textId="77777777" w:rsidR="00C26F2D" w:rsidRDefault="008E559A" w:rsidP="004B4A60">
      <w:pPr>
        <w:rPr>
          <w:b/>
          <w:u w:val="single"/>
          <w:lang w:val="es-ES_tradnl"/>
        </w:rPr>
      </w:pPr>
    </w:p>
    <w:p w14:paraId="33FF81A5" w14:textId="77777777" w:rsidR="004B4A60" w:rsidRPr="0057246E" w:rsidRDefault="008E559A" w:rsidP="001B789F">
      <w:pPr>
        <w:pStyle w:val="ATSTitle"/>
      </w:pPr>
      <w:bookmarkStart w:id="0" w:name="name"/>
      <w:r>
        <w:t xml:space="preserve">Review of the Management Plans for Antarctic Specially Managed Area (ASMA) No. 6 </w:t>
      </w:r>
      <w:proofErr w:type="spellStart"/>
      <w:r>
        <w:t>Larsemann</w:t>
      </w:r>
      <w:proofErr w:type="spellEnd"/>
      <w:r>
        <w:t xml:space="preserve"> Hills and Antarctic Specially Protected Area (ASPA) No. 174 </w:t>
      </w:r>
      <w:proofErr w:type="spellStart"/>
      <w:r>
        <w:t>Stornes</w:t>
      </w:r>
      <w:proofErr w:type="spellEnd"/>
      <w:r>
        <w:t>, East Antarctica</w:t>
      </w:r>
    </w:p>
    <w:bookmarkEnd w:id="0"/>
    <w:p w14:paraId="6C1D63AA" w14:textId="77777777" w:rsidR="00E44FD3" w:rsidRDefault="00E44FD3" w:rsidP="001B789F">
      <w:pPr>
        <w:pStyle w:val="ATSTitle"/>
      </w:pPr>
    </w:p>
    <w:p w14:paraId="3E8570F6" w14:textId="77777777" w:rsidR="004B4A60" w:rsidRPr="0057246E" w:rsidRDefault="008E559A" w:rsidP="00F75424">
      <w:pPr>
        <w:jc w:val="center"/>
      </w:pPr>
    </w:p>
    <w:p w14:paraId="204B5F1E" w14:textId="77777777" w:rsidR="004B4A60" w:rsidRPr="002F0A13" w:rsidRDefault="008E559A" w:rsidP="002F0A13"/>
    <w:p w14:paraId="068CBBE6" w14:textId="77777777" w:rsidR="004B4A60" w:rsidRDefault="008E559A" w:rsidP="00F75424">
      <w:pPr>
        <w:jc w:val="center"/>
      </w:pPr>
      <w:bookmarkStart w:id="1" w:name="memo"/>
      <w:bookmarkEnd w:id="1"/>
    </w:p>
    <w:p w14:paraId="60110A4B" w14:textId="77777777" w:rsidR="0097629D" w:rsidRDefault="008E559A" w:rsidP="00F75424">
      <w:pPr>
        <w:jc w:val="center"/>
      </w:pPr>
    </w:p>
    <w:p w14:paraId="08C4D1BD" w14:textId="77777777" w:rsidR="0097629D" w:rsidRDefault="008E559A" w:rsidP="00F75424">
      <w:pPr>
        <w:jc w:val="center"/>
      </w:pPr>
    </w:p>
    <w:p w14:paraId="01AF081F" w14:textId="77777777" w:rsidR="0097629D" w:rsidRDefault="008E559A" w:rsidP="00F75424">
      <w:pPr>
        <w:jc w:val="center"/>
      </w:pPr>
    </w:p>
    <w:p w14:paraId="32D7332D" w14:textId="77777777" w:rsidR="0097629D" w:rsidRPr="00C26F2D" w:rsidRDefault="008E559A" w:rsidP="00F75424">
      <w:pPr>
        <w:jc w:val="center"/>
      </w:pPr>
    </w:p>
    <w:p w14:paraId="04D31BBF" w14:textId="77777777" w:rsidR="004B4A60" w:rsidRPr="0057246E" w:rsidRDefault="008E559A" w:rsidP="004B4A60"/>
    <w:p w14:paraId="31DC2310" w14:textId="77777777" w:rsidR="00C26F2D" w:rsidRDefault="008E559A"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6539EAE3" w14:textId="011A4C74" w:rsidR="004B4A60" w:rsidRDefault="008E559A" w:rsidP="00952E9F"/>
    <w:p w14:paraId="01A56C17" w14:textId="77777777" w:rsidR="008E559A" w:rsidRPr="00400635" w:rsidRDefault="008E559A" w:rsidP="008E559A">
      <w:pPr>
        <w:spacing w:before="360" w:after="360"/>
        <w:jc w:val="center"/>
        <w:rPr>
          <w:rFonts w:ascii="Arial" w:hAnsi="Arial"/>
          <w:b/>
          <w:sz w:val="32"/>
          <w:lang w:eastAsia="en-GB"/>
        </w:rPr>
      </w:pPr>
      <w:r w:rsidRPr="00400635">
        <w:rPr>
          <w:rFonts w:ascii="Arial" w:hAnsi="Arial"/>
          <w:b/>
          <w:sz w:val="32"/>
          <w:lang w:eastAsia="en-GB"/>
        </w:rPr>
        <w:t xml:space="preserve">Review of the Management Plans for Antarctic Specially Managed Area (ASMA) No. 6 </w:t>
      </w:r>
      <w:proofErr w:type="spellStart"/>
      <w:r w:rsidRPr="00400635">
        <w:rPr>
          <w:rFonts w:ascii="Arial" w:hAnsi="Arial"/>
          <w:b/>
          <w:sz w:val="32"/>
          <w:lang w:eastAsia="en-GB"/>
        </w:rPr>
        <w:t>Larsemann</w:t>
      </w:r>
      <w:proofErr w:type="spellEnd"/>
      <w:r w:rsidRPr="00400635">
        <w:rPr>
          <w:rFonts w:ascii="Arial" w:hAnsi="Arial"/>
          <w:b/>
          <w:sz w:val="32"/>
          <w:lang w:eastAsia="en-GB"/>
        </w:rPr>
        <w:t xml:space="preserve"> Hills and </w:t>
      </w:r>
      <w:r w:rsidRPr="00400635">
        <w:rPr>
          <w:rFonts w:ascii="Arial" w:hAnsi="Arial"/>
          <w:b/>
          <w:sz w:val="32"/>
          <w:lang w:eastAsia="en-GB"/>
        </w:rPr>
        <w:br/>
        <w:t xml:space="preserve">Antarctic Specially Protected Area (ASPA) No. 174 </w:t>
      </w:r>
      <w:proofErr w:type="spellStart"/>
      <w:r w:rsidRPr="00400635">
        <w:rPr>
          <w:rFonts w:ascii="Arial" w:hAnsi="Arial"/>
          <w:b/>
          <w:sz w:val="32"/>
          <w:lang w:eastAsia="en-GB"/>
        </w:rPr>
        <w:t>Stornes</w:t>
      </w:r>
      <w:proofErr w:type="spellEnd"/>
      <w:r w:rsidRPr="00400635">
        <w:rPr>
          <w:rFonts w:ascii="Arial" w:hAnsi="Arial"/>
          <w:b/>
          <w:sz w:val="32"/>
          <w:lang w:eastAsia="en-GB"/>
        </w:rPr>
        <w:t xml:space="preserve">, </w:t>
      </w:r>
      <w:r w:rsidRPr="00400635">
        <w:rPr>
          <w:rFonts w:ascii="Arial" w:hAnsi="Arial"/>
          <w:b/>
          <w:sz w:val="32"/>
          <w:lang w:eastAsia="en-GB"/>
        </w:rPr>
        <w:br/>
        <w:t>East Antarctica</w:t>
      </w:r>
    </w:p>
    <w:p w14:paraId="42306E7F" w14:textId="77777777" w:rsidR="008E559A" w:rsidRPr="00400635" w:rsidRDefault="008E559A" w:rsidP="008E559A">
      <w:pPr>
        <w:spacing w:before="120" w:after="120"/>
        <w:jc w:val="center"/>
        <w:rPr>
          <w:b/>
          <w:bCs/>
          <w:lang w:eastAsia="en-GB"/>
        </w:rPr>
      </w:pPr>
      <w:r w:rsidRPr="00400635">
        <w:rPr>
          <w:b/>
          <w:bCs/>
          <w:lang w:eastAsia="en-GB"/>
        </w:rPr>
        <w:t xml:space="preserve">Working Paper submitted by Australia, China, </w:t>
      </w:r>
      <w:proofErr w:type="gramStart"/>
      <w:r w:rsidRPr="00400635">
        <w:rPr>
          <w:b/>
          <w:bCs/>
          <w:lang w:eastAsia="en-GB"/>
        </w:rPr>
        <w:t>India</w:t>
      </w:r>
      <w:proofErr w:type="gramEnd"/>
      <w:r w:rsidRPr="00400635">
        <w:rPr>
          <w:b/>
          <w:bCs/>
          <w:lang w:eastAsia="en-GB"/>
        </w:rPr>
        <w:t xml:space="preserve"> and the Russian Federation</w:t>
      </w:r>
    </w:p>
    <w:p w14:paraId="570BC432" w14:textId="77777777" w:rsidR="008E559A" w:rsidRPr="00400635" w:rsidRDefault="008E559A" w:rsidP="008E559A">
      <w:pPr>
        <w:spacing w:before="480" w:after="120"/>
        <w:jc w:val="both"/>
        <w:rPr>
          <w:rFonts w:ascii="Arial" w:hAnsi="Arial"/>
          <w:b/>
          <w:bCs/>
          <w:i/>
          <w:sz w:val="24"/>
          <w:szCs w:val="22"/>
          <w:lang w:eastAsia="en-GB"/>
        </w:rPr>
      </w:pPr>
      <w:r w:rsidRPr="00400635">
        <w:rPr>
          <w:rFonts w:ascii="Arial" w:hAnsi="Arial"/>
          <w:b/>
          <w:i/>
          <w:sz w:val="24"/>
          <w:szCs w:val="22"/>
          <w:lang w:eastAsia="en-GB"/>
        </w:rPr>
        <w:t>Summary</w:t>
      </w:r>
    </w:p>
    <w:p w14:paraId="79729118" w14:textId="77777777" w:rsidR="008E559A" w:rsidRPr="00400635" w:rsidRDefault="008E559A" w:rsidP="008E559A">
      <w:pPr>
        <w:spacing w:before="120" w:after="120"/>
        <w:rPr>
          <w:lang w:eastAsia="en-GB"/>
        </w:rPr>
      </w:pPr>
      <w:r w:rsidRPr="00400635">
        <w:rPr>
          <w:lang w:eastAsia="en-GB"/>
        </w:rPr>
        <w:t xml:space="preserve">In accordance with Article 6.3 of Annex V to the Protocol on Environmental Protection to the Antarctic Treaty, Australia, China, </w:t>
      </w:r>
      <w:proofErr w:type="gramStart"/>
      <w:r w:rsidRPr="00400635">
        <w:rPr>
          <w:lang w:eastAsia="en-GB"/>
        </w:rPr>
        <w:t>India</w:t>
      </w:r>
      <w:proofErr w:type="gramEnd"/>
      <w:r w:rsidRPr="00400635">
        <w:rPr>
          <w:lang w:eastAsia="en-GB"/>
        </w:rPr>
        <w:t xml:space="preserve"> and the Russian Federation have undertaken a review of the management plans for Antarctic Specially Managed Area (ASMA) No. 6 </w:t>
      </w:r>
      <w:proofErr w:type="spellStart"/>
      <w:r w:rsidRPr="00400635">
        <w:rPr>
          <w:lang w:eastAsia="en-GB"/>
        </w:rPr>
        <w:t>Larsemann</w:t>
      </w:r>
      <w:proofErr w:type="spellEnd"/>
      <w:r w:rsidRPr="00400635">
        <w:rPr>
          <w:lang w:eastAsia="en-GB"/>
        </w:rPr>
        <w:t xml:space="preserve"> Hills and Antarctic Specially Protected Area (ASPA) No. 174 </w:t>
      </w:r>
      <w:proofErr w:type="spellStart"/>
      <w:r w:rsidRPr="00400635">
        <w:rPr>
          <w:lang w:eastAsia="en-GB"/>
        </w:rPr>
        <w:t>Stornes</w:t>
      </w:r>
      <w:proofErr w:type="spellEnd"/>
      <w:r w:rsidRPr="00400635">
        <w:rPr>
          <w:lang w:eastAsia="en-GB"/>
        </w:rPr>
        <w:t xml:space="preserve"> (located within the ASMA). </w:t>
      </w:r>
    </w:p>
    <w:p w14:paraId="3B354B3E" w14:textId="77777777" w:rsidR="008E559A" w:rsidRPr="00400635" w:rsidRDefault="008E559A" w:rsidP="008E559A">
      <w:pPr>
        <w:spacing w:before="120" w:after="120"/>
        <w:rPr>
          <w:lang w:eastAsia="en-GB"/>
        </w:rPr>
      </w:pPr>
      <w:r w:rsidRPr="00400635">
        <w:rPr>
          <w:lang w:eastAsia="en-GB"/>
        </w:rPr>
        <w:t>The review of the management plan for ASMA No. 6 identified the need for only minor changes to the content of the plan. The proposed changes do not alter the ASMA boundary or management provisions. It is recommended that the CEP endorses the revised management plan.</w:t>
      </w:r>
    </w:p>
    <w:p w14:paraId="06945761" w14:textId="77777777" w:rsidR="008E559A" w:rsidRPr="00400635" w:rsidRDefault="008E559A" w:rsidP="008E559A">
      <w:pPr>
        <w:spacing w:before="120" w:after="120"/>
        <w:rPr>
          <w:lang w:eastAsia="en-GB"/>
        </w:rPr>
      </w:pPr>
      <w:r w:rsidRPr="00400635">
        <w:rPr>
          <w:lang w:eastAsia="en-GB"/>
        </w:rPr>
        <w:t>The review of the management plan for ASPA No. 174 concluded that the current management plan provisions continue to be appropriate to provide for the protection of the Area’s values, and that no changes are required. It is recommended that the CEP endorses this conclusion.</w:t>
      </w:r>
    </w:p>
    <w:p w14:paraId="03E8CD27" w14:textId="77777777" w:rsidR="008E559A" w:rsidRPr="00400635" w:rsidRDefault="008E559A" w:rsidP="008E559A">
      <w:pPr>
        <w:spacing w:before="480" w:after="120"/>
        <w:jc w:val="both"/>
        <w:rPr>
          <w:rFonts w:ascii="Arial" w:hAnsi="Arial"/>
          <w:b/>
          <w:i/>
          <w:sz w:val="24"/>
          <w:szCs w:val="22"/>
          <w:lang w:eastAsia="en-GB"/>
        </w:rPr>
      </w:pPr>
      <w:r w:rsidRPr="00400635">
        <w:rPr>
          <w:rFonts w:ascii="Arial" w:hAnsi="Arial"/>
          <w:b/>
          <w:i/>
          <w:sz w:val="24"/>
          <w:szCs w:val="22"/>
          <w:lang w:eastAsia="en-GB"/>
        </w:rPr>
        <w:t>Background</w:t>
      </w:r>
    </w:p>
    <w:p w14:paraId="15130B64" w14:textId="77777777" w:rsidR="008E559A" w:rsidRPr="00400635" w:rsidRDefault="008E559A" w:rsidP="008E559A">
      <w:pPr>
        <w:spacing w:before="120" w:after="120"/>
        <w:rPr>
          <w:lang w:val="en-AU" w:eastAsia="en-GB"/>
        </w:rPr>
      </w:pPr>
      <w:r w:rsidRPr="00400635">
        <w:rPr>
          <w:lang w:val="en-AU" w:eastAsia="en-GB"/>
        </w:rPr>
        <w:t xml:space="preserve">The </w:t>
      </w:r>
      <w:proofErr w:type="spellStart"/>
      <w:r w:rsidRPr="00400635">
        <w:rPr>
          <w:lang w:val="en-AU" w:eastAsia="en-GB"/>
        </w:rPr>
        <w:t>Larsemann</w:t>
      </w:r>
      <w:proofErr w:type="spellEnd"/>
      <w:r w:rsidRPr="00400635">
        <w:rPr>
          <w:lang w:val="en-AU" w:eastAsia="en-GB"/>
        </w:rPr>
        <w:t xml:space="preserve"> Hills ASMA is located between the Vestfold Hills and the Amery Ice Shelf on the south-eastern coast of </w:t>
      </w:r>
      <w:proofErr w:type="spellStart"/>
      <w:r w:rsidRPr="00400635">
        <w:rPr>
          <w:lang w:val="en-AU" w:eastAsia="en-GB"/>
        </w:rPr>
        <w:t>Prydz</w:t>
      </w:r>
      <w:proofErr w:type="spellEnd"/>
      <w:r w:rsidRPr="00400635">
        <w:rPr>
          <w:lang w:val="en-AU" w:eastAsia="en-GB"/>
        </w:rPr>
        <w:t xml:space="preserve"> Bay, Princess Elizabeth Land, East Antarctica (69</w:t>
      </w:r>
      <w:r w:rsidRPr="00400635">
        <w:rPr>
          <w:vertAlign w:val="superscript"/>
          <w:lang w:val="en-AU" w:eastAsia="en-GB"/>
        </w:rPr>
        <w:t>o</w:t>
      </w:r>
      <w:r w:rsidRPr="00400635">
        <w:rPr>
          <w:lang w:val="en-AU" w:eastAsia="en-GB"/>
        </w:rPr>
        <w:t>30’S, 76</w:t>
      </w:r>
      <w:r w:rsidRPr="00400635">
        <w:rPr>
          <w:vertAlign w:val="superscript"/>
          <w:lang w:val="en-AU" w:eastAsia="en-GB"/>
        </w:rPr>
        <w:t>o</w:t>
      </w:r>
      <w:r w:rsidRPr="00400635">
        <w:rPr>
          <w:lang w:val="en-AU" w:eastAsia="en-GB"/>
        </w:rPr>
        <w:t>19’</w:t>
      </w:r>
      <w:proofErr w:type="gramStart"/>
      <w:r w:rsidRPr="00400635">
        <w:rPr>
          <w:lang w:val="en-AU" w:eastAsia="en-GB"/>
        </w:rPr>
        <w:t>58”E</w:t>
      </w:r>
      <w:proofErr w:type="gramEnd"/>
      <w:r w:rsidRPr="00400635">
        <w:rPr>
          <w:lang w:val="en-AU" w:eastAsia="en-GB"/>
        </w:rPr>
        <w:t>)</w:t>
      </w:r>
      <w:r w:rsidRPr="00400635">
        <w:rPr>
          <w:lang w:eastAsia="en-GB"/>
        </w:rPr>
        <w:t>.</w:t>
      </w:r>
      <w:r w:rsidRPr="00400635">
        <w:rPr>
          <w:lang w:val="en-AU" w:eastAsia="en-GB"/>
        </w:rPr>
        <w:t xml:space="preserve"> The </w:t>
      </w:r>
      <w:proofErr w:type="spellStart"/>
      <w:r w:rsidRPr="00400635">
        <w:rPr>
          <w:lang w:val="en-AU" w:eastAsia="en-GB"/>
        </w:rPr>
        <w:t>Larsemann</w:t>
      </w:r>
      <w:proofErr w:type="spellEnd"/>
      <w:r w:rsidRPr="00400635">
        <w:rPr>
          <w:lang w:val="en-AU" w:eastAsia="en-GB"/>
        </w:rPr>
        <w:t xml:space="preserve"> Hills were designated an ASMA under Measure 2 (2007). The primary reason for designation was to promote coordination and cooperation by Parties in the planning and conduct of activities in the region – with the view to achieving greater environmental protection outcomes.</w:t>
      </w:r>
    </w:p>
    <w:p w14:paraId="16A8B3FA" w14:textId="77777777" w:rsidR="008E559A" w:rsidRPr="00400635" w:rsidRDefault="008E559A" w:rsidP="008E559A">
      <w:pPr>
        <w:autoSpaceDE w:val="0"/>
        <w:autoSpaceDN w:val="0"/>
        <w:adjustRightInd w:val="0"/>
        <w:rPr>
          <w:color w:val="000000"/>
          <w:szCs w:val="22"/>
          <w:lang w:val="en-AU" w:eastAsia="en-AU"/>
        </w:rPr>
      </w:pPr>
      <w:r w:rsidRPr="00400635">
        <w:rPr>
          <w:color w:val="000000"/>
          <w:szCs w:val="22"/>
          <w:lang w:val="en-AU" w:eastAsia="en-AU"/>
        </w:rPr>
        <w:t xml:space="preserve">A revised ASMA management plan was adopted under Measure 15 (2014). Concurrently, the western-most peninsula in the </w:t>
      </w:r>
      <w:proofErr w:type="spellStart"/>
      <w:r w:rsidRPr="00400635">
        <w:rPr>
          <w:color w:val="000000"/>
          <w:szCs w:val="22"/>
          <w:lang w:val="en-AU" w:eastAsia="en-AU"/>
        </w:rPr>
        <w:t>Larsemann</w:t>
      </w:r>
      <w:proofErr w:type="spellEnd"/>
      <w:r w:rsidRPr="00400635">
        <w:rPr>
          <w:color w:val="000000"/>
          <w:szCs w:val="22"/>
          <w:lang w:val="en-AU" w:eastAsia="en-AU"/>
        </w:rPr>
        <w:t xml:space="preserve"> Hills, </w:t>
      </w:r>
      <w:proofErr w:type="spellStart"/>
      <w:r w:rsidRPr="00400635">
        <w:rPr>
          <w:color w:val="000000"/>
          <w:szCs w:val="22"/>
          <w:lang w:val="en-AU" w:eastAsia="en-AU"/>
        </w:rPr>
        <w:t>Stornes</w:t>
      </w:r>
      <w:proofErr w:type="spellEnd"/>
      <w:r w:rsidRPr="00400635">
        <w:rPr>
          <w:color w:val="000000"/>
          <w:szCs w:val="22"/>
          <w:lang w:val="en-AU" w:eastAsia="en-AU"/>
        </w:rPr>
        <w:t>, was designated as an ASPA under Measure 12 (2014). The primary reason for designation was to provide for the heightened protection of the area’s outstanding geological features.</w:t>
      </w:r>
    </w:p>
    <w:p w14:paraId="610D3D95" w14:textId="77777777" w:rsidR="008E559A" w:rsidRPr="00400635" w:rsidRDefault="008E559A" w:rsidP="008E559A">
      <w:pPr>
        <w:spacing w:before="120" w:after="120"/>
        <w:rPr>
          <w:szCs w:val="22"/>
          <w:lang w:val="en-AU" w:eastAsia="en-GB"/>
        </w:rPr>
      </w:pPr>
      <w:r w:rsidRPr="00400635">
        <w:rPr>
          <w:szCs w:val="22"/>
          <w:lang w:val="en-AU" w:eastAsia="en-GB"/>
        </w:rPr>
        <w:t xml:space="preserve">The </w:t>
      </w:r>
      <w:proofErr w:type="spellStart"/>
      <w:r w:rsidRPr="00400635">
        <w:rPr>
          <w:szCs w:val="22"/>
          <w:lang w:val="en-AU" w:eastAsia="en-GB"/>
        </w:rPr>
        <w:t>Larsemann</w:t>
      </w:r>
      <w:proofErr w:type="spellEnd"/>
      <w:r w:rsidRPr="00400635">
        <w:rPr>
          <w:szCs w:val="22"/>
          <w:lang w:val="en-AU" w:eastAsia="en-GB"/>
        </w:rPr>
        <w:t xml:space="preserve"> Hills ASMA also contains Historic Site and Monument No. 92 </w:t>
      </w:r>
      <w:proofErr w:type="spellStart"/>
      <w:r w:rsidRPr="00400635">
        <w:rPr>
          <w:szCs w:val="22"/>
          <w:lang w:val="en-AU" w:eastAsia="en-GB"/>
        </w:rPr>
        <w:t>Oversnow</w:t>
      </w:r>
      <w:proofErr w:type="spellEnd"/>
      <w:r w:rsidRPr="00400635">
        <w:rPr>
          <w:szCs w:val="22"/>
          <w:lang w:val="en-AU" w:eastAsia="en-GB"/>
        </w:rPr>
        <w:t xml:space="preserve"> heavy tractor “</w:t>
      </w:r>
      <w:proofErr w:type="spellStart"/>
      <w:r w:rsidRPr="00400635">
        <w:rPr>
          <w:szCs w:val="22"/>
          <w:lang w:val="en-AU" w:eastAsia="en-GB"/>
        </w:rPr>
        <w:t>Kharkovchanka</w:t>
      </w:r>
      <w:proofErr w:type="spellEnd"/>
      <w:r w:rsidRPr="00400635">
        <w:rPr>
          <w:szCs w:val="22"/>
          <w:lang w:val="en-AU" w:eastAsia="en-GB"/>
        </w:rPr>
        <w:t>” that was used in Antarctica from 1959 to 2010, designated under Measure 19 (2015).</w:t>
      </w:r>
    </w:p>
    <w:p w14:paraId="54006D12" w14:textId="77777777" w:rsidR="008E559A" w:rsidRPr="00400635" w:rsidRDefault="008E559A" w:rsidP="008E559A">
      <w:pPr>
        <w:spacing w:before="120" w:after="120"/>
        <w:rPr>
          <w:szCs w:val="22"/>
          <w:lang w:val="en-AU" w:eastAsia="en-GB"/>
        </w:rPr>
      </w:pPr>
      <w:r w:rsidRPr="00400635">
        <w:rPr>
          <w:szCs w:val="22"/>
          <w:lang w:val="en-AU" w:eastAsia="en-GB"/>
        </w:rPr>
        <w:t xml:space="preserve">The Parties active in the region (currently Australia, China, </w:t>
      </w:r>
      <w:proofErr w:type="gramStart"/>
      <w:r w:rsidRPr="00400635">
        <w:rPr>
          <w:szCs w:val="22"/>
          <w:lang w:val="en-AU" w:eastAsia="en-GB"/>
        </w:rPr>
        <w:t>India</w:t>
      </w:r>
      <w:proofErr w:type="gramEnd"/>
      <w:r w:rsidRPr="00400635">
        <w:rPr>
          <w:szCs w:val="22"/>
          <w:lang w:val="en-AU" w:eastAsia="en-GB"/>
        </w:rPr>
        <w:t xml:space="preserve"> and the Russian Federation) have formed a </w:t>
      </w:r>
      <w:proofErr w:type="spellStart"/>
      <w:r w:rsidRPr="00400635">
        <w:rPr>
          <w:szCs w:val="22"/>
          <w:lang w:val="en-AU" w:eastAsia="en-GB"/>
        </w:rPr>
        <w:t>Larsemann</w:t>
      </w:r>
      <w:proofErr w:type="spellEnd"/>
      <w:r w:rsidRPr="00400635">
        <w:rPr>
          <w:szCs w:val="22"/>
          <w:lang w:val="en-AU" w:eastAsia="en-GB"/>
        </w:rPr>
        <w:t xml:space="preserve"> Hills ASMA Management Group to oversee implementation of the management plan. The Management Group meets during the annual general meetings of the Council of Managers of National Antarctic Programs to share information and discuss plans for cooperative activities to be undertaken in the ASMA. At CEP XXII Australia, China, </w:t>
      </w:r>
      <w:proofErr w:type="gramStart"/>
      <w:r w:rsidRPr="00400635">
        <w:rPr>
          <w:szCs w:val="22"/>
          <w:lang w:val="en-AU" w:eastAsia="en-GB"/>
        </w:rPr>
        <w:t>India</w:t>
      </w:r>
      <w:proofErr w:type="gramEnd"/>
      <w:r w:rsidRPr="00400635">
        <w:rPr>
          <w:szCs w:val="22"/>
          <w:lang w:val="en-AU" w:eastAsia="en-GB"/>
        </w:rPr>
        <w:t xml:space="preserve"> and the Russian Federation submitted ATCM XLII/IP40 </w:t>
      </w:r>
      <w:r w:rsidRPr="00400635">
        <w:rPr>
          <w:i/>
          <w:szCs w:val="22"/>
          <w:lang w:val="en-AU" w:eastAsia="en-GB"/>
        </w:rPr>
        <w:t xml:space="preserve">Report of the Antarctic Specially Managed Area No. 6 </w:t>
      </w:r>
      <w:proofErr w:type="spellStart"/>
      <w:r w:rsidRPr="00400635">
        <w:rPr>
          <w:i/>
          <w:szCs w:val="22"/>
          <w:lang w:val="en-AU" w:eastAsia="en-GB"/>
        </w:rPr>
        <w:t>Larsemann</w:t>
      </w:r>
      <w:proofErr w:type="spellEnd"/>
      <w:r w:rsidRPr="00400635">
        <w:rPr>
          <w:i/>
          <w:szCs w:val="22"/>
          <w:lang w:val="en-AU" w:eastAsia="en-GB"/>
        </w:rPr>
        <w:t xml:space="preserve"> Hills Management Group</w:t>
      </w:r>
      <w:r w:rsidRPr="00400635">
        <w:rPr>
          <w:szCs w:val="22"/>
          <w:lang w:val="en-AU" w:eastAsia="en-GB"/>
        </w:rPr>
        <w:t xml:space="preserve">, which advised that the Management Group </w:t>
      </w:r>
      <w:r w:rsidRPr="00400635">
        <w:rPr>
          <w:lang w:eastAsia="en-GB"/>
        </w:rPr>
        <w:t>group had commenced a review of the ASMA and ASPA management plans.</w:t>
      </w:r>
    </w:p>
    <w:p w14:paraId="2F65339E" w14:textId="77777777" w:rsidR="008E559A" w:rsidRPr="00400635" w:rsidRDefault="008E559A" w:rsidP="008E559A">
      <w:pPr>
        <w:spacing w:before="480" w:after="120"/>
        <w:jc w:val="both"/>
        <w:rPr>
          <w:rFonts w:ascii="Arial" w:hAnsi="Arial"/>
          <w:b/>
          <w:i/>
          <w:sz w:val="24"/>
          <w:szCs w:val="22"/>
          <w:lang w:eastAsia="en-GB"/>
        </w:rPr>
      </w:pPr>
      <w:r w:rsidRPr="00400635">
        <w:rPr>
          <w:rFonts w:ascii="Arial" w:hAnsi="Arial"/>
          <w:b/>
          <w:i/>
          <w:sz w:val="24"/>
          <w:szCs w:val="22"/>
          <w:lang w:eastAsia="en-GB"/>
        </w:rPr>
        <w:t>Summary of amendments to the management plan for ASMA No. 6</w:t>
      </w:r>
    </w:p>
    <w:p w14:paraId="5879F356" w14:textId="77777777" w:rsidR="008E559A" w:rsidRPr="00400635" w:rsidRDefault="008E559A" w:rsidP="008E559A">
      <w:pPr>
        <w:spacing w:before="120" w:after="120"/>
        <w:rPr>
          <w:lang w:val="en-AU" w:eastAsia="en-GB"/>
        </w:rPr>
      </w:pPr>
      <w:r w:rsidRPr="00400635">
        <w:rPr>
          <w:lang w:val="en-AU" w:eastAsia="en-GB"/>
        </w:rPr>
        <w:t xml:space="preserve">Minor amendments to the ASMA management plan are proposed. </w:t>
      </w:r>
      <w:r w:rsidRPr="00400635">
        <w:rPr>
          <w:lang w:eastAsia="en-GB"/>
        </w:rPr>
        <w:t xml:space="preserve">The revised management plan is provided at </w:t>
      </w:r>
      <w:r w:rsidRPr="00400635">
        <w:rPr>
          <w:u w:val="single"/>
          <w:lang w:eastAsia="en-GB"/>
        </w:rPr>
        <w:t>Attachment A</w:t>
      </w:r>
      <w:r w:rsidRPr="00400635">
        <w:rPr>
          <w:lang w:eastAsia="en-GB"/>
        </w:rPr>
        <w:t xml:space="preserve">. </w:t>
      </w:r>
      <w:r w:rsidRPr="00400635">
        <w:rPr>
          <w:lang w:val="en-AU" w:eastAsia="en-GB"/>
        </w:rPr>
        <w:t>The amendments are summarised as follows:</w:t>
      </w:r>
    </w:p>
    <w:p w14:paraId="59791A42" w14:textId="77777777" w:rsidR="008E559A" w:rsidRPr="00400635" w:rsidRDefault="008E559A" w:rsidP="008E559A">
      <w:pPr>
        <w:numPr>
          <w:ilvl w:val="0"/>
          <w:numId w:val="11"/>
        </w:numPr>
        <w:spacing w:before="60"/>
        <w:rPr>
          <w:lang w:eastAsia="en-GB"/>
        </w:rPr>
      </w:pPr>
      <w:r w:rsidRPr="00400635">
        <w:rPr>
          <w:lang w:eastAsia="en-GB"/>
        </w:rPr>
        <w:t xml:space="preserve">References to the </w:t>
      </w:r>
      <w:r w:rsidRPr="00400635">
        <w:rPr>
          <w:lang w:val="en-AU" w:eastAsia="en-AU"/>
        </w:rPr>
        <w:t xml:space="preserve">Environmental Domains Analysis for Antarctica (Resolution 3 (2008)) and </w:t>
      </w:r>
      <w:r w:rsidRPr="00400635">
        <w:rPr>
          <w:rFonts w:ascii="TimesNewRomanPSMT" w:hAnsi="TimesNewRomanPSMT" w:cs="TimesNewRomanPSMT"/>
          <w:lang w:val="en-AU" w:eastAsia="en-AU"/>
        </w:rPr>
        <w:t>Antarctic Conservation Biogeographic Regions (Resolution 3 (2017) have been added (Section 1.1).</w:t>
      </w:r>
    </w:p>
    <w:p w14:paraId="15F14506" w14:textId="77777777" w:rsidR="008E559A" w:rsidRPr="00400635" w:rsidRDefault="008E559A" w:rsidP="008E559A">
      <w:pPr>
        <w:numPr>
          <w:ilvl w:val="0"/>
          <w:numId w:val="11"/>
        </w:numPr>
        <w:spacing w:before="60"/>
        <w:rPr>
          <w:lang w:eastAsia="en-GB"/>
        </w:rPr>
      </w:pPr>
      <w:r w:rsidRPr="00400635">
        <w:rPr>
          <w:lang w:val="en-AU" w:eastAsia="en-GB"/>
        </w:rPr>
        <w:lastRenderedPageBreak/>
        <w:t>Section 4.5 Access to the Area has been updated to reflect restrictions applying to</w:t>
      </w:r>
      <w:r w:rsidRPr="00400635">
        <w:rPr>
          <w:lang w:eastAsia="en-GB"/>
        </w:rPr>
        <w:t xml:space="preserve"> land, sea, </w:t>
      </w:r>
      <w:proofErr w:type="gramStart"/>
      <w:r w:rsidRPr="00400635">
        <w:rPr>
          <w:lang w:eastAsia="en-GB"/>
        </w:rPr>
        <w:t>air</w:t>
      </w:r>
      <w:proofErr w:type="gramEnd"/>
      <w:r w:rsidRPr="00400635">
        <w:rPr>
          <w:lang w:eastAsia="en-GB"/>
        </w:rPr>
        <w:t xml:space="preserve"> and pedestrian access to Antarctic Specially Protected Area (ASPA) No. 174 Stones, which is located entirely within the ASMA.  </w:t>
      </w:r>
    </w:p>
    <w:p w14:paraId="63F1B1FF" w14:textId="77777777" w:rsidR="008E559A" w:rsidRPr="00400635" w:rsidRDefault="008E559A" w:rsidP="008E559A">
      <w:pPr>
        <w:numPr>
          <w:ilvl w:val="0"/>
          <w:numId w:val="11"/>
        </w:numPr>
        <w:spacing w:before="60"/>
        <w:rPr>
          <w:lang w:eastAsia="en-GB"/>
        </w:rPr>
      </w:pPr>
      <w:r w:rsidRPr="00400635">
        <w:rPr>
          <w:lang w:eastAsia="en-GB"/>
        </w:rPr>
        <w:t xml:space="preserve">The description of the </w:t>
      </w:r>
      <w:proofErr w:type="spellStart"/>
      <w:r w:rsidRPr="00400635">
        <w:rPr>
          <w:lang w:eastAsia="en-GB"/>
        </w:rPr>
        <w:t>Larsemann</w:t>
      </w:r>
      <w:proofErr w:type="spellEnd"/>
      <w:r w:rsidRPr="00400635">
        <w:rPr>
          <w:lang w:eastAsia="en-GB"/>
        </w:rPr>
        <w:t xml:space="preserve"> Hills lake and stream biota has been revised (Section 4.3.4).</w:t>
      </w:r>
    </w:p>
    <w:p w14:paraId="4A467407" w14:textId="77777777" w:rsidR="008E559A" w:rsidRPr="00400635" w:rsidRDefault="008E559A" w:rsidP="008E559A">
      <w:pPr>
        <w:numPr>
          <w:ilvl w:val="0"/>
          <w:numId w:val="11"/>
        </w:numPr>
        <w:spacing w:before="60"/>
        <w:rPr>
          <w:lang w:eastAsia="en-GB"/>
        </w:rPr>
      </w:pPr>
      <w:r w:rsidRPr="00400635">
        <w:rPr>
          <w:lang w:eastAsia="en-GB"/>
        </w:rPr>
        <w:t>The descriptions of Progress station (Section 4.6.2), the compacted snow runway site (Section 4.6.5), and minor infrastructure in the ASMA (Section 4.6.6) have been updated.</w:t>
      </w:r>
    </w:p>
    <w:p w14:paraId="0BDE1C12" w14:textId="77777777" w:rsidR="008E559A" w:rsidRPr="00400635" w:rsidRDefault="008E559A" w:rsidP="008E559A">
      <w:pPr>
        <w:numPr>
          <w:ilvl w:val="0"/>
          <w:numId w:val="11"/>
        </w:numPr>
        <w:spacing w:before="60"/>
        <w:rPr>
          <w:lang w:eastAsia="en-GB"/>
        </w:rPr>
      </w:pPr>
      <w:r w:rsidRPr="00400635">
        <w:rPr>
          <w:lang w:eastAsia="en-GB"/>
        </w:rPr>
        <w:t xml:space="preserve">Information on a new Historic Site and Monument (#92) within the ASMA has been added (Sections 4.6.6 and 4.7). </w:t>
      </w:r>
    </w:p>
    <w:p w14:paraId="62E784C0" w14:textId="77777777" w:rsidR="008E559A" w:rsidRPr="00400635" w:rsidRDefault="008E559A" w:rsidP="008E559A">
      <w:pPr>
        <w:numPr>
          <w:ilvl w:val="0"/>
          <w:numId w:val="11"/>
        </w:numPr>
        <w:spacing w:before="60"/>
        <w:rPr>
          <w:lang w:eastAsia="en-GB"/>
        </w:rPr>
      </w:pPr>
      <w:r w:rsidRPr="00400635">
        <w:rPr>
          <w:lang w:eastAsia="en-GB"/>
        </w:rPr>
        <w:t>The list of supporting references has been updated (Appendix 3).</w:t>
      </w:r>
    </w:p>
    <w:p w14:paraId="66DCAC03" w14:textId="77777777" w:rsidR="008E559A" w:rsidRPr="00400635" w:rsidRDefault="008E559A" w:rsidP="008E559A">
      <w:pPr>
        <w:numPr>
          <w:ilvl w:val="0"/>
          <w:numId w:val="11"/>
        </w:numPr>
        <w:spacing w:before="60"/>
        <w:rPr>
          <w:lang w:eastAsia="en-GB"/>
        </w:rPr>
      </w:pPr>
      <w:r w:rsidRPr="00400635">
        <w:rPr>
          <w:lang w:eastAsia="en-GB"/>
        </w:rPr>
        <w:t>The map of Zhongshan has been updated (Map D), and a map of Bharati has been added (Map F).</w:t>
      </w:r>
    </w:p>
    <w:p w14:paraId="3ABFEF5E" w14:textId="77777777" w:rsidR="008E559A" w:rsidRPr="00400635" w:rsidRDefault="008E559A" w:rsidP="008E559A">
      <w:pPr>
        <w:numPr>
          <w:ilvl w:val="0"/>
          <w:numId w:val="11"/>
        </w:numPr>
        <w:spacing w:before="60" w:after="120"/>
        <w:ind w:left="357" w:hanging="357"/>
        <w:rPr>
          <w:lang w:eastAsia="en-GB"/>
        </w:rPr>
      </w:pPr>
      <w:r w:rsidRPr="00400635">
        <w:rPr>
          <w:lang w:eastAsia="en-GB"/>
        </w:rPr>
        <w:t>Minor editorial changes have been made throughout the document.</w:t>
      </w:r>
    </w:p>
    <w:p w14:paraId="704EC1C9" w14:textId="77777777" w:rsidR="008E559A" w:rsidRPr="00400635" w:rsidRDefault="008E559A" w:rsidP="008E559A">
      <w:pPr>
        <w:spacing w:before="60"/>
        <w:rPr>
          <w:lang w:eastAsia="en-GB"/>
        </w:rPr>
      </w:pPr>
      <w:r w:rsidRPr="00400635">
        <w:rPr>
          <w:lang w:eastAsia="en-GB"/>
        </w:rPr>
        <w:t>No changes have been made to the boundary of the ASMA or the management provisions.</w:t>
      </w:r>
    </w:p>
    <w:p w14:paraId="186D37A7" w14:textId="77777777" w:rsidR="008E559A" w:rsidRPr="00400635" w:rsidRDefault="008E559A" w:rsidP="008E559A">
      <w:pPr>
        <w:spacing w:before="480" w:after="120"/>
        <w:jc w:val="both"/>
        <w:rPr>
          <w:rFonts w:ascii="Arial" w:hAnsi="Arial"/>
          <w:b/>
          <w:i/>
          <w:sz w:val="24"/>
          <w:szCs w:val="22"/>
          <w:lang w:eastAsia="en-GB"/>
        </w:rPr>
      </w:pPr>
      <w:r w:rsidRPr="00400635">
        <w:rPr>
          <w:rFonts w:ascii="Arial" w:hAnsi="Arial"/>
          <w:b/>
          <w:i/>
          <w:sz w:val="24"/>
          <w:szCs w:val="22"/>
          <w:lang w:eastAsia="en-GB"/>
        </w:rPr>
        <w:t>Review of the management plan for ASPA No. 174</w:t>
      </w:r>
    </w:p>
    <w:p w14:paraId="30FCD06B" w14:textId="77777777" w:rsidR="008E559A" w:rsidRDefault="008E559A" w:rsidP="008E559A">
      <w:pPr>
        <w:spacing w:before="120" w:after="120"/>
        <w:rPr>
          <w:lang w:eastAsia="en-GB"/>
        </w:rPr>
      </w:pPr>
      <w:r w:rsidRPr="00400635">
        <w:rPr>
          <w:lang w:eastAsia="en-GB"/>
        </w:rPr>
        <w:t xml:space="preserve">A desktop review was undertaken of the management plan for ASPA 174. Only </w:t>
      </w:r>
      <w:r>
        <w:rPr>
          <w:lang w:eastAsia="en-GB"/>
        </w:rPr>
        <w:t xml:space="preserve">three </w:t>
      </w:r>
      <w:r w:rsidRPr="00400635">
        <w:rPr>
          <w:lang w:eastAsia="en-GB"/>
        </w:rPr>
        <w:t>visits have been made to the Area since the management plan came into effect in 2014 (by personnel from the Geological Survey of India and the Botanical Survey of India in the 2017-18 and 2018-19 seasons</w:t>
      </w:r>
      <w:r>
        <w:rPr>
          <w:lang w:eastAsia="en-GB"/>
        </w:rPr>
        <w:t xml:space="preserve">, and from the </w:t>
      </w:r>
      <w:r w:rsidRPr="00D83EC5">
        <w:rPr>
          <w:lang w:eastAsia="en-GB"/>
        </w:rPr>
        <w:t xml:space="preserve">V.V. </w:t>
      </w:r>
      <w:proofErr w:type="spellStart"/>
      <w:r w:rsidRPr="00D83EC5">
        <w:rPr>
          <w:lang w:eastAsia="en-GB"/>
        </w:rPr>
        <w:t>Dokuchaev</w:t>
      </w:r>
      <w:proofErr w:type="spellEnd"/>
      <w:r w:rsidRPr="00D83EC5">
        <w:rPr>
          <w:lang w:eastAsia="en-GB"/>
        </w:rPr>
        <w:t xml:space="preserve"> Soil Science Institute</w:t>
      </w:r>
      <w:r w:rsidRPr="00D83EC5">
        <w:rPr>
          <w:lang w:val="en-US" w:eastAsia="en-GB"/>
        </w:rPr>
        <w:t xml:space="preserve"> and</w:t>
      </w:r>
      <w:r w:rsidRPr="00D83EC5">
        <w:rPr>
          <w:lang w:eastAsia="en-GB"/>
        </w:rPr>
        <w:t xml:space="preserve"> Komarov Botanical Institute of the Russian Academy of Sciences in the 2018-19 season</w:t>
      </w:r>
      <w:r w:rsidRPr="00D83EC5">
        <w:rPr>
          <w:lang w:val="en-US" w:eastAsia="en-GB"/>
        </w:rPr>
        <w:t>)</w:t>
      </w:r>
      <w:r w:rsidRPr="00D83EC5">
        <w:rPr>
          <w:lang w:eastAsia="en-GB"/>
        </w:rPr>
        <w:t xml:space="preserve">. </w:t>
      </w:r>
      <w:r w:rsidRPr="00400635">
        <w:rPr>
          <w:lang w:eastAsia="en-GB"/>
        </w:rPr>
        <w:t xml:space="preserve"> The review concluded that the current management plan provisions continue to be appropriate to provide for the protection of the Area’s values, and that no changes are required. </w:t>
      </w:r>
    </w:p>
    <w:p w14:paraId="6DD46F09" w14:textId="77777777" w:rsidR="008E559A" w:rsidRPr="00400635" w:rsidRDefault="008E559A" w:rsidP="008E559A">
      <w:pPr>
        <w:spacing w:before="120" w:after="120"/>
        <w:rPr>
          <w:lang w:eastAsia="en-GB"/>
        </w:rPr>
      </w:pPr>
    </w:p>
    <w:p w14:paraId="09B4A821" w14:textId="77777777" w:rsidR="008E559A" w:rsidRPr="00400635" w:rsidRDefault="008E559A" w:rsidP="008E559A">
      <w:pPr>
        <w:spacing w:before="480" w:after="120"/>
        <w:jc w:val="both"/>
        <w:rPr>
          <w:rFonts w:ascii="Arial" w:hAnsi="Arial"/>
          <w:b/>
          <w:i/>
          <w:sz w:val="24"/>
          <w:szCs w:val="22"/>
          <w:lang w:eastAsia="en-GB"/>
        </w:rPr>
      </w:pPr>
      <w:r w:rsidRPr="00400635">
        <w:rPr>
          <w:rFonts w:ascii="Arial" w:hAnsi="Arial"/>
          <w:b/>
          <w:i/>
          <w:sz w:val="24"/>
          <w:szCs w:val="22"/>
          <w:lang w:eastAsia="en-GB"/>
        </w:rPr>
        <w:t>Recommendations</w:t>
      </w:r>
    </w:p>
    <w:p w14:paraId="72A2B734" w14:textId="77777777" w:rsidR="008E559A" w:rsidRPr="00400635" w:rsidRDefault="008E559A" w:rsidP="008E559A">
      <w:pPr>
        <w:spacing w:before="120" w:after="120"/>
        <w:rPr>
          <w:lang w:eastAsia="en-GB"/>
        </w:rPr>
      </w:pPr>
      <w:r w:rsidRPr="00400635">
        <w:rPr>
          <w:lang w:eastAsia="en-GB"/>
        </w:rPr>
        <w:t xml:space="preserve">Australia, China, </w:t>
      </w:r>
      <w:proofErr w:type="gramStart"/>
      <w:r w:rsidRPr="00400635">
        <w:rPr>
          <w:lang w:eastAsia="en-GB"/>
        </w:rPr>
        <w:t>India</w:t>
      </w:r>
      <w:proofErr w:type="gramEnd"/>
      <w:r w:rsidRPr="00400635">
        <w:rPr>
          <w:lang w:eastAsia="en-GB"/>
        </w:rPr>
        <w:t xml:space="preserve"> and the Russian Federation recommend that:</w:t>
      </w:r>
    </w:p>
    <w:p w14:paraId="675B2F16" w14:textId="77777777" w:rsidR="008E559A" w:rsidRPr="00400635" w:rsidRDefault="008E559A" w:rsidP="008E559A">
      <w:pPr>
        <w:numPr>
          <w:ilvl w:val="0"/>
          <w:numId w:val="11"/>
        </w:numPr>
        <w:spacing w:before="60"/>
        <w:rPr>
          <w:lang w:eastAsia="en-GB"/>
        </w:rPr>
      </w:pPr>
      <w:r w:rsidRPr="00400635">
        <w:rPr>
          <w:lang w:eastAsia="en-GB"/>
        </w:rPr>
        <w:t xml:space="preserve">the CEP approves the attached revised management plan for ASMA No. 6 </w:t>
      </w:r>
      <w:proofErr w:type="spellStart"/>
      <w:r w:rsidRPr="00400635">
        <w:rPr>
          <w:lang w:eastAsia="en-GB"/>
        </w:rPr>
        <w:t>Larsemann</w:t>
      </w:r>
      <w:proofErr w:type="spellEnd"/>
      <w:r w:rsidRPr="00400635">
        <w:rPr>
          <w:lang w:eastAsia="en-GB"/>
        </w:rPr>
        <w:t xml:space="preserve"> Hills (</w:t>
      </w:r>
      <w:r w:rsidRPr="00400635">
        <w:rPr>
          <w:u w:val="single"/>
          <w:lang w:eastAsia="en-GB"/>
        </w:rPr>
        <w:t>Attachment A</w:t>
      </w:r>
      <w:proofErr w:type="gramStart"/>
      <w:r w:rsidRPr="00400635">
        <w:rPr>
          <w:lang w:eastAsia="en-GB"/>
        </w:rPr>
        <w:t>);</w:t>
      </w:r>
      <w:proofErr w:type="gramEnd"/>
      <w:r w:rsidRPr="00400635">
        <w:rPr>
          <w:lang w:eastAsia="en-GB"/>
        </w:rPr>
        <w:t xml:space="preserve"> </w:t>
      </w:r>
    </w:p>
    <w:p w14:paraId="302A6018" w14:textId="77777777" w:rsidR="008E559A" w:rsidRPr="00400635" w:rsidRDefault="008E559A" w:rsidP="008E559A">
      <w:pPr>
        <w:numPr>
          <w:ilvl w:val="0"/>
          <w:numId w:val="11"/>
        </w:numPr>
        <w:spacing w:before="60"/>
        <w:rPr>
          <w:lang w:eastAsia="en-GB"/>
        </w:rPr>
      </w:pPr>
      <w:r w:rsidRPr="00400635">
        <w:rPr>
          <w:lang w:eastAsia="en-GB"/>
        </w:rPr>
        <w:t xml:space="preserve">the CEP endorses the conclusion that no changes are required to the management plan for ASPA No. 174 </w:t>
      </w:r>
      <w:proofErr w:type="spellStart"/>
      <w:proofErr w:type="gramStart"/>
      <w:r w:rsidRPr="00400635">
        <w:rPr>
          <w:lang w:eastAsia="en-GB"/>
        </w:rPr>
        <w:t>Stornes</w:t>
      </w:r>
      <w:proofErr w:type="spellEnd"/>
      <w:r w:rsidRPr="00400635">
        <w:rPr>
          <w:lang w:eastAsia="en-GB"/>
        </w:rPr>
        <w:t>;</w:t>
      </w:r>
      <w:proofErr w:type="gramEnd"/>
    </w:p>
    <w:p w14:paraId="64B55148" w14:textId="77777777" w:rsidR="008E559A" w:rsidRPr="00400635" w:rsidRDefault="008E559A" w:rsidP="008E559A">
      <w:pPr>
        <w:numPr>
          <w:ilvl w:val="0"/>
          <w:numId w:val="11"/>
        </w:numPr>
        <w:spacing w:before="60"/>
        <w:rPr>
          <w:lang w:eastAsia="en-GB"/>
        </w:rPr>
      </w:pPr>
      <w:r w:rsidRPr="00400635">
        <w:rPr>
          <w:lang w:eastAsia="en-GB"/>
        </w:rPr>
        <w:t>a further review of the management plans</w:t>
      </w:r>
      <w:r>
        <w:rPr>
          <w:lang w:eastAsia="en-GB"/>
        </w:rPr>
        <w:t xml:space="preserve"> is undertaken no later than 2026</w:t>
      </w:r>
      <w:r w:rsidRPr="00400635">
        <w:rPr>
          <w:lang w:eastAsia="en-GB"/>
        </w:rPr>
        <w:t>.</w:t>
      </w:r>
      <w:r w:rsidRPr="00400635">
        <w:rPr>
          <w:lang w:eastAsia="en-GB"/>
        </w:rPr>
        <w:softHyphen/>
      </w:r>
      <w:r w:rsidRPr="00400635">
        <w:rPr>
          <w:lang w:eastAsia="en-GB"/>
        </w:rPr>
        <w:softHyphen/>
      </w:r>
    </w:p>
    <w:p w14:paraId="1AFC2BD2" w14:textId="77777777" w:rsidR="008E559A" w:rsidRPr="00400635" w:rsidRDefault="008E559A" w:rsidP="008E559A">
      <w:pPr>
        <w:spacing w:before="120" w:after="120"/>
        <w:rPr>
          <w:lang w:eastAsia="en-GB"/>
        </w:rPr>
      </w:pPr>
      <w:r w:rsidRPr="00400635">
        <w:rPr>
          <w:lang w:eastAsia="en-GB"/>
        </w:rPr>
        <w:br w:type="page"/>
      </w:r>
    </w:p>
    <w:tbl>
      <w:tblPr>
        <w:tblW w:w="988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217"/>
        <w:gridCol w:w="5668"/>
      </w:tblGrid>
      <w:tr w:rsidR="008E559A" w:rsidRPr="00400635" w14:paraId="7E033CF1" w14:textId="77777777" w:rsidTr="001D22D3">
        <w:trPr>
          <w:cantSplit/>
        </w:trPr>
        <w:tc>
          <w:tcPr>
            <w:tcW w:w="9885" w:type="dxa"/>
            <w:gridSpan w:val="2"/>
            <w:hideMark/>
          </w:tcPr>
          <w:p w14:paraId="5729EA02" w14:textId="77777777" w:rsidR="008E559A" w:rsidRPr="00400635" w:rsidRDefault="008E559A" w:rsidP="001D22D3">
            <w:pPr>
              <w:spacing w:before="360" w:after="360"/>
              <w:jc w:val="center"/>
              <w:rPr>
                <w:rFonts w:ascii="Arial" w:hAnsi="Arial"/>
                <w:b/>
                <w:snapToGrid w:val="0"/>
                <w:sz w:val="32"/>
                <w:highlight w:val="yellow"/>
                <w:lang w:eastAsia="en-GB"/>
              </w:rPr>
            </w:pPr>
            <w:r w:rsidRPr="00400635">
              <w:rPr>
                <w:rFonts w:ascii="Arial" w:hAnsi="Arial"/>
                <w:bCs/>
                <w:sz w:val="32"/>
                <w:szCs w:val="32"/>
                <w:lang w:eastAsia="en-GB"/>
              </w:rPr>
              <w:lastRenderedPageBreak/>
              <w:br w:type="page"/>
            </w:r>
            <w:r w:rsidRPr="00400635">
              <w:rPr>
                <w:rFonts w:ascii="Arial" w:hAnsi="Arial"/>
                <w:b/>
                <w:snapToGrid w:val="0"/>
                <w:sz w:val="32"/>
                <w:lang w:eastAsia="en-GB"/>
              </w:rPr>
              <w:t xml:space="preserve">ASMA No. 6 </w:t>
            </w:r>
            <w:proofErr w:type="spellStart"/>
            <w:r w:rsidRPr="00400635">
              <w:rPr>
                <w:rFonts w:ascii="Arial" w:hAnsi="Arial"/>
                <w:b/>
                <w:snapToGrid w:val="0"/>
                <w:sz w:val="32"/>
                <w:lang w:eastAsia="en-GB"/>
              </w:rPr>
              <w:t>Larsemann</w:t>
            </w:r>
            <w:proofErr w:type="spellEnd"/>
            <w:r w:rsidRPr="00400635">
              <w:rPr>
                <w:rFonts w:ascii="Arial" w:hAnsi="Arial"/>
                <w:b/>
                <w:snapToGrid w:val="0"/>
                <w:sz w:val="32"/>
                <w:lang w:eastAsia="en-GB"/>
              </w:rPr>
              <w:t xml:space="preserve"> Hills</w:t>
            </w:r>
            <w:r w:rsidRPr="00400635">
              <w:rPr>
                <w:rFonts w:ascii="Arial" w:hAnsi="Arial"/>
                <w:b/>
                <w:sz w:val="32"/>
                <w:lang w:val="en-AU" w:eastAsia="en-GB"/>
              </w:rPr>
              <w:t>, East Antarctica</w:t>
            </w:r>
          </w:p>
        </w:tc>
      </w:tr>
      <w:tr w:rsidR="008E559A" w:rsidRPr="00400635" w14:paraId="008C4555" w14:textId="77777777" w:rsidTr="001D22D3">
        <w:tc>
          <w:tcPr>
            <w:tcW w:w="4217" w:type="dxa"/>
            <w:hideMark/>
          </w:tcPr>
          <w:p w14:paraId="5D45F12B" w14:textId="77777777" w:rsidR="008E559A" w:rsidRPr="00400635" w:rsidRDefault="008E559A" w:rsidP="001D22D3">
            <w:pPr>
              <w:spacing w:before="120" w:after="120"/>
              <w:rPr>
                <w:b/>
                <w:bCs/>
                <w:snapToGrid w:val="0"/>
                <w:lang w:eastAsia="en-GB"/>
              </w:rPr>
            </w:pPr>
            <w:r w:rsidRPr="00400635">
              <w:rPr>
                <w:b/>
                <w:bCs/>
                <w:snapToGrid w:val="0"/>
                <w:lang w:eastAsia="en-GB"/>
              </w:rPr>
              <w:t>1. Is a new ASPA proposed?</w:t>
            </w:r>
          </w:p>
        </w:tc>
        <w:tc>
          <w:tcPr>
            <w:tcW w:w="5668" w:type="dxa"/>
            <w:hideMark/>
          </w:tcPr>
          <w:p w14:paraId="5F41F621" w14:textId="77777777" w:rsidR="008E559A" w:rsidRPr="00400635" w:rsidRDefault="008E559A" w:rsidP="001D22D3">
            <w:pPr>
              <w:spacing w:before="120" w:after="120"/>
              <w:rPr>
                <w:snapToGrid w:val="0"/>
                <w:lang w:eastAsia="en-GB"/>
              </w:rPr>
            </w:pPr>
            <w:r w:rsidRPr="00400635">
              <w:rPr>
                <w:snapToGrid w:val="0"/>
                <w:lang w:eastAsia="en-GB"/>
              </w:rPr>
              <w:t>No</w:t>
            </w:r>
          </w:p>
        </w:tc>
      </w:tr>
      <w:tr w:rsidR="008E559A" w:rsidRPr="00400635" w14:paraId="7DBAB2A7" w14:textId="77777777" w:rsidTr="001D22D3">
        <w:tc>
          <w:tcPr>
            <w:tcW w:w="4217" w:type="dxa"/>
            <w:hideMark/>
          </w:tcPr>
          <w:p w14:paraId="204C6C3A" w14:textId="77777777" w:rsidR="008E559A" w:rsidRPr="00400635" w:rsidRDefault="008E559A" w:rsidP="001D22D3">
            <w:pPr>
              <w:spacing w:before="120" w:after="120"/>
              <w:rPr>
                <w:b/>
                <w:bCs/>
                <w:snapToGrid w:val="0"/>
                <w:lang w:eastAsia="en-GB"/>
              </w:rPr>
            </w:pPr>
            <w:r w:rsidRPr="00400635">
              <w:rPr>
                <w:b/>
                <w:bCs/>
                <w:snapToGrid w:val="0"/>
                <w:lang w:eastAsia="en-GB"/>
              </w:rPr>
              <w:t>2. Is a new ASMA proposed?</w:t>
            </w:r>
          </w:p>
        </w:tc>
        <w:tc>
          <w:tcPr>
            <w:tcW w:w="5668" w:type="dxa"/>
            <w:hideMark/>
          </w:tcPr>
          <w:p w14:paraId="2EE0B634" w14:textId="77777777" w:rsidR="008E559A" w:rsidRPr="00400635" w:rsidRDefault="008E559A" w:rsidP="001D22D3">
            <w:pPr>
              <w:spacing w:before="120" w:after="120"/>
              <w:rPr>
                <w:snapToGrid w:val="0"/>
                <w:lang w:eastAsia="en-GB"/>
              </w:rPr>
            </w:pPr>
            <w:r w:rsidRPr="00400635">
              <w:rPr>
                <w:snapToGrid w:val="0"/>
                <w:lang w:eastAsia="en-GB"/>
              </w:rPr>
              <w:t>No</w:t>
            </w:r>
          </w:p>
        </w:tc>
      </w:tr>
      <w:tr w:rsidR="008E559A" w:rsidRPr="00400635" w14:paraId="73A65DC4" w14:textId="77777777" w:rsidTr="001D22D3">
        <w:tc>
          <w:tcPr>
            <w:tcW w:w="4217" w:type="dxa"/>
            <w:hideMark/>
          </w:tcPr>
          <w:p w14:paraId="7E64BD58" w14:textId="77777777" w:rsidR="008E559A" w:rsidRPr="00400635" w:rsidRDefault="008E559A" w:rsidP="001D22D3">
            <w:pPr>
              <w:spacing w:before="120" w:after="120"/>
              <w:rPr>
                <w:b/>
                <w:bCs/>
                <w:snapToGrid w:val="0"/>
                <w:lang w:eastAsia="en-GB"/>
              </w:rPr>
            </w:pPr>
            <w:r w:rsidRPr="00400635">
              <w:rPr>
                <w:b/>
                <w:bCs/>
                <w:snapToGrid w:val="0"/>
                <w:lang w:eastAsia="en-GB"/>
              </w:rPr>
              <w:t>3. Does the proposal relate to an existing ASPA or ASMA?</w:t>
            </w:r>
          </w:p>
        </w:tc>
        <w:tc>
          <w:tcPr>
            <w:tcW w:w="5668" w:type="dxa"/>
            <w:hideMark/>
          </w:tcPr>
          <w:p w14:paraId="79C0C72F" w14:textId="77777777" w:rsidR="008E559A" w:rsidRPr="00400635" w:rsidRDefault="008E559A" w:rsidP="001D22D3">
            <w:pPr>
              <w:spacing w:before="120" w:after="120"/>
              <w:rPr>
                <w:snapToGrid w:val="0"/>
                <w:lang w:eastAsia="en-GB"/>
              </w:rPr>
            </w:pPr>
            <w:r w:rsidRPr="00400635">
              <w:rPr>
                <w:snapToGrid w:val="0"/>
                <w:lang w:eastAsia="en-GB"/>
              </w:rPr>
              <w:t>Yes</w:t>
            </w:r>
          </w:p>
        </w:tc>
      </w:tr>
      <w:tr w:rsidR="008E559A" w:rsidRPr="00400635" w14:paraId="34720107" w14:textId="77777777" w:rsidTr="001D22D3">
        <w:tc>
          <w:tcPr>
            <w:tcW w:w="4217" w:type="dxa"/>
            <w:hideMark/>
          </w:tcPr>
          <w:p w14:paraId="5068269B" w14:textId="77777777" w:rsidR="008E559A" w:rsidRPr="00400635" w:rsidRDefault="008E559A" w:rsidP="001D22D3">
            <w:pPr>
              <w:spacing w:before="120" w:after="120"/>
              <w:jc w:val="right"/>
              <w:rPr>
                <w:i/>
                <w:iCs/>
                <w:lang w:eastAsia="en-GB"/>
              </w:rPr>
            </w:pPr>
            <w:r w:rsidRPr="00400635">
              <w:rPr>
                <w:i/>
                <w:iCs/>
                <w:lang w:eastAsia="en-GB"/>
              </w:rPr>
              <w:t>First designation:</w:t>
            </w:r>
          </w:p>
        </w:tc>
        <w:tc>
          <w:tcPr>
            <w:tcW w:w="5668" w:type="dxa"/>
            <w:hideMark/>
          </w:tcPr>
          <w:p w14:paraId="469DF2A2" w14:textId="77777777" w:rsidR="008E559A" w:rsidRPr="00400635" w:rsidRDefault="008E559A" w:rsidP="001D22D3">
            <w:pPr>
              <w:spacing w:before="120" w:after="120"/>
              <w:rPr>
                <w:snapToGrid w:val="0"/>
                <w:lang w:eastAsia="en-GB"/>
              </w:rPr>
            </w:pPr>
            <w:r w:rsidRPr="00400635">
              <w:rPr>
                <w:snapToGrid w:val="0"/>
                <w:lang w:eastAsia="en-GB"/>
              </w:rPr>
              <w:t>Measure 2 (2007)</w:t>
            </w:r>
          </w:p>
        </w:tc>
      </w:tr>
      <w:tr w:rsidR="008E559A" w:rsidRPr="00400635" w14:paraId="67304EE6" w14:textId="77777777" w:rsidTr="001D22D3">
        <w:tc>
          <w:tcPr>
            <w:tcW w:w="4217" w:type="dxa"/>
            <w:hideMark/>
          </w:tcPr>
          <w:p w14:paraId="149E2AA9" w14:textId="77777777" w:rsidR="008E559A" w:rsidRPr="00400635" w:rsidRDefault="008E559A" w:rsidP="001D22D3">
            <w:pPr>
              <w:spacing w:before="120" w:after="120"/>
              <w:jc w:val="right"/>
              <w:rPr>
                <w:i/>
                <w:iCs/>
                <w:lang w:eastAsia="en-GB"/>
              </w:rPr>
            </w:pPr>
            <w:r w:rsidRPr="00400635">
              <w:rPr>
                <w:i/>
                <w:iCs/>
                <w:lang w:eastAsia="en-GB"/>
              </w:rPr>
              <w:t xml:space="preserve">First adoption of management plan: </w:t>
            </w:r>
          </w:p>
        </w:tc>
        <w:tc>
          <w:tcPr>
            <w:tcW w:w="5668" w:type="dxa"/>
            <w:hideMark/>
          </w:tcPr>
          <w:p w14:paraId="12D742F4" w14:textId="77777777" w:rsidR="008E559A" w:rsidRPr="00400635" w:rsidRDefault="008E559A" w:rsidP="001D22D3">
            <w:pPr>
              <w:spacing w:before="120" w:after="120"/>
              <w:rPr>
                <w:snapToGrid w:val="0"/>
                <w:lang w:eastAsia="en-GB"/>
              </w:rPr>
            </w:pPr>
            <w:r w:rsidRPr="00400635">
              <w:rPr>
                <w:snapToGrid w:val="0"/>
                <w:lang w:eastAsia="en-GB"/>
              </w:rPr>
              <w:t>Measure 2 (2007)</w:t>
            </w:r>
          </w:p>
        </w:tc>
      </w:tr>
      <w:tr w:rsidR="008E559A" w:rsidRPr="00400635" w14:paraId="08260F9C" w14:textId="77777777" w:rsidTr="001D22D3">
        <w:tc>
          <w:tcPr>
            <w:tcW w:w="4217" w:type="dxa"/>
            <w:hideMark/>
          </w:tcPr>
          <w:p w14:paraId="434FB99A" w14:textId="77777777" w:rsidR="008E559A" w:rsidRPr="00400635" w:rsidRDefault="008E559A" w:rsidP="001D22D3">
            <w:pPr>
              <w:spacing w:before="120" w:after="120"/>
              <w:jc w:val="right"/>
              <w:rPr>
                <w:i/>
                <w:iCs/>
                <w:lang w:eastAsia="en-GB"/>
              </w:rPr>
            </w:pPr>
            <w:r w:rsidRPr="00400635">
              <w:rPr>
                <w:i/>
                <w:iCs/>
                <w:lang w:eastAsia="en-GB"/>
              </w:rPr>
              <w:t>Any revisions to management plan:</w:t>
            </w:r>
          </w:p>
        </w:tc>
        <w:tc>
          <w:tcPr>
            <w:tcW w:w="5668" w:type="dxa"/>
            <w:hideMark/>
          </w:tcPr>
          <w:p w14:paraId="64901FEF" w14:textId="77777777" w:rsidR="008E559A" w:rsidRPr="00400635" w:rsidRDefault="008E559A" w:rsidP="001D22D3">
            <w:pPr>
              <w:spacing w:before="120" w:after="120"/>
              <w:rPr>
                <w:snapToGrid w:val="0"/>
                <w:lang w:eastAsia="en-GB"/>
              </w:rPr>
            </w:pPr>
            <w:r w:rsidRPr="00400635">
              <w:rPr>
                <w:snapToGrid w:val="0"/>
                <w:lang w:eastAsia="en-GB"/>
              </w:rPr>
              <w:t xml:space="preserve">First revision: 2014. </w:t>
            </w:r>
          </w:p>
        </w:tc>
      </w:tr>
      <w:tr w:rsidR="008E559A" w:rsidRPr="00400635" w14:paraId="51BF9BC6" w14:textId="77777777" w:rsidTr="001D22D3">
        <w:tc>
          <w:tcPr>
            <w:tcW w:w="4217" w:type="dxa"/>
            <w:hideMark/>
          </w:tcPr>
          <w:p w14:paraId="373189D9" w14:textId="77777777" w:rsidR="008E559A" w:rsidRPr="00400635" w:rsidRDefault="008E559A" w:rsidP="001D22D3">
            <w:pPr>
              <w:spacing w:before="120" w:after="120"/>
              <w:jc w:val="right"/>
              <w:rPr>
                <w:i/>
                <w:iCs/>
                <w:lang w:eastAsia="en-GB"/>
              </w:rPr>
            </w:pPr>
            <w:r w:rsidRPr="00400635">
              <w:rPr>
                <w:i/>
                <w:iCs/>
                <w:lang w:eastAsia="en-GB"/>
              </w:rPr>
              <w:t xml:space="preserve">Current management plan: </w:t>
            </w:r>
          </w:p>
        </w:tc>
        <w:tc>
          <w:tcPr>
            <w:tcW w:w="5668" w:type="dxa"/>
            <w:hideMark/>
          </w:tcPr>
          <w:p w14:paraId="028209D3" w14:textId="77777777" w:rsidR="008E559A" w:rsidRPr="00400635" w:rsidRDefault="008E559A" w:rsidP="001D22D3">
            <w:pPr>
              <w:spacing w:before="120" w:after="120"/>
              <w:rPr>
                <w:snapToGrid w:val="0"/>
                <w:lang w:eastAsia="en-GB"/>
              </w:rPr>
            </w:pPr>
            <w:r w:rsidRPr="00400635">
              <w:rPr>
                <w:snapToGrid w:val="0"/>
                <w:lang w:eastAsia="en-GB"/>
              </w:rPr>
              <w:t>Measure 15 (2014)</w:t>
            </w:r>
          </w:p>
        </w:tc>
      </w:tr>
      <w:tr w:rsidR="008E559A" w:rsidRPr="00400635" w14:paraId="091DDC1E" w14:textId="77777777" w:rsidTr="001D22D3">
        <w:tc>
          <w:tcPr>
            <w:tcW w:w="4217" w:type="dxa"/>
            <w:hideMark/>
          </w:tcPr>
          <w:p w14:paraId="3EC7D6A5" w14:textId="77777777" w:rsidR="008E559A" w:rsidRPr="00400635" w:rsidRDefault="008E559A" w:rsidP="001D22D3">
            <w:pPr>
              <w:spacing w:before="120" w:after="120"/>
              <w:jc w:val="right"/>
              <w:rPr>
                <w:i/>
                <w:iCs/>
                <w:lang w:eastAsia="en-GB"/>
              </w:rPr>
            </w:pPr>
            <w:r w:rsidRPr="00400635">
              <w:rPr>
                <w:i/>
                <w:iCs/>
                <w:lang w:eastAsia="en-GB"/>
              </w:rPr>
              <w:t>Any extensions of expiry dates of management plan:</w:t>
            </w:r>
          </w:p>
        </w:tc>
        <w:tc>
          <w:tcPr>
            <w:tcW w:w="5668" w:type="dxa"/>
            <w:hideMark/>
          </w:tcPr>
          <w:p w14:paraId="13824F03" w14:textId="77777777" w:rsidR="008E559A" w:rsidRPr="00400635" w:rsidRDefault="008E559A" w:rsidP="001D22D3">
            <w:pPr>
              <w:spacing w:before="120" w:after="120"/>
              <w:rPr>
                <w:snapToGrid w:val="0"/>
                <w:lang w:eastAsia="en-GB"/>
              </w:rPr>
            </w:pPr>
            <w:r w:rsidRPr="00400635">
              <w:rPr>
                <w:snapToGrid w:val="0"/>
                <w:lang w:eastAsia="en-GB"/>
              </w:rPr>
              <w:t>n/a</w:t>
            </w:r>
          </w:p>
        </w:tc>
      </w:tr>
      <w:tr w:rsidR="008E559A" w:rsidRPr="00400635" w14:paraId="64616A53" w14:textId="77777777" w:rsidTr="001D22D3">
        <w:tc>
          <w:tcPr>
            <w:tcW w:w="4217" w:type="dxa"/>
            <w:hideMark/>
          </w:tcPr>
          <w:p w14:paraId="59921CF3" w14:textId="77777777" w:rsidR="008E559A" w:rsidRPr="00400635" w:rsidRDefault="008E559A" w:rsidP="001D22D3">
            <w:pPr>
              <w:spacing w:before="120" w:after="120"/>
              <w:jc w:val="right"/>
              <w:rPr>
                <w:i/>
                <w:iCs/>
                <w:lang w:eastAsia="en-GB"/>
              </w:rPr>
            </w:pPr>
            <w:r w:rsidRPr="00400635">
              <w:rPr>
                <w:i/>
                <w:iCs/>
                <w:lang w:eastAsia="en-GB"/>
              </w:rPr>
              <w:t>Renamed and renumbered by Decision 1 (2002) as:</w:t>
            </w:r>
          </w:p>
        </w:tc>
        <w:tc>
          <w:tcPr>
            <w:tcW w:w="5668" w:type="dxa"/>
            <w:hideMark/>
          </w:tcPr>
          <w:p w14:paraId="556D7D01" w14:textId="77777777" w:rsidR="008E559A" w:rsidRPr="00400635" w:rsidRDefault="008E559A" w:rsidP="001D22D3">
            <w:pPr>
              <w:spacing w:before="360" w:after="360"/>
              <w:contextualSpacing/>
              <w:rPr>
                <w:b/>
                <w:snapToGrid w:val="0"/>
                <w:sz w:val="20"/>
                <w:szCs w:val="20"/>
              </w:rPr>
            </w:pPr>
            <w:r w:rsidRPr="00400635">
              <w:rPr>
                <w:bCs/>
                <w:snapToGrid w:val="0"/>
                <w:sz w:val="20"/>
                <w:szCs w:val="20"/>
              </w:rPr>
              <w:t xml:space="preserve">n/a </w:t>
            </w:r>
          </w:p>
        </w:tc>
      </w:tr>
      <w:tr w:rsidR="008E559A" w:rsidRPr="00400635" w14:paraId="3D999CA8" w14:textId="77777777" w:rsidTr="001D22D3">
        <w:tc>
          <w:tcPr>
            <w:tcW w:w="4217" w:type="dxa"/>
            <w:hideMark/>
          </w:tcPr>
          <w:p w14:paraId="0838DFA0" w14:textId="77777777" w:rsidR="008E559A" w:rsidRPr="00400635" w:rsidRDefault="008E559A" w:rsidP="001D22D3">
            <w:pPr>
              <w:spacing w:before="120" w:after="120"/>
              <w:jc w:val="right"/>
              <w:rPr>
                <w:i/>
                <w:iCs/>
                <w:lang w:eastAsia="en-GB"/>
              </w:rPr>
            </w:pPr>
            <w:r w:rsidRPr="00400635">
              <w:rPr>
                <w:i/>
                <w:iCs/>
                <w:lang w:eastAsia="en-GB"/>
              </w:rPr>
              <w:t>Other relevant measures:</w:t>
            </w:r>
          </w:p>
        </w:tc>
        <w:tc>
          <w:tcPr>
            <w:tcW w:w="5668" w:type="dxa"/>
            <w:hideMark/>
          </w:tcPr>
          <w:p w14:paraId="08E7BF11" w14:textId="77777777" w:rsidR="008E559A" w:rsidRPr="00400635" w:rsidRDefault="008E559A" w:rsidP="001D22D3">
            <w:pPr>
              <w:spacing w:before="120" w:after="120"/>
              <w:rPr>
                <w:snapToGrid w:val="0"/>
                <w:lang w:eastAsia="en-GB"/>
              </w:rPr>
            </w:pPr>
            <w:r w:rsidRPr="00400635">
              <w:rPr>
                <w:snapToGrid w:val="0"/>
                <w:lang w:eastAsia="en-GB"/>
              </w:rPr>
              <w:t>n/a</w:t>
            </w:r>
          </w:p>
        </w:tc>
      </w:tr>
      <w:tr w:rsidR="008E559A" w:rsidRPr="00400635" w14:paraId="482275BE" w14:textId="77777777" w:rsidTr="001D22D3">
        <w:trPr>
          <w:cantSplit/>
        </w:trPr>
        <w:tc>
          <w:tcPr>
            <w:tcW w:w="9885" w:type="dxa"/>
            <w:gridSpan w:val="2"/>
            <w:hideMark/>
          </w:tcPr>
          <w:p w14:paraId="491BBCB0" w14:textId="77777777" w:rsidR="008E559A" w:rsidRPr="00400635" w:rsidRDefault="008E559A" w:rsidP="001D22D3">
            <w:pPr>
              <w:spacing w:before="120" w:after="120"/>
              <w:rPr>
                <w:b/>
                <w:bCs/>
                <w:snapToGrid w:val="0"/>
                <w:lang w:eastAsia="en-GB"/>
              </w:rPr>
            </w:pPr>
            <w:r w:rsidRPr="00400635">
              <w:rPr>
                <w:b/>
                <w:bCs/>
                <w:snapToGrid w:val="0"/>
                <w:lang w:eastAsia="en-GB"/>
              </w:rPr>
              <w:t>4. If the proposal contains a revision of an existing management plan, please indicate the types of amendment:</w:t>
            </w:r>
          </w:p>
        </w:tc>
      </w:tr>
      <w:tr w:rsidR="008E559A" w:rsidRPr="00400635" w14:paraId="0C97452C" w14:textId="77777777" w:rsidTr="001D22D3">
        <w:tc>
          <w:tcPr>
            <w:tcW w:w="4217" w:type="dxa"/>
            <w:hideMark/>
          </w:tcPr>
          <w:p w14:paraId="6D0BD0A3" w14:textId="77777777" w:rsidR="008E559A" w:rsidRPr="00400635" w:rsidRDefault="008E559A" w:rsidP="001D22D3">
            <w:pPr>
              <w:spacing w:before="120" w:after="120"/>
              <w:jc w:val="right"/>
              <w:rPr>
                <w:i/>
                <w:iCs/>
                <w:lang w:eastAsia="en-GB"/>
              </w:rPr>
            </w:pPr>
            <w:r w:rsidRPr="00400635">
              <w:rPr>
                <w:i/>
                <w:iCs/>
                <w:lang w:eastAsia="en-GB"/>
              </w:rPr>
              <w:t>(</w:t>
            </w:r>
            <w:proofErr w:type="spellStart"/>
            <w:r w:rsidRPr="00400635">
              <w:rPr>
                <w:i/>
                <w:iCs/>
                <w:lang w:eastAsia="en-GB"/>
              </w:rPr>
              <w:t>i</w:t>
            </w:r>
            <w:proofErr w:type="spellEnd"/>
            <w:r w:rsidRPr="00400635">
              <w:rPr>
                <w:i/>
                <w:iCs/>
                <w:lang w:eastAsia="en-GB"/>
              </w:rPr>
              <w:t>) major or minor?</w:t>
            </w:r>
          </w:p>
        </w:tc>
        <w:tc>
          <w:tcPr>
            <w:tcW w:w="5668" w:type="dxa"/>
            <w:hideMark/>
          </w:tcPr>
          <w:p w14:paraId="794FFC84" w14:textId="77777777" w:rsidR="008E559A" w:rsidRPr="00400635" w:rsidRDefault="008E559A" w:rsidP="001D22D3">
            <w:pPr>
              <w:spacing w:before="120" w:after="120"/>
              <w:rPr>
                <w:snapToGrid w:val="0"/>
                <w:lang w:eastAsia="en-GB"/>
              </w:rPr>
            </w:pPr>
            <w:r w:rsidRPr="00400635">
              <w:rPr>
                <w:snapToGrid w:val="0"/>
                <w:lang w:eastAsia="en-GB"/>
              </w:rPr>
              <w:t>Minor</w:t>
            </w:r>
          </w:p>
        </w:tc>
      </w:tr>
      <w:tr w:rsidR="008E559A" w:rsidRPr="00400635" w14:paraId="6680E1B7" w14:textId="77777777" w:rsidTr="001D22D3">
        <w:tc>
          <w:tcPr>
            <w:tcW w:w="4217" w:type="dxa"/>
            <w:hideMark/>
          </w:tcPr>
          <w:p w14:paraId="22456E25" w14:textId="77777777" w:rsidR="008E559A" w:rsidRPr="00400635" w:rsidRDefault="008E559A" w:rsidP="001D22D3">
            <w:pPr>
              <w:spacing w:before="120" w:after="120"/>
              <w:jc w:val="right"/>
              <w:rPr>
                <w:i/>
                <w:iCs/>
                <w:lang w:eastAsia="en-GB"/>
              </w:rPr>
            </w:pPr>
            <w:r w:rsidRPr="00400635">
              <w:rPr>
                <w:i/>
                <w:iCs/>
                <w:lang w:eastAsia="en-GB"/>
              </w:rPr>
              <w:t>(ii) any changes to the boundaries or co-ordinates?</w:t>
            </w:r>
          </w:p>
        </w:tc>
        <w:tc>
          <w:tcPr>
            <w:tcW w:w="5668" w:type="dxa"/>
            <w:hideMark/>
          </w:tcPr>
          <w:p w14:paraId="5C9F4E04" w14:textId="77777777" w:rsidR="008E559A" w:rsidRPr="00400635" w:rsidRDefault="008E559A" w:rsidP="001D22D3">
            <w:pPr>
              <w:spacing w:before="120" w:after="120"/>
              <w:rPr>
                <w:snapToGrid w:val="0"/>
                <w:lang w:eastAsia="en-GB"/>
              </w:rPr>
            </w:pPr>
            <w:r w:rsidRPr="00400635">
              <w:rPr>
                <w:snapToGrid w:val="0"/>
                <w:lang w:eastAsia="en-GB"/>
              </w:rPr>
              <w:t>No</w:t>
            </w:r>
          </w:p>
        </w:tc>
      </w:tr>
      <w:tr w:rsidR="008E559A" w:rsidRPr="00400635" w14:paraId="13F2E43F" w14:textId="77777777" w:rsidTr="001D22D3">
        <w:tc>
          <w:tcPr>
            <w:tcW w:w="4217" w:type="dxa"/>
            <w:hideMark/>
          </w:tcPr>
          <w:p w14:paraId="796029C1" w14:textId="77777777" w:rsidR="008E559A" w:rsidRPr="00400635" w:rsidRDefault="008E559A" w:rsidP="001D22D3">
            <w:pPr>
              <w:spacing w:before="120" w:after="120"/>
              <w:jc w:val="right"/>
              <w:rPr>
                <w:i/>
                <w:iCs/>
                <w:lang w:eastAsia="en-GB"/>
              </w:rPr>
            </w:pPr>
            <w:r w:rsidRPr="00400635">
              <w:rPr>
                <w:i/>
                <w:iCs/>
                <w:lang w:eastAsia="en-GB"/>
              </w:rPr>
              <w:t>(iii) any changes to the maps? If yes, are the changes in the captions only or also in the graphics?</w:t>
            </w:r>
          </w:p>
        </w:tc>
        <w:tc>
          <w:tcPr>
            <w:tcW w:w="5668" w:type="dxa"/>
            <w:hideMark/>
          </w:tcPr>
          <w:p w14:paraId="792ED01D" w14:textId="77777777" w:rsidR="008E559A" w:rsidRPr="00400635" w:rsidRDefault="008E559A" w:rsidP="001D22D3">
            <w:pPr>
              <w:spacing w:before="120" w:after="120"/>
              <w:rPr>
                <w:snapToGrid w:val="0"/>
                <w:lang w:eastAsia="en-GB"/>
              </w:rPr>
            </w:pPr>
            <w:proofErr w:type="gramStart"/>
            <w:r w:rsidRPr="00400635">
              <w:rPr>
                <w:snapToGrid w:val="0"/>
                <w:lang w:eastAsia="en-GB"/>
              </w:rPr>
              <w:t>Yes;</w:t>
            </w:r>
            <w:proofErr w:type="gramEnd"/>
            <w:r w:rsidRPr="00400635">
              <w:rPr>
                <w:snapToGrid w:val="0"/>
                <w:lang w:eastAsia="en-GB"/>
              </w:rPr>
              <w:t xml:space="preserve"> includes changes to graphics.</w:t>
            </w:r>
          </w:p>
        </w:tc>
      </w:tr>
      <w:tr w:rsidR="008E559A" w:rsidRPr="00400635" w14:paraId="57EA0D04" w14:textId="77777777" w:rsidTr="001D22D3">
        <w:tc>
          <w:tcPr>
            <w:tcW w:w="4217" w:type="dxa"/>
            <w:hideMark/>
          </w:tcPr>
          <w:p w14:paraId="682AF42A" w14:textId="77777777" w:rsidR="008E559A" w:rsidRPr="00400635" w:rsidRDefault="008E559A" w:rsidP="001D22D3">
            <w:pPr>
              <w:spacing w:before="120" w:after="120"/>
              <w:jc w:val="right"/>
              <w:rPr>
                <w:i/>
                <w:iCs/>
                <w:lang w:eastAsia="en-GB"/>
              </w:rPr>
            </w:pPr>
            <w:r w:rsidRPr="00400635">
              <w:rPr>
                <w:i/>
                <w:iCs/>
                <w:lang w:eastAsia="en-GB"/>
              </w:rPr>
              <w:t>(iv) any change to the description of the area that is relevant to identifying its location or its boundaries?</w:t>
            </w:r>
          </w:p>
        </w:tc>
        <w:tc>
          <w:tcPr>
            <w:tcW w:w="5668" w:type="dxa"/>
            <w:hideMark/>
          </w:tcPr>
          <w:p w14:paraId="52E5E0B3" w14:textId="77777777" w:rsidR="008E559A" w:rsidRPr="00400635" w:rsidRDefault="008E559A" w:rsidP="001D22D3">
            <w:pPr>
              <w:spacing w:before="120" w:after="120"/>
              <w:rPr>
                <w:snapToGrid w:val="0"/>
                <w:lang w:eastAsia="en-GB"/>
              </w:rPr>
            </w:pPr>
            <w:r w:rsidRPr="00400635">
              <w:rPr>
                <w:snapToGrid w:val="0"/>
                <w:lang w:eastAsia="en-GB"/>
              </w:rPr>
              <w:t>No</w:t>
            </w:r>
          </w:p>
        </w:tc>
      </w:tr>
      <w:tr w:rsidR="008E559A" w:rsidRPr="00400635" w14:paraId="715F8C57" w14:textId="77777777" w:rsidTr="001D22D3">
        <w:tc>
          <w:tcPr>
            <w:tcW w:w="4217" w:type="dxa"/>
            <w:hideMark/>
          </w:tcPr>
          <w:p w14:paraId="49023210" w14:textId="77777777" w:rsidR="008E559A" w:rsidRPr="00400635" w:rsidRDefault="008E559A" w:rsidP="001D22D3">
            <w:pPr>
              <w:spacing w:before="120" w:after="120"/>
              <w:jc w:val="right"/>
              <w:rPr>
                <w:i/>
                <w:iCs/>
                <w:lang w:eastAsia="en-GB"/>
              </w:rPr>
            </w:pPr>
            <w:r w:rsidRPr="00400635">
              <w:rPr>
                <w:i/>
                <w:iCs/>
                <w:lang w:eastAsia="en-GB"/>
              </w:rPr>
              <w:t xml:space="preserve">(v) any changes that affect any other ASPA, ASMA or HSM within this area or adjacent to it? </w:t>
            </w:r>
          </w:p>
        </w:tc>
        <w:tc>
          <w:tcPr>
            <w:tcW w:w="5668" w:type="dxa"/>
            <w:hideMark/>
          </w:tcPr>
          <w:p w14:paraId="744760F5" w14:textId="77777777" w:rsidR="008E559A" w:rsidRPr="00400635" w:rsidRDefault="008E559A" w:rsidP="001D22D3">
            <w:pPr>
              <w:spacing w:before="120" w:after="120"/>
              <w:rPr>
                <w:snapToGrid w:val="0"/>
                <w:lang w:eastAsia="en-GB"/>
              </w:rPr>
            </w:pPr>
            <w:r w:rsidRPr="00400635">
              <w:rPr>
                <w:snapToGrid w:val="0"/>
                <w:lang w:eastAsia="en-GB"/>
              </w:rPr>
              <w:t>No</w:t>
            </w:r>
          </w:p>
        </w:tc>
      </w:tr>
      <w:tr w:rsidR="008E559A" w:rsidRPr="00400635" w14:paraId="3AEC202C" w14:textId="77777777" w:rsidTr="001D22D3">
        <w:tc>
          <w:tcPr>
            <w:tcW w:w="4217" w:type="dxa"/>
            <w:hideMark/>
          </w:tcPr>
          <w:p w14:paraId="7997D0D3" w14:textId="77777777" w:rsidR="008E559A" w:rsidRPr="00400635" w:rsidRDefault="008E559A" w:rsidP="001D22D3">
            <w:pPr>
              <w:spacing w:before="120" w:after="120"/>
              <w:jc w:val="right"/>
              <w:rPr>
                <w:i/>
                <w:iCs/>
                <w:lang w:eastAsia="en-GB"/>
              </w:rPr>
            </w:pPr>
            <w:r w:rsidRPr="00400635">
              <w:rPr>
                <w:i/>
                <w:iCs/>
                <w:lang w:eastAsia="en-GB"/>
              </w:rPr>
              <w:t xml:space="preserve">(vi) Other - </w:t>
            </w:r>
            <w:proofErr w:type="gramStart"/>
            <w:r w:rsidRPr="00400635">
              <w:rPr>
                <w:i/>
                <w:iCs/>
                <w:lang w:eastAsia="en-GB"/>
              </w:rPr>
              <w:t>brief summary</w:t>
            </w:r>
            <w:proofErr w:type="gramEnd"/>
            <w:r w:rsidRPr="00400635">
              <w:rPr>
                <w:i/>
                <w:iCs/>
                <w:lang w:eastAsia="en-GB"/>
              </w:rPr>
              <w:t xml:space="preserve"> of other types of changes, indicating the paragraphs of the management plan in which these are located.</w:t>
            </w:r>
          </w:p>
        </w:tc>
        <w:tc>
          <w:tcPr>
            <w:tcW w:w="5668" w:type="dxa"/>
            <w:hideMark/>
          </w:tcPr>
          <w:p w14:paraId="50332C28" w14:textId="77777777" w:rsidR="008E559A" w:rsidRPr="00400635" w:rsidRDefault="008E559A" w:rsidP="001D22D3">
            <w:pPr>
              <w:tabs>
                <w:tab w:val="left" w:pos="708"/>
              </w:tabs>
              <w:spacing w:before="60"/>
              <w:rPr>
                <w:b/>
                <w:bCs/>
                <w:snapToGrid w:val="0"/>
                <w:sz w:val="48"/>
                <w:szCs w:val="48"/>
                <w:lang w:eastAsia="en-GB"/>
              </w:rPr>
            </w:pPr>
            <w:r w:rsidRPr="00400635">
              <w:rPr>
                <w:snapToGrid w:val="0"/>
                <w:lang w:eastAsia="en-GB"/>
              </w:rPr>
              <w:t>Minor editorial changes (throughout).</w:t>
            </w:r>
          </w:p>
          <w:p w14:paraId="5631DDF6" w14:textId="77777777" w:rsidR="008E559A" w:rsidRPr="00400635" w:rsidRDefault="008E559A" w:rsidP="001D22D3">
            <w:pPr>
              <w:tabs>
                <w:tab w:val="left" w:pos="708"/>
              </w:tabs>
              <w:spacing w:before="60"/>
              <w:rPr>
                <w:snapToGrid w:val="0"/>
                <w:lang w:eastAsia="en-GB"/>
              </w:rPr>
            </w:pPr>
            <w:r w:rsidRPr="00400635">
              <w:rPr>
                <w:snapToGrid w:val="0"/>
                <w:lang w:eastAsia="en-GB"/>
              </w:rPr>
              <w:t>1.1 Geography: Addition of references to the Environmental Domains Analysis for Antarctica and Antarctic Conservation Biogeographic Regions.</w:t>
            </w:r>
          </w:p>
          <w:p w14:paraId="521D01A1" w14:textId="77777777" w:rsidR="008E559A" w:rsidRPr="00400635" w:rsidRDefault="008E559A" w:rsidP="001D22D3">
            <w:pPr>
              <w:tabs>
                <w:tab w:val="left" w:pos="708"/>
              </w:tabs>
              <w:spacing w:before="60"/>
              <w:rPr>
                <w:snapToGrid w:val="0"/>
                <w:lang w:eastAsia="en-GB"/>
              </w:rPr>
            </w:pPr>
            <w:r w:rsidRPr="00400635">
              <w:rPr>
                <w:snapToGrid w:val="0"/>
                <w:lang w:eastAsia="en-GB"/>
              </w:rPr>
              <w:t>4.3 Natural features: Updates to description of lake and stream biota (Section 4.3.4).</w:t>
            </w:r>
          </w:p>
          <w:p w14:paraId="3DD46078" w14:textId="77777777" w:rsidR="008E559A" w:rsidRPr="00400635" w:rsidRDefault="008E559A" w:rsidP="001D22D3">
            <w:pPr>
              <w:tabs>
                <w:tab w:val="left" w:pos="708"/>
              </w:tabs>
              <w:spacing w:before="60"/>
              <w:rPr>
                <w:snapToGrid w:val="0"/>
                <w:lang w:eastAsia="en-GB"/>
              </w:rPr>
            </w:pPr>
            <w:r w:rsidRPr="00400635">
              <w:rPr>
                <w:snapToGrid w:val="0"/>
                <w:lang w:eastAsia="en-GB"/>
              </w:rPr>
              <w:lastRenderedPageBreak/>
              <w:t xml:space="preserve">4.5 Access to the Area. Inclusion of information on access to </w:t>
            </w:r>
            <w:proofErr w:type="spellStart"/>
            <w:r w:rsidRPr="00400635">
              <w:rPr>
                <w:snapToGrid w:val="0"/>
                <w:lang w:eastAsia="en-GB"/>
              </w:rPr>
              <w:t>Stornes</w:t>
            </w:r>
            <w:proofErr w:type="spellEnd"/>
            <w:r w:rsidRPr="00400635">
              <w:rPr>
                <w:snapToGrid w:val="0"/>
                <w:lang w:eastAsia="en-GB"/>
              </w:rPr>
              <w:t xml:space="preserve"> ASPA, and updated information on the helicopter landing site at Progress.</w:t>
            </w:r>
          </w:p>
          <w:p w14:paraId="1785B36A" w14:textId="77777777" w:rsidR="008E559A" w:rsidRPr="00400635" w:rsidRDefault="008E559A" w:rsidP="001D22D3">
            <w:pPr>
              <w:tabs>
                <w:tab w:val="left" w:pos="708"/>
              </w:tabs>
              <w:spacing w:before="60"/>
              <w:rPr>
                <w:snapToGrid w:val="0"/>
                <w:lang w:eastAsia="en-GB"/>
              </w:rPr>
            </w:pPr>
            <w:r w:rsidRPr="00400635">
              <w:rPr>
                <w:snapToGrid w:val="0"/>
                <w:lang w:eastAsia="en-GB"/>
              </w:rPr>
              <w:t xml:space="preserve">4.6 Location of structures in or near the Area: Updates to Section 4.6.2 (Progress), 4.6.5 (Compacted snow runway site and associated facilities) and 4.6.6 Minor structures, including to reflect the addition of a </w:t>
            </w:r>
            <w:proofErr w:type="gramStart"/>
            <w:r w:rsidRPr="00400635">
              <w:rPr>
                <w:snapToGrid w:val="0"/>
                <w:lang w:eastAsia="en-GB"/>
              </w:rPr>
              <w:t>tractor,‘</w:t>
            </w:r>
            <w:proofErr w:type="spellStart"/>
            <w:proofErr w:type="gramEnd"/>
            <w:r w:rsidRPr="00400635">
              <w:rPr>
                <w:snapToGrid w:val="0"/>
                <w:lang w:eastAsia="en-GB"/>
              </w:rPr>
              <w:t>Kharkovchanka</w:t>
            </w:r>
            <w:proofErr w:type="spellEnd"/>
            <w:r w:rsidRPr="00400635">
              <w:rPr>
                <w:snapToGrid w:val="0"/>
                <w:lang w:eastAsia="en-GB"/>
              </w:rPr>
              <w:t>,’ to the list of Historic Sites and Monuments (#92).</w:t>
            </w:r>
          </w:p>
          <w:p w14:paraId="7F40987C" w14:textId="77777777" w:rsidR="008E559A" w:rsidRPr="00400635" w:rsidRDefault="008E559A" w:rsidP="001D22D3">
            <w:pPr>
              <w:tabs>
                <w:tab w:val="left" w:pos="708"/>
              </w:tabs>
              <w:spacing w:before="60"/>
              <w:rPr>
                <w:snapToGrid w:val="0"/>
                <w:lang w:eastAsia="en-GB"/>
              </w:rPr>
            </w:pPr>
            <w:r w:rsidRPr="00400635">
              <w:rPr>
                <w:snapToGrid w:val="0"/>
                <w:lang w:eastAsia="en-GB"/>
              </w:rPr>
              <w:t>4.7 Addition of reference to HSM 92.</w:t>
            </w:r>
          </w:p>
          <w:p w14:paraId="6C26C8FA" w14:textId="77777777" w:rsidR="008E559A" w:rsidRPr="00400635" w:rsidRDefault="008E559A" w:rsidP="001D22D3">
            <w:pPr>
              <w:tabs>
                <w:tab w:val="left" w:pos="708"/>
              </w:tabs>
              <w:spacing w:before="60"/>
              <w:rPr>
                <w:snapToGrid w:val="0"/>
                <w:lang w:eastAsia="en-GB"/>
              </w:rPr>
            </w:pPr>
            <w:r w:rsidRPr="00400635">
              <w:rPr>
                <w:snapToGrid w:val="0"/>
                <w:lang w:eastAsia="en-GB"/>
              </w:rPr>
              <w:t>Appendix 3. References and select bibliography: Updated.</w:t>
            </w:r>
          </w:p>
          <w:p w14:paraId="26F90972" w14:textId="77777777" w:rsidR="008E559A" w:rsidRPr="00400635" w:rsidRDefault="008E559A" w:rsidP="001D22D3">
            <w:pPr>
              <w:tabs>
                <w:tab w:val="left" w:pos="708"/>
              </w:tabs>
              <w:spacing w:before="60"/>
              <w:rPr>
                <w:b/>
                <w:bCs/>
                <w:sz w:val="48"/>
                <w:szCs w:val="48"/>
                <w:lang w:eastAsia="en-GB"/>
              </w:rPr>
            </w:pPr>
            <w:r w:rsidRPr="00400635">
              <w:rPr>
                <w:snapToGrid w:val="0"/>
                <w:lang w:eastAsia="en-GB"/>
              </w:rPr>
              <w:t>Maps: Updates to Map D (Zhongshan); new Map F (Bharati).</w:t>
            </w:r>
          </w:p>
        </w:tc>
      </w:tr>
      <w:tr w:rsidR="008E559A" w:rsidRPr="00400635" w14:paraId="2F4C1288" w14:textId="77777777" w:rsidTr="001D22D3">
        <w:tc>
          <w:tcPr>
            <w:tcW w:w="4217" w:type="dxa"/>
            <w:hideMark/>
          </w:tcPr>
          <w:p w14:paraId="0F9B15F3" w14:textId="77777777" w:rsidR="008E559A" w:rsidRPr="00400635" w:rsidRDefault="008E559A" w:rsidP="001D22D3">
            <w:pPr>
              <w:spacing w:before="120" w:after="120"/>
              <w:rPr>
                <w:b/>
                <w:bCs/>
                <w:snapToGrid w:val="0"/>
                <w:lang w:eastAsia="en-GB"/>
              </w:rPr>
            </w:pPr>
            <w:r w:rsidRPr="00400635">
              <w:rPr>
                <w:b/>
                <w:bCs/>
                <w:snapToGrid w:val="0"/>
                <w:lang w:eastAsia="en-GB"/>
              </w:rPr>
              <w:lastRenderedPageBreak/>
              <w:t>5. If a new ASPA or ASMA is proposed, does it contain any marine area?</w:t>
            </w:r>
          </w:p>
        </w:tc>
        <w:tc>
          <w:tcPr>
            <w:tcW w:w="5668" w:type="dxa"/>
            <w:hideMark/>
          </w:tcPr>
          <w:p w14:paraId="4BA5B636" w14:textId="77777777" w:rsidR="008E559A" w:rsidRPr="00400635" w:rsidRDefault="008E559A" w:rsidP="001D22D3">
            <w:pPr>
              <w:spacing w:before="120" w:after="120"/>
              <w:rPr>
                <w:snapToGrid w:val="0"/>
                <w:lang w:eastAsia="en-GB"/>
              </w:rPr>
            </w:pPr>
            <w:r w:rsidRPr="00400635">
              <w:rPr>
                <w:lang w:val="en-AU" w:eastAsia="en-GB"/>
              </w:rPr>
              <w:t>n/a</w:t>
            </w:r>
          </w:p>
        </w:tc>
      </w:tr>
      <w:tr w:rsidR="008E559A" w:rsidRPr="00400635" w14:paraId="6F64C932" w14:textId="77777777" w:rsidTr="001D22D3">
        <w:tc>
          <w:tcPr>
            <w:tcW w:w="4217" w:type="dxa"/>
            <w:hideMark/>
          </w:tcPr>
          <w:p w14:paraId="146FA7E0" w14:textId="77777777" w:rsidR="008E559A" w:rsidRPr="00400635" w:rsidRDefault="008E559A" w:rsidP="001D22D3">
            <w:pPr>
              <w:spacing w:before="120" w:after="120"/>
              <w:rPr>
                <w:b/>
                <w:bCs/>
                <w:snapToGrid w:val="0"/>
                <w:lang w:eastAsia="en-GB"/>
              </w:rPr>
            </w:pPr>
            <w:r w:rsidRPr="00400635">
              <w:rPr>
                <w:b/>
                <w:bCs/>
                <w:snapToGrid w:val="0"/>
                <w:lang w:eastAsia="en-GB"/>
              </w:rPr>
              <w:t>6. If yes, does the proposal require the prior approval of CCAMLR in accordance with Decision 9 (2005)?</w:t>
            </w:r>
          </w:p>
        </w:tc>
        <w:tc>
          <w:tcPr>
            <w:tcW w:w="5668" w:type="dxa"/>
            <w:hideMark/>
          </w:tcPr>
          <w:p w14:paraId="1A880642" w14:textId="77777777" w:rsidR="008E559A" w:rsidRPr="00400635" w:rsidRDefault="008E559A" w:rsidP="001D22D3">
            <w:pPr>
              <w:spacing w:before="120" w:after="120"/>
              <w:rPr>
                <w:snapToGrid w:val="0"/>
                <w:lang w:eastAsia="en-GB"/>
              </w:rPr>
            </w:pPr>
            <w:r w:rsidRPr="00400635">
              <w:rPr>
                <w:lang w:val="en-AU" w:eastAsia="en-GB"/>
              </w:rPr>
              <w:t>n/a</w:t>
            </w:r>
          </w:p>
        </w:tc>
      </w:tr>
      <w:tr w:rsidR="008E559A" w:rsidRPr="00400635" w14:paraId="10EB6102" w14:textId="77777777" w:rsidTr="001D22D3">
        <w:tc>
          <w:tcPr>
            <w:tcW w:w="4217" w:type="dxa"/>
            <w:hideMark/>
          </w:tcPr>
          <w:p w14:paraId="08877E5A" w14:textId="77777777" w:rsidR="008E559A" w:rsidRPr="00400635" w:rsidRDefault="008E559A" w:rsidP="001D22D3">
            <w:pPr>
              <w:spacing w:before="120" w:after="120"/>
              <w:rPr>
                <w:b/>
                <w:bCs/>
                <w:snapToGrid w:val="0"/>
                <w:lang w:eastAsia="en-GB"/>
              </w:rPr>
            </w:pPr>
            <w:r w:rsidRPr="00400635">
              <w:rPr>
                <w:b/>
                <w:bCs/>
                <w:snapToGrid w:val="0"/>
                <w:lang w:eastAsia="en-GB"/>
              </w:rPr>
              <w:t xml:space="preserve">7. If yes, has the prior approval of CCAMLR been obtained? </w:t>
            </w:r>
          </w:p>
        </w:tc>
        <w:tc>
          <w:tcPr>
            <w:tcW w:w="5668" w:type="dxa"/>
            <w:hideMark/>
          </w:tcPr>
          <w:p w14:paraId="5106E77C" w14:textId="77777777" w:rsidR="008E559A" w:rsidRPr="00400635" w:rsidRDefault="008E559A" w:rsidP="001D22D3">
            <w:pPr>
              <w:spacing w:before="120" w:after="120"/>
              <w:rPr>
                <w:snapToGrid w:val="0"/>
                <w:lang w:eastAsia="en-GB"/>
              </w:rPr>
            </w:pPr>
            <w:r w:rsidRPr="00400635">
              <w:rPr>
                <w:lang w:val="en-AU" w:eastAsia="en-GB"/>
              </w:rPr>
              <w:t>n/a</w:t>
            </w:r>
          </w:p>
        </w:tc>
      </w:tr>
      <w:tr w:rsidR="008E559A" w:rsidRPr="00400635" w14:paraId="7C6A184B" w14:textId="77777777" w:rsidTr="001D22D3">
        <w:tc>
          <w:tcPr>
            <w:tcW w:w="4217" w:type="dxa"/>
            <w:hideMark/>
          </w:tcPr>
          <w:p w14:paraId="30F53EDA" w14:textId="77777777" w:rsidR="008E559A" w:rsidRPr="00400635" w:rsidRDefault="008E559A" w:rsidP="001D22D3">
            <w:pPr>
              <w:spacing w:before="120" w:after="120"/>
              <w:jc w:val="right"/>
              <w:rPr>
                <w:i/>
                <w:iCs/>
                <w:lang w:eastAsia="en-GB"/>
              </w:rPr>
            </w:pPr>
            <w:r w:rsidRPr="00400635">
              <w:rPr>
                <w:i/>
                <w:iCs/>
                <w:lang w:eastAsia="en-GB"/>
              </w:rPr>
              <w:t>If yes, please list the CCAMLR Final Report and Paragraph No.</w:t>
            </w:r>
          </w:p>
        </w:tc>
        <w:tc>
          <w:tcPr>
            <w:tcW w:w="5668" w:type="dxa"/>
            <w:hideMark/>
          </w:tcPr>
          <w:p w14:paraId="4B7902B8" w14:textId="77777777" w:rsidR="008E559A" w:rsidRPr="00400635" w:rsidRDefault="008E559A" w:rsidP="001D22D3">
            <w:pPr>
              <w:spacing w:before="120" w:after="120"/>
              <w:rPr>
                <w:snapToGrid w:val="0"/>
                <w:lang w:eastAsia="en-GB"/>
              </w:rPr>
            </w:pPr>
            <w:r w:rsidRPr="00400635">
              <w:rPr>
                <w:lang w:val="en-AU" w:eastAsia="en-GB"/>
              </w:rPr>
              <w:t>n/a</w:t>
            </w:r>
          </w:p>
        </w:tc>
      </w:tr>
      <w:tr w:rsidR="008E559A" w:rsidRPr="00400635" w14:paraId="4F7F4DD4" w14:textId="77777777" w:rsidTr="001D22D3">
        <w:tc>
          <w:tcPr>
            <w:tcW w:w="4217" w:type="dxa"/>
            <w:hideMark/>
          </w:tcPr>
          <w:p w14:paraId="0D32F214" w14:textId="77777777" w:rsidR="008E559A" w:rsidRPr="00400635" w:rsidRDefault="008E559A" w:rsidP="001D22D3">
            <w:pPr>
              <w:spacing w:before="120" w:after="120"/>
              <w:rPr>
                <w:color w:val="000000"/>
                <w:sz w:val="23"/>
                <w:szCs w:val="23"/>
                <w:lang w:val="en-AU" w:eastAsia="en-AU"/>
              </w:rPr>
            </w:pPr>
            <w:r w:rsidRPr="00400635">
              <w:rPr>
                <w:b/>
                <w:bCs/>
                <w:snapToGrid w:val="0"/>
                <w:lang w:eastAsia="en-GB"/>
              </w:rPr>
              <w:t>8. If the proposal relates to an ASPA, what is the primary reason for designation (</w:t>
            </w:r>
            <w:proofErr w:type="gramStart"/>
            <w:r w:rsidRPr="00400635">
              <w:rPr>
                <w:b/>
                <w:bCs/>
                <w:snapToGrid w:val="0"/>
                <w:lang w:eastAsia="en-GB"/>
              </w:rPr>
              <w:t>i.e.</w:t>
            </w:r>
            <w:proofErr w:type="gramEnd"/>
            <w:r w:rsidRPr="00400635">
              <w:rPr>
                <w:b/>
                <w:bCs/>
                <w:snapToGrid w:val="0"/>
                <w:lang w:eastAsia="en-GB"/>
              </w:rPr>
              <w:t xml:space="preserve"> which part under Article 3.2 of Annex V)?</w:t>
            </w:r>
            <w:r w:rsidRPr="00400635">
              <w:rPr>
                <w:color w:val="000000"/>
                <w:sz w:val="23"/>
                <w:szCs w:val="23"/>
                <w:lang w:val="en-AU" w:eastAsia="en-AU"/>
              </w:rPr>
              <w:t xml:space="preserve"> </w:t>
            </w:r>
          </w:p>
        </w:tc>
        <w:tc>
          <w:tcPr>
            <w:tcW w:w="5668" w:type="dxa"/>
            <w:hideMark/>
          </w:tcPr>
          <w:p w14:paraId="767DB46A" w14:textId="77777777" w:rsidR="008E559A" w:rsidRPr="00400635" w:rsidRDefault="008E559A" w:rsidP="001D22D3">
            <w:pPr>
              <w:spacing w:before="120" w:after="120"/>
              <w:rPr>
                <w:lang w:val="en-AU" w:eastAsia="en-GB"/>
              </w:rPr>
            </w:pPr>
            <w:r w:rsidRPr="00400635">
              <w:rPr>
                <w:lang w:val="en-AU" w:eastAsia="en-GB"/>
              </w:rPr>
              <w:t>n/a</w:t>
            </w:r>
          </w:p>
        </w:tc>
      </w:tr>
      <w:tr w:rsidR="008E559A" w:rsidRPr="00400635" w14:paraId="38C86433" w14:textId="77777777" w:rsidTr="001D22D3">
        <w:tc>
          <w:tcPr>
            <w:tcW w:w="4217" w:type="dxa"/>
            <w:hideMark/>
          </w:tcPr>
          <w:p w14:paraId="61D999A7" w14:textId="77777777" w:rsidR="008E559A" w:rsidRPr="00400635" w:rsidRDefault="008E559A" w:rsidP="001D22D3">
            <w:pPr>
              <w:spacing w:before="120" w:after="120"/>
              <w:rPr>
                <w:b/>
                <w:bCs/>
                <w:snapToGrid w:val="0"/>
                <w:lang w:eastAsia="en-GB"/>
              </w:rPr>
            </w:pPr>
            <w:r w:rsidRPr="00400635">
              <w:rPr>
                <w:b/>
                <w:bCs/>
                <w:snapToGrid w:val="0"/>
                <w:lang w:eastAsia="en-GB"/>
              </w:rPr>
              <w:t xml:space="preserve">9. Have you identified the main Environmental Domain represented by the ASMA (refer to the ‘Environmental Domains Analysis for the Antarctic Continent’ appended to Resolution 3 (2008))? Yes/No (If yes, the main Environmental Domain should be noted here). </w:t>
            </w:r>
          </w:p>
        </w:tc>
        <w:tc>
          <w:tcPr>
            <w:tcW w:w="5668" w:type="dxa"/>
            <w:hideMark/>
          </w:tcPr>
          <w:p w14:paraId="73E87B20" w14:textId="77777777" w:rsidR="008E559A" w:rsidRPr="00400635" w:rsidRDefault="008E559A" w:rsidP="001D22D3">
            <w:pPr>
              <w:spacing w:before="120" w:after="120"/>
              <w:rPr>
                <w:snapToGrid w:val="0"/>
                <w:lang w:eastAsia="en-GB"/>
              </w:rPr>
            </w:pPr>
            <w:r w:rsidRPr="00400635">
              <w:rPr>
                <w:lang w:eastAsia="en-GB"/>
              </w:rPr>
              <w:t>Yes. Environment D - East Antarctic coastal geologic</w:t>
            </w:r>
            <w:r w:rsidRPr="00400635">
              <w:rPr>
                <w:lang w:val="en-AU" w:eastAsia="en-GB"/>
              </w:rPr>
              <w:br/>
            </w:r>
          </w:p>
        </w:tc>
      </w:tr>
      <w:tr w:rsidR="008E559A" w:rsidRPr="00400635" w14:paraId="49090E65" w14:textId="77777777" w:rsidTr="001D22D3">
        <w:tc>
          <w:tcPr>
            <w:tcW w:w="4217" w:type="dxa"/>
          </w:tcPr>
          <w:p w14:paraId="7AB8CFD1" w14:textId="77777777" w:rsidR="008E559A" w:rsidRPr="00400635" w:rsidRDefault="008E559A" w:rsidP="001D22D3">
            <w:pPr>
              <w:spacing w:before="120" w:after="120"/>
              <w:rPr>
                <w:b/>
                <w:bCs/>
                <w:snapToGrid w:val="0"/>
                <w:lang w:eastAsia="en-GB"/>
              </w:rPr>
            </w:pPr>
            <w:r w:rsidRPr="00400635">
              <w:rPr>
                <w:b/>
                <w:bCs/>
                <w:snapToGrid w:val="0"/>
                <w:lang w:eastAsia="en-GB"/>
              </w:rPr>
              <w:t>10. Have you identified the main Antarctic Conservation Biogeographic Region represented by the ASPA/ASMA (refer to the ‘Antarctic Conservation Biogeographic Regions’ appended to Resolution 6 (2012))?</w:t>
            </w:r>
          </w:p>
        </w:tc>
        <w:tc>
          <w:tcPr>
            <w:tcW w:w="5668" w:type="dxa"/>
          </w:tcPr>
          <w:p w14:paraId="1F097638" w14:textId="77777777" w:rsidR="008E559A" w:rsidRPr="00400635" w:rsidRDefault="008E559A" w:rsidP="001D22D3">
            <w:pPr>
              <w:spacing w:before="120" w:after="120"/>
              <w:rPr>
                <w:lang w:eastAsia="en-GB"/>
              </w:rPr>
            </w:pPr>
            <w:r w:rsidRPr="00400635">
              <w:rPr>
                <w:lang w:eastAsia="en-GB"/>
              </w:rPr>
              <w:t>Yes. Biogeographic Region 7 – East Antarctica</w:t>
            </w:r>
          </w:p>
        </w:tc>
      </w:tr>
      <w:tr w:rsidR="008E559A" w:rsidRPr="00400635" w14:paraId="7142DB48" w14:textId="77777777" w:rsidTr="001D22D3">
        <w:tc>
          <w:tcPr>
            <w:tcW w:w="4217" w:type="dxa"/>
            <w:hideMark/>
          </w:tcPr>
          <w:p w14:paraId="7B7A208A" w14:textId="77777777" w:rsidR="008E559A" w:rsidRPr="00400635" w:rsidRDefault="008E559A" w:rsidP="001D22D3">
            <w:pPr>
              <w:spacing w:before="120" w:after="120"/>
              <w:rPr>
                <w:b/>
                <w:bCs/>
                <w:snapToGrid w:val="0"/>
                <w:lang w:eastAsia="en-GB"/>
              </w:rPr>
            </w:pPr>
            <w:r w:rsidRPr="00400635">
              <w:rPr>
                <w:b/>
                <w:bCs/>
                <w:snapToGrid w:val="0"/>
                <w:lang w:eastAsia="en-GB"/>
              </w:rPr>
              <w:t>11. Have you identified any Antarctic Important Bird Areas (Resolution 5 (2015)) represented by the ASMA?</w:t>
            </w:r>
          </w:p>
        </w:tc>
        <w:tc>
          <w:tcPr>
            <w:tcW w:w="5668" w:type="dxa"/>
            <w:hideMark/>
          </w:tcPr>
          <w:p w14:paraId="173F44E6" w14:textId="77777777" w:rsidR="008E559A" w:rsidRPr="00400635" w:rsidRDefault="008E559A" w:rsidP="001D22D3">
            <w:pPr>
              <w:spacing w:before="120" w:after="120"/>
              <w:rPr>
                <w:snapToGrid w:val="0"/>
                <w:lang w:eastAsia="en-GB"/>
              </w:rPr>
            </w:pPr>
            <w:r w:rsidRPr="00400635">
              <w:rPr>
                <w:lang w:eastAsia="en-GB"/>
              </w:rPr>
              <w:t>n/a</w:t>
            </w:r>
          </w:p>
        </w:tc>
      </w:tr>
    </w:tbl>
    <w:p w14:paraId="2CE34E0C" w14:textId="77777777" w:rsidR="008E559A" w:rsidRPr="00400635" w:rsidRDefault="008E559A" w:rsidP="008E559A"/>
    <w:p w14:paraId="2735E3A0" w14:textId="77777777" w:rsidR="008E559A" w:rsidRDefault="008E559A" w:rsidP="008E559A"/>
    <w:p w14:paraId="68F3BDE7" w14:textId="77777777" w:rsidR="008E559A" w:rsidRDefault="008E559A" w:rsidP="00952E9F"/>
    <w:sectPr w:rsidR="008E559A"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2E94C" w14:textId="77777777" w:rsidR="00000000" w:rsidRDefault="008E559A">
      <w:r>
        <w:separator/>
      </w:r>
    </w:p>
  </w:endnote>
  <w:endnote w:type="continuationSeparator" w:id="0">
    <w:p w14:paraId="14B1E52E" w14:textId="77777777" w:rsidR="00000000" w:rsidRDefault="008E5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4FD49" w14:textId="77777777" w:rsidR="00FA0B9F" w:rsidRDefault="008E559A" w:rsidP="00CF5C82">
    <w:pPr>
      <w:framePr w:wrap="around" w:vAnchor="text" w:hAnchor="margin" w:xAlign="right" w:y="1"/>
    </w:pPr>
    <w:r>
      <w:fldChar w:fldCharType="begin"/>
    </w:r>
    <w:r>
      <w:instrText xml:space="preserve">PAGE  </w:instrText>
    </w:r>
    <w:r>
      <w:fldChar w:fldCharType="end"/>
    </w:r>
  </w:p>
  <w:p w14:paraId="7AD5C317" w14:textId="77777777" w:rsidR="00FA0B9F" w:rsidRDefault="008E559A"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2926" w14:textId="77777777" w:rsidR="00FA0B9F" w:rsidRDefault="008E559A"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9E7670E" w14:textId="5C082DB5" w:rsidR="00FA0B9F" w:rsidRDefault="008E559A" w:rsidP="00FA0B9F">
    <w:pPr>
      <w:ind w:right="360"/>
    </w:pPr>
    <w:r>
      <w:t>Attachments: atcm43_att092_e.docx: ASMA 6 Revised Management Plan</w:t>
    </w:r>
  </w:p>
  <w:p w14:paraId="40CE5FEE" w14:textId="59D08DC6" w:rsidR="008E559A" w:rsidRDefault="008E559A" w:rsidP="00FA0B9F">
    <w:pPr>
      <w:ind w:right="360"/>
    </w:pPr>
    <w:r>
      <w:t>Atcm43_att093_e.pdf: ASMA 6 Map A</w:t>
    </w:r>
  </w:p>
  <w:p w14:paraId="79D915BC" w14:textId="542B3A61" w:rsidR="008E559A" w:rsidRDefault="008E559A" w:rsidP="008E559A">
    <w:pPr>
      <w:ind w:right="360"/>
    </w:pPr>
    <w:r>
      <w:t>Atcm43_att09</w:t>
    </w:r>
    <w:r>
      <w:t>4</w:t>
    </w:r>
    <w:r>
      <w:t xml:space="preserve">_e.pdf: ASMA 6 Map </w:t>
    </w:r>
    <w:r>
      <w:t>B</w:t>
    </w:r>
  </w:p>
  <w:p w14:paraId="1823C436" w14:textId="4E992258" w:rsidR="008E559A" w:rsidRDefault="008E559A" w:rsidP="008E559A">
    <w:pPr>
      <w:ind w:right="360"/>
    </w:pPr>
    <w:r>
      <w:t>Atcm43_att09</w:t>
    </w:r>
    <w:r>
      <w:t>5</w:t>
    </w:r>
    <w:r>
      <w:t xml:space="preserve">_e.pdf: ASMA 6 Map </w:t>
    </w:r>
    <w:r>
      <w:t>C</w:t>
    </w:r>
  </w:p>
  <w:p w14:paraId="2F2B0949" w14:textId="75ED6F9B" w:rsidR="008E559A" w:rsidRDefault="008E559A" w:rsidP="008E559A">
    <w:pPr>
      <w:ind w:right="360"/>
    </w:pPr>
    <w:r>
      <w:t>Atcm43_att09</w:t>
    </w:r>
    <w:r>
      <w:t>6</w:t>
    </w:r>
    <w:r>
      <w:t xml:space="preserve">_e.pdf: ASMA 6 Map </w:t>
    </w:r>
    <w:r>
      <w:t>D</w:t>
    </w:r>
  </w:p>
  <w:p w14:paraId="210FFBCE" w14:textId="0A6A362B" w:rsidR="008E559A" w:rsidRDefault="008E559A" w:rsidP="008E559A">
    <w:pPr>
      <w:ind w:right="360"/>
    </w:pPr>
    <w:r>
      <w:t>Atcm43_att09</w:t>
    </w:r>
    <w:r>
      <w:t>7</w:t>
    </w:r>
    <w:r>
      <w:t xml:space="preserve">_e.pdf: ASMA 6 Map </w:t>
    </w:r>
    <w:r>
      <w:t>E</w:t>
    </w:r>
  </w:p>
  <w:p w14:paraId="7D3BCFD8" w14:textId="2BB0F1A4" w:rsidR="008E559A" w:rsidRDefault="008E559A" w:rsidP="008E559A">
    <w:pPr>
      <w:ind w:right="360"/>
    </w:pPr>
    <w:r>
      <w:t>Atcm43_att09</w:t>
    </w:r>
    <w:r>
      <w:t>8</w:t>
    </w:r>
    <w:r>
      <w:t xml:space="preserve">_e.pdf: ASMA 6 Map </w:t>
    </w:r>
    <w:r>
      <w:t>F</w:t>
    </w:r>
  </w:p>
  <w:p w14:paraId="30DBC31E" w14:textId="77777777" w:rsidR="008E559A" w:rsidRDefault="008E559A"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16197" w14:textId="77777777" w:rsidR="00E311C9" w:rsidRDefault="008E559A"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F79A569" w14:textId="77777777" w:rsidR="00E311C9" w:rsidRDefault="008E559A"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4EAA4" w14:textId="77777777" w:rsidR="00000000" w:rsidRDefault="008E559A">
      <w:r>
        <w:separator/>
      </w:r>
    </w:p>
  </w:footnote>
  <w:footnote w:type="continuationSeparator" w:id="0">
    <w:p w14:paraId="32D95507" w14:textId="77777777" w:rsidR="00000000" w:rsidRDefault="008E55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436"/>
      <w:gridCol w:w="817"/>
      <w:gridCol w:w="1134"/>
      <w:gridCol w:w="390"/>
    </w:tblGrid>
    <w:tr w:rsidR="00E44FD3" w14:paraId="043B172D" w14:textId="77777777" w:rsidTr="00490760">
      <w:trPr>
        <w:trHeight w:val="344"/>
        <w:jc w:val="center"/>
      </w:trPr>
      <w:tc>
        <w:tcPr>
          <w:tcW w:w="5495" w:type="dxa"/>
        </w:tcPr>
        <w:p w14:paraId="64FB4FAD" w14:textId="77777777" w:rsidR="00DB7C09" w:rsidRDefault="008E559A" w:rsidP="00F968D4"/>
      </w:tc>
      <w:tc>
        <w:tcPr>
          <w:tcW w:w="4253" w:type="dxa"/>
          <w:gridSpan w:val="2"/>
        </w:tcPr>
        <w:p w14:paraId="182C7E69" w14:textId="77777777" w:rsidR="00DB7C09" w:rsidRPr="00BD47E4" w:rsidRDefault="008E559A" w:rsidP="002A07BC">
          <w:pPr>
            <w:jc w:val="right"/>
            <w:rPr>
              <w:b/>
              <w:sz w:val="32"/>
              <w:szCs w:val="32"/>
            </w:rPr>
          </w:pPr>
          <w:bookmarkStart w:id="2" w:name="type"/>
          <w:r w:rsidRPr="00BD47E4">
            <w:rPr>
              <w:b/>
              <w:sz w:val="32"/>
              <w:szCs w:val="32"/>
            </w:rPr>
            <w:t>WP</w:t>
          </w:r>
          <w:bookmarkEnd w:id="2"/>
        </w:p>
      </w:tc>
      <w:tc>
        <w:tcPr>
          <w:tcW w:w="1524" w:type="dxa"/>
          <w:gridSpan w:val="2"/>
        </w:tcPr>
        <w:p w14:paraId="7DFA3E75" w14:textId="77777777" w:rsidR="00DB7C09" w:rsidRPr="00BD47E4" w:rsidRDefault="008E559A" w:rsidP="00DB7C09">
          <w:pPr>
            <w:rPr>
              <w:b/>
              <w:sz w:val="32"/>
              <w:szCs w:val="32"/>
            </w:rPr>
          </w:pPr>
          <w:bookmarkStart w:id="3" w:name="number"/>
          <w:r w:rsidRPr="00BD47E4">
            <w:rPr>
              <w:b/>
              <w:sz w:val="32"/>
              <w:szCs w:val="32"/>
            </w:rPr>
            <w:t>31</w:t>
          </w:r>
          <w:bookmarkEnd w:id="3"/>
        </w:p>
      </w:tc>
    </w:tr>
    <w:tr w:rsidR="00E44FD3" w14:paraId="1EB0540D" w14:textId="77777777" w:rsidTr="00490760">
      <w:trPr>
        <w:trHeight w:val="2165"/>
        <w:jc w:val="center"/>
      </w:trPr>
      <w:tc>
        <w:tcPr>
          <w:tcW w:w="5495" w:type="dxa"/>
        </w:tcPr>
        <w:p w14:paraId="69F4D8CF" w14:textId="77777777" w:rsidR="00490760" w:rsidRPr="00EE4D48" w:rsidRDefault="008E559A" w:rsidP="002A07BC">
          <w:pPr>
            <w:rPr>
              <w:b/>
              <w:sz w:val="28"/>
              <w:szCs w:val="28"/>
            </w:rPr>
          </w:pPr>
          <w:r>
            <w:rPr>
              <w:b/>
              <w:noProof/>
              <w:sz w:val="28"/>
              <w:szCs w:val="28"/>
            </w:rPr>
            <w:drawing>
              <wp:inline distT="0" distB="0" distL="0" distR="0" wp14:anchorId="36103058" wp14:editId="261B72C4">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5942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712E77A1" w14:textId="77777777" w:rsidR="00490760" w:rsidRPr="00FE5146" w:rsidRDefault="008E559A" w:rsidP="00490760">
          <w:pPr>
            <w:jc w:val="right"/>
            <w:rPr>
              <w:sz w:val="144"/>
              <w:szCs w:val="144"/>
            </w:rPr>
          </w:pPr>
          <w:r w:rsidRPr="00FE5146">
            <w:rPr>
              <w:sz w:val="144"/>
              <w:szCs w:val="144"/>
            </w:rPr>
            <w:t>ENG</w:t>
          </w:r>
        </w:p>
      </w:tc>
    </w:tr>
    <w:tr w:rsidR="00E44FD3" w14:paraId="6909E1C4" w14:textId="77777777" w:rsidTr="008E559A">
      <w:trPr>
        <w:trHeight w:val="409"/>
        <w:jc w:val="center"/>
      </w:trPr>
      <w:tc>
        <w:tcPr>
          <w:tcW w:w="8931" w:type="dxa"/>
          <w:gridSpan w:val="2"/>
        </w:tcPr>
        <w:p w14:paraId="6D95343D" w14:textId="77777777" w:rsidR="00BD47E4" w:rsidRDefault="008E559A" w:rsidP="002C30DA">
          <w:pPr>
            <w:jc w:val="right"/>
          </w:pPr>
          <w:r>
            <w:t>Agenda Item:</w:t>
          </w:r>
        </w:p>
      </w:tc>
      <w:tc>
        <w:tcPr>
          <w:tcW w:w="1951" w:type="dxa"/>
          <w:gridSpan w:val="2"/>
        </w:tcPr>
        <w:p w14:paraId="1001E6DF" w14:textId="77777777" w:rsidR="00BD47E4" w:rsidRDefault="008E559A" w:rsidP="002C30DA">
          <w:pPr>
            <w:jc w:val="right"/>
          </w:pPr>
          <w:bookmarkStart w:id="4" w:name="agenda"/>
          <w:r>
            <w:t>CEP 9a</w:t>
          </w:r>
          <w:bookmarkEnd w:id="4"/>
        </w:p>
      </w:tc>
      <w:tc>
        <w:tcPr>
          <w:tcW w:w="390" w:type="dxa"/>
        </w:tcPr>
        <w:p w14:paraId="3402C344" w14:textId="77777777" w:rsidR="00BD47E4" w:rsidRDefault="008E559A" w:rsidP="00387A65">
          <w:pPr>
            <w:jc w:val="right"/>
          </w:pPr>
        </w:p>
      </w:tc>
    </w:tr>
    <w:tr w:rsidR="00E44FD3" w14:paraId="6DE6E448" w14:textId="77777777" w:rsidTr="008E559A">
      <w:trPr>
        <w:trHeight w:val="397"/>
        <w:jc w:val="center"/>
      </w:trPr>
      <w:tc>
        <w:tcPr>
          <w:tcW w:w="8931" w:type="dxa"/>
          <w:gridSpan w:val="2"/>
        </w:tcPr>
        <w:p w14:paraId="3B2702C8" w14:textId="77777777" w:rsidR="00BD47E4" w:rsidRDefault="008E559A" w:rsidP="002C30DA">
          <w:pPr>
            <w:jc w:val="right"/>
          </w:pPr>
          <w:r>
            <w:t>Presented by:</w:t>
          </w:r>
        </w:p>
      </w:tc>
      <w:tc>
        <w:tcPr>
          <w:tcW w:w="1951" w:type="dxa"/>
          <w:gridSpan w:val="2"/>
        </w:tcPr>
        <w:p w14:paraId="6A16F99D" w14:textId="77777777" w:rsidR="008E559A" w:rsidRDefault="000B1B55" w:rsidP="002C30DA">
          <w:pPr>
            <w:jc w:val="right"/>
          </w:pPr>
          <w:bookmarkStart w:id="5" w:name="party"/>
          <w:r>
            <w:t xml:space="preserve">Australia, China, India, </w:t>
          </w:r>
        </w:p>
        <w:p w14:paraId="62A27FAE" w14:textId="45A8717F" w:rsidR="00BD47E4" w:rsidRDefault="000B1B55" w:rsidP="002C30DA">
          <w:pPr>
            <w:jc w:val="right"/>
          </w:pPr>
          <w:r>
            <w:t>Russian Federation</w:t>
          </w:r>
          <w:bookmarkEnd w:id="5"/>
        </w:p>
      </w:tc>
      <w:tc>
        <w:tcPr>
          <w:tcW w:w="390" w:type="dxa"/>
        </w:tcPr>
        <w:p w14:paraId="0F092BED" w14:textId="77777777" w:rsidR="00BD47E4" w:rsidRDefault="008E559A" w:rsidP="00387A65">
          <w:pPr>
            <w:jc w:val="right"/>
          </w:pPr>
        </w:p>
      </w:tc>
    </w:tr>
    <w:tr w:rsidR="00E44FD3" w14:paraId="493F0020" w14:textId="77777777" w:rsidTr="008E559A">
      <w:trPr>
        <w:trHeight w:val="409"/>
        <w:jc w:val="center"/>
      </w:trPr>
      <w:tc>
        <w:tcPr>
          <w:tcW w:w="8931" w:type="dxa"/>
          <w:gridSpan w:val="2"/>
        </w:tcPr>
        <w:p w14:paraId="4DD09F68" w14:textId="77777777" w:rsidR="00BD47E4" w:rsidRDefault="008E559A" w:rsidP="002C30DA">
          <w:pPr>
            <w:jc w:val="right"/>
          </w:pPr>
          <w:r>
            <w:t>Original:</w:t>
          </w:r>
        </w:p>
      </w:tc>
      <w:tc>
        <w:tcPr>
          <w:tcW w:w="1951" w:type="dxa"/>
          <w:gridSpan w:val="2"/>
        </w:tcPr>
        <w:p w14:paraId="57803F5B" w14:textId="77777777" w:rsidR="00BD47E4" w:rsidRDefault="008E559A" w:rsidP="002C30DA">
          <w:pPr>
            <w:jc w:val="right"/>
          </w:pPr>
          <w:bookmarkStart w:id="6" w:name="language"/>
          <w:r>
            <w:t>English</w:t>
          </w:r>
          <w:bookmarkEnd w:id="6"/>
        </w:p>
      </w:tc>
      <w:tc>
        <w:tcPr>
          <w:tcW w:w="390" w:type="dxa"/>
        </w:tcPr>
        <w:p w14:paraId="6E0B7972" w14:textId="77777777" w:rsidR="00BD47E4" w:rsidRDefault="008E559A" w:rsidP="00387A65">
          <w:pPr>
            <w:jc w:val="right"/>
          </w:pPr>
        </w:p>
      </w:tc>
    </w:tr>
    <w:tr w:rsidR="00E44FD3" w14:paraId="2028143C" w14:textId="77777777" w:rsidTr="008E559A">
      <w:trPr>
        <w:trHeight w:val="409"/>
        <w:jc w:val="center"/>
      </w:trPr>
      <w:tc>
        <w:tcPr>
          <w:tcW w:w="8931" w:type="dxa"/>
          <w:gridSpan w:val="2"/>
        </w:tcPr>
        <w:p w14:paraId="10F4B341" w14:textId="77777777" w:rsidR="0097629D" w:rsidRDefault="008E559A" w:rsidP="002C30DA">
          <w:pPr>
            <w:jc w:val="right"/>
          </w:pPr>
          <w:r>
            <w:t>Submitted:</w:t>
          </w:r>
        </w:p>
      </w:tc>
      <w:tc>
        <w:tcPr>
          <w:tcW w:w="1951" w:type="dxa"/>
          <w:gridSpan w:val="2"/>
        </w:tcPr>
        <w:p w14:paraId="168D801C" w14:textId="77777777" w:rsidR="0097629D" w:rsidRDefault="008E559A" w:rsidP="0097629D">
          <w:pPr>
            <w:jc w:val="right"/>
          </w:pPr>
          <w:bookmarkStart w:id="7" w:name="date_submission"/>
          <w:r>
            <w:t>29/4/2021</w:t>
          </w:r>
          <w:bookmarkEnd w:id="7"/>
        </w:p>
      </w:tc>
      <w:tc>
        <w:tcPr>
          <w:tcW w:w="390" w:type="dxa"/>
        </w:tcPr>
        <w:p w14:paraId="4D786E30" w14:textId="77777777" w:rsidR="0097629D" w:rsidRDefault="008E559A" w:rsidP="00387A65">
          <w:pPr>
            <w:jc w:val="right"/>
          </w:pPr>
        </w:p>
      </w:tc>
    </w:tr>
  </w:tbl>
  <w:p w14:paraId="3C9D11BF" w14:textId="77777777" w:rsidR="00AE5DD0" w:rsidRDefault="008E559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E44FD3" w14:paraId="658DEE12" w14:textId="77777777">
      <w:trPr>
        <w:trHeight w:val="354"/>
        <w:jc w:val="center"/>
      </w:trPr>
      <w:tc>
        <w:tcPr>
          <w:tcW w:w="9694" w:type="dxa"/>
        </w:tcPr>
        <w:p w14:paraId="264C0497" w14:textId="3BEE8135" w:rsidR="00AE5DD0" w:rsidRPr="00BD47E4" w:rsidRDefault="008E559A" w:rsidP="00C26F2D">
          <w:pPr>
            <w:jc w:val="right"/>
            <w:rPr>
              <w:b/>
              <w:sz w:val="32"/>
              <w:szCs w:val="32"/>
            </w:rPr>
          </w:pPr>
          <w:r>
            <w:rPr>
              <w:b/>
              <w:sz w:val="32"/>
              <w:szCs w:val="32"/>
            </w:rPr>
            <w:t>WP</w:t>
          </w:r>
        </w:p>
      </w:tc>
      <w:tc>
        <w:tcPr>
          <w:tcW w:w="1332" w:type="dxa"/>
        </w:tcPr>
        <w:p w14:paraId="4D58DFC9" w14:textId="1C49674F" w:rsidR="00AE5DD0" w:rsidRPr="00BD47E4" w:rsidRDefault="008E559A" w:rsidP="00080F4C">
          <w:pPr>
            <w:rPr>
              <w:b/>
              <w:sz w:val="32"/>
              <w:szCs w:val="32"/>
            </w:rPr>
          </w:pPr>
          <w:r>
            <w:rPr>
              <w:b/>
              <w:sz w:val="32"/>
              <w:szCs w:val="32"/>
            </w:rPr>
            <w:t>31</w:t>
          </w:r>
        </w:p>
      </w:tc>
    </w:tr>
  </w:tbl>
  <w:p w14:paraId="10F31065" w14:textId="77777777" w:rsidR="00AE5DD0" w:rsidRDefault="008E55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0CB6EEA4">
      <w:start w:val="1"/>
      <w:numFmt w:val="bullet"/>
      <w:pStyle w:val="ATSBullet1"/>
      <w:lvlText w:val=""/>
      <w:lvlJc w:val="left"/>
      <w:pPr>
        <w:tabs>
          <w:tab w:val="num" w:pos="360"/>
        </w:tabs>
        <w:ind w:left="360" w:hanging="360"/>
      </w:pPr>
      <w:rPr>
        <w:rFonts w:ascii="Symbol" w:hAnsi="Symbol" w:hint="default"/>
        <w:color w:val="auto"/>
      </w:rPr>
    </w:lvl>
    <w:lvl w:ilvl="1" w:tplc="CD0E078E" w:tentative="1">
      <w:start w:val="1"/>
      <w:numFmt w:val="bullet"/>
      <w:lvlText w:val="o"/>
      <w:lvlJc w:val="left"/>
      <w:pPr>
        <w:tabs>
          <w:tab w:val="num" w:pos="1440"/>
        </w:tabs>
        <w:ind w:left="1440" w:hanging="360"/>
      </w:pPr>
      <w:rPr>
        <w:rFonts w:ascii="Courier New" w:hAnsi="Courier New" w:cs="Courier New" w:hint="default"/>
      </w:rPr>
    </w:lvl>
    <w:lvl w:ilvl="2" w:tplc="182A49FA" w:tentative="1">
      <w:start w:val="1"/>
      <w:numFmt w:val="bullet"/>
      <w:lvlText w:val=""/>
      <w:lvlJc w:val="left"/>
      <w:pPr>
        <w:tabs>
          <w:tab w:val="num" w:pos="2160"/>
        </w:tabs>
        <w:ind w:left="2160" w:hanging="360"/>
      </w:pPr>
      <w:rPr>
        <w:rFonts w:ascii="Wingdings" w:hAnsi="Wingdings" w:hint="default"/>
      </w:rPr>
    </w:lvl>
    <w:lvl w:ilvl="3" w:tplc="8B78E30C" w:tentative="1">
      <w:start w:val="1"/>
      <w:numFmt w:val="bullet"/>
      <w:lvlText w:val=""/>
      <w:lvlJc w:val="left"/>
      <w:pPr>
        <w:tabs>
          <w:tab w:val="num" w:pos="2880"/>
        </w:tabs>
        <w:ind w:left="2880" w:hanging="360"/>
      </w:pPr>
      <w:rPr>
        <w:rFonts w:ascii="Symbol" w:hAnsi="Symbol" w:hint="default"/>
      </w:rPr>
    </w:lvl>
    <w:lvl w:ilvl="4" w:tplc="C5EEB2FC" w:tentative="1">
      <w:start w:val="1"/>
      <w:numFmt w:val="bullet"/>
      <w:lvlText w:val="o"/>
      <w:lvlJc w:val="left"/>
      <w:pPr>
        <w:tabs>
          <w:tab w:val="num" w:pos="3600"/>
        </w:tabs>
        <w:ind w:left="3600" w:hanging="360"/>
      </w:pPr>
      <w:rPr>
        <w:rFonts w:ascii="Courier New" w:hAnsi="Courier New" w:cs="Courier New" w:hint="default"/>
      </w:rPr>
    </w:lvl>
    <w:lvl w:ilvl="5" w:tplc="DB3ADFDC" w:tentative="1">
      <w:start w:val="1"/>
      <w:numFmt w:val="bullet"/>
      <w:lvlText w:val=""/>
      <w:lvlJc w:val="left"/>
      <w:pPr>
        <w:tabs>
          <w:tab w:val="num" w:pos="4320"/>
        </w:tabs>
        <w:ind w:left="4320" w:hanging="360"/>
      </w:pPr>
      <w:rPr>
        <w:rFonts w:ascii="Wingdings" w:hAnsi="Wingdings" w:hint="default"/>
      </w:rPr>
    </w:lvl>
    <w:lvl w:ilvl="6" w:tplc="AE0A280C" w:tentative="1">
      <w:start w:val="1"/>
      <w:numFmt w:val="bullet"/>
      <w:lvlText w:val=""/>
      <w:lvlJc w:val="left"/>
      <w:pPr>
        <w:tabs>
          <w:tab w:val="num" w:pos="5040"/>
        </w:tabs>
        <w:ind w:left="5040" w:hanging="360"/>
      </w:pPr>
      <w:rPr>
        <w:rFonts w:ascii="Symbol" w:hAnsi="Symbol" w:hint="default"/>
      </w:rPr>
    </w:lvl>
    <w:lvl w:ilvl="7" w:tplc="BABC4840" w:tentative="1">
      <w:start w:val="1"/>
      <w:numFmt w:val="bullet"/>
      <w:lvlText w:val="o"/>
      <w:lvlJc w:val="left"/>
      <w:pPr>
        <w:tabs>
          <w:tab w:val="num" w:pos="5760"/>
        </w:tabs>
        <w:ind w:left="5760" w:hanging="360"/>
      </w:pPr>
      <w:rPr>
        <w:rFonts w:ascii="Courier New" w:hAnsi="Courier New" w:cs="Courier New" w:hint="default"/>
      </w:rPr>
    </w:lvl>
    <w:lvl w:ilvl="8" w:tplc="2940CC4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091CE20E">
      <w:start w:val="1"/>
      <w:numFmt w:val="decimal"/>
      <w:lvlText w:val="%1)"/>
      <w:lvlJc w:val="left"/>
      <w:pPr>
        <w:tabs>
          <w:tab w:val="num" w:pos="340"/>
        </w:tabs>
        <w:ind w:left="340" w:hanging="340"/>
      </w:pPr>
      <w:rPr>
        <w:rFonts w:hint="default"/>
      </w:rPr>
    </w:lvl>
    <w:lvl w:ilvl="1" w:tplc="EAE85254" w:tentative="1">
      <w:start w:val="1"/>
      <w:numFmt w:val="lowerLetter"/>
      <w:lvlText w:val="%2."/>
      <w:lvlJc w:val="left"/>
      <w:pPr>
        <w:tabs>
          <w:tab w:val="num" w:pos="1440"/>
        </w:tabs>
        <w:ind w:left="1440" w:hanging="360"/>
      </w:pPr>
    </w:lvl>
    <w:lvl w:ilvl="2" w:tplc="ED2AE66E" w:tentative="1">
      <w:start w:val="1"/>
      <w:numFmt w:val="lowerRoman"/>
      <w:lvlText w:val="%3."/>
      <w:lvlJc w:val="right"/>
      <w:pPr>
        <w:tabs>
          <w:tab w:val="num" w:pos="2160"/>
        </w:tabs>
        <w:ind w:left="2160" w:hanging="180"/>
      </w:pPr>
    </w:lvl>
    <w:lvl w:ilvl="3" w:tplc="CC186368" w:tentative="1">
      <w:start w:val="1"/>
      <w:numFmt w:val="decimal"/>
      <w:lvlText w:val="%4."/>
      <w:lvlJc w:val="left"/>
      <w:pPr>
        <w:tabs>
          <w:tab w:val="num" w:pos="2880"/>
        </w:tabs>
        <w:ind w:left="2880" w:hanging="360"/>
      </w:pPr>
    </w:lvl>
    <w:lvl w:ilvl="4" w:tplc="1BE8E5F4" w:tentative="1">
      <w:start w:val="1"/>
      <w:numFmt w:val="lowerLetter"/>
      <w:lvlText w:val="%5."/>
      <w:lvlJc w:val="left"/>
      <w:pPr>
        <w:tabs>
          <w:tab w:val="num" w:pos="3600"/>
        </w:tabs>
        <w:ind w:left="3600" w:hanging="360"/>
      </w:pPr>
    </w:lvl>
    <w:lvl w:ilvl="5" w:tplc="617E7CB2" w:tentative="1">
      <w:start w:val="1"/>
      <w:numFmt w:val="lowerRoman"/>
      <w:lvlText w:val="%6."/>
      <w:lvlJc w:val="right"/>
      <w:pPr>
        <w:tabs>
          <w:tab w:val="num" w:pos="4320"/>
        </w:tabs>
        <w:ind w:left="4320" w:hanging="180"/>
      </w:pPr>
    </w:lvl>
    <w:lvl w:ilvl="6" w:tplc="169EF9E8" w:tentative="1">
      <w:start w:val="1"/>
      <w:numFmt w:val="decimal"/>
      <w:lvlText w:val="%7."/>
      <w:lvlJc w:val="left"/>
      <w:pPr>
        <w:tabs>
          <w:tab w:val="num" w:pos="5040"/>
        </w:tabs>
        <w:ind w:left="5040" w:hanging="360"/>
      </w:pPr>
    </w:lvl>
    <w:lvl w:ilvl="7" w:tplc="D9C26742" w:tentative="1">
      <w:start w:val="1"/>
      <w:numFmt w:val="lowerLetter"/>
      <w:lvlText w:val="%8."/>
      <w:lvlJc w:val="left"/>
      <w:pPr>
        <w:tabs>
          <w:tab w:val="num" w:pos="5760"/>
        </w:tabs>
        <w:ind w:left="5760" w:hanging="360"/>
      </w:pPr>
    </w:lvl>
    <w:lvl w:ilvl="8" w:tplc="DF74F8B2"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D7A21162">
      <w:start w:val="1"/>
      <w:numFmt w:val="decimal"/>
      <w:lvlText w:val="%1."/>
      <w:lvlJc w:val="left"/>
      <w:pPr>
        <w:tabs>
          <w:tab w:val="num" w:pos="1057"/>
        </w:tabs>
        <w:ind w:left="1057" w:hanging="360"/>
      </w:pPr>
      <w:rPr>
        <w:rFonts w:hint="default"/>
      </w:rPr>
    </w:lvl>
    <w:lvl w:ilvl="1" w:tplc="19321B7E" w:tentative="1">
      <w:start w:val="1"/>
      <w:numFmt w:val="lowerLetter"/>
      <w:lvlText w:val="%2."/>
      <w:lvlJc w:val="left"/>
      <w:pPr>
        <w:tabs>
          <w:tab w:val="num" w:pos="2137"/>
        </w:tabs>
        <w:ind w:left="2137" w:hanging="360"/>
      </w:pPr>
    </w:lvl>
    <w:lvl w:ilvl="2" w:tplc="1D6CFA9C" w:tentative="1">
      <w:start w:val="1"/>
      <w:numFmt w:val="lowerRoman"/>
      <w:lvlText w:val="%3."/>
      <w:lvlJc w:val="right"/>
      <w:pPr>
        <w:tabs>
          <w:tab w:val="num" w:pos="2857"/>
        </w:tabs>
        <w:ind w:left="2857" w:hanging="180"/>
      </w:pPr>
    </w:lvl>
    <w:lvl w:ilvl="3" w:tplc="D70A2E3A" w:tentative="1">
      <w:start w:val="1"/>
      <w:numFmt w:val="decimal"/>
      <w:lvlText w:val="%4."/>
      <w:lvlJc w:val="left"/>
      <w:pPr>
        <w:tabs>
          <w:tab w:val="num" w:pos="3577"/>
        </w:tabs>
        <w:ind w:left="3577" w:hanging="360"/>
      </w:pPr>
    </w:lvl>
    <w:lvl w:ilvl="4" w:tplc="C84A3A94" w:tentative="1">
      <w:start w:val="1"/>
      <w:numFmt w:val="lowerLetter"/>
      <w:lvlText w:val="%5."/>
      <w:lvlJc w:val="left"/>
      <w:pPr>
        <w:tabs>
          <w:tab w:val="num" w:pos="4297"/>
        </w:tabs>
        <w:ind w:left="4297" w:hanging="360"/>
      </w:pPr>
    </w:lvl>
    <w:lvl w:ilvl="5" w:tplc="C4D0E5E0" w:tentative="1">
      <w:start w:val="1"/>
      <w:numFmt w:val="lowerRoman"/>
      <w:lvlText w:val="%6."/>
      <w:lvlJc w:val="right"/>
      <w:pPr>
        <w:tabs>
          <w:tab w:val="num" w:pos="5017"/>
        </w:tabs>
        <w:ind w:left="5017" w:hanging="180"/>
      </w:pPr>
    </w:lvl>
    <w:lvl w:ilvl="6" w:tplc="4ED6EAA6" w:tentative="1">
      <w:start w:val="1"/>
      <w:numFmt w:val="decimal"/>
      <w:lvlText w:val="%7."/>
      <w:lvlJc w:val="left"/>
      <w:pPr>
        <w:tabs>
          <w:tab w:val="num" w:pos="5737"/>
        </w:tabs>
        <w:ind w:left="5737" w:hanging="360"/>
      </w:pPr>
    </w:lvl>
    <w:lvl w:ilvl="7" w:tplc="63D41148" w:tentative="1">
      <w:start w:val="1"/>
      <w:numFmt w:val="lowerLetter"/>
      <w:lvlText w:val="%8."/>
      <w:lvlJc w:val="left"/>
      <w:pPr>
        <w:tabs>
          <w:tab w:val="num" w:pos="6457"/>
        </w:tabs>
        <w:ind w:left="6457" w:hanging="360"/>
      </w:pPr>
    </w:lvl>
    <w:lvl w:ilvl="8" w:tplc="55C2862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5B180E7A">
      <w:start w:val="1"/>
      <w:numFmt w:val="decimal"/>
      <w:pStyle w:val="ATSNumber1"/>
      <w:lvlText w:val="%1)"/>
      <w:lvlJc w:val="left"/>
      <w:pPr>
        <w:tabs>
          <w:tab w:val="num" w:pos="720"/>
        </w:tabs>
        <w:ind w:left="720" w:hanging="360"/>
      </w:pPr>
    </w:lvl>
    <w:lvl w:ilvl="1" w:tplc="B30ED278" w:tentative="1">
      <w:start w:val="1"/>
      <w:numFmt w:val="lowerLetter"/>
      <w:lvlText w:val="%2."/>
      <w:lvlJc w:val="left"/>
      <w:pPr>
        <w:tabs>
          <w:tab w:val="num" w:pos="1440"/>
        </w:tabs>
        <w:ind w:left="1440" w:hanging="360"/>
      </w:pPr>
    </w:lvl>
    <w:lvl w:ilvl="2" w:tplc="EA1CF9C2" w:tentative="1">
      <w:start w:val="1"/>
      <w:numFmt w:val="lowerRoman"/>
      <w:lvlText w:val="%3."/>
      <w:lvlJc w:val="right"/>
      <w:pPr>
        <w:tabs>
          <w:tab w:val="num" w:pos="2160"/>
        </w:tabs>
        <w:ind w:left="2160" w:hanging="180"/>
      </w:pPr>
    </w:lvl>
    <w:lvl w:ilvl="3" w:tplc="4ED21E90" w:tentative="1">
      <w:start w:val="1"/>
      <w:numFmt w:val="decimal"/>
      <w:lvlText w:val="%4."/>
      <w:lvlJc w:val="left"/>
      <w:pPr>
        <w:tabs>
          <w:tab w:val="num" w:pos="2880"/>
        </w:tabs>
        <w:ind w:left="2880" w:hanging="360"/>
      </w:pPr>
    </w:lvl>
    <w:lvl w:ilvl="4" w:tplc="DA407920" w:tentative="1">
      <w:start w:val="1"/>
      <w:numFmt w:val="lowerLetter"/>
      <w:lvlText w:val="%5."/>
      <w:lvlJc w:val="left"/>
      <w:pPr>
        <w:tabs>
          <w:tab w:val="num" w:pos="3600"/>
        </w:tabs>
        <w:ind w:left="3600" w:hanging="360"/>
      </w:pPr>
    </w:lvl>
    <w:lvl w:ilvl="5" w:tplc="339A1674" w:tentative="1">
      <w:start w:val="1"/>
      <w:numFmt w:val="lowerRoman"/>
      <w:lvlText w:val="%6."/>
      <w:lvlJc w:val="right"/>
      <w:pPr>
        <w:tabs>
          <w:tab w:val="num" w:pos="4320"/>
        </w:tabs>
        <w:ind w:left="4320" w:hanging="180"/>
      </w:pPr>
    </w:lvl>
    <w:lvl w:ilvl="6" w:tplc="B0C876DA" w:tentative="1">
      <w:start w:val="1"/>
      <w:numFmt w:val="decimal"/>
      <w:lvlText w:val="%7."/>
      <w:lvlJc w:val="left"/>
      <w:pPr>
        <w:tabs>
          <w:tab w:val="num" w:pos="5040"/>
        </w:tabs>
        <w:ind w:left="5040" w:hanging="360"/>
      </w:pPr>
    </w:lvl>
    <w:lvl w:ilvl="7" w:tplc="2C9E0270" w:tentative="1">
      <w:start w:val="1"/>
      <w:numFmt w:val="lowerLetter"/>
      <w:lvlText w:val="%8."/>
      <w:lvlJc w:val="left"/>
      <w:pPr>
        <w:tabs>
          <w:tab w:val="num" w:pos="5760"/>
        </w:tabs>
        <w:ind w:left="5760" w:hanging="360"/>
      </w:pPr>
    </w:lvl>
    <w:lvl w:ilvl="8" w:tplc="F05C82E2"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DE866B3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E25472FE" w:tentative="1">
      <w:start w:val="1"/>
      <w:numFmt w:val="bullet"/>
      <w:lvlText w:val="o"/>
      <w:lvlJc w:val="left"/>
      <w:pPr>
        <w:tabs>
          <w:tab w:val="num" w:pos="2517"/>
        </w:tabs>
        <w:ind w:left="2517" w:hanging="360"/>
      </w:pPr>
      <w:rPr>
        <w:rFonts w:ascii="Courier New" w:hAnsi="Courier New" w:cs="Courier New" w:hint="default"/>
      </w:rPr>
    </w:lvl>
    <w:lvl w:ilvl="2" w:tplc="D444CA7A" w:tentative="1">
      <w:start w:val="1"/>
      <w:numFmt w:val="bullet"/>
      <w:lvlText w:val=""/>
      <w:lvlJc w:val="left"/>
      <w:pPr>
        <w:tabs>
          <w:tab w:val="num" w:pos="3237"/>
        </w:tabs>
        <w:ind w:left="3237" w:hanging="360"/>
      </w:pPr>
      <w:rPr>
        <w:rFonts w:ascii="Wingdings" w:hAnsi="Wingdings" w:hint="default"/>
      </w:rPr>
    </w:lvl>
    <w:lvl w:ilvl="3" w:tplc="3F68DA06" w:tentative="1">
      <w:start w:val="1"/>
      <w:numFmt w:val="bullet"/>
      <w:lvlText w:val=""/>
      <w:lvlJc w:val="left"/>
      <w:pPr>
        <w:tabs>
          <w:tab w:val="num" w:pos="3957"/>
        </w:tabs>
        <w:ind w:left="3957" w:hanging="360"/>
      </w:pPr>
      <w:rPr>
        <w:rFonts w:ascii="Symbol" w:hAnsi="Symbol" w:hint="default"/>
      </w:rPr>
    </w:lvl>
    <w:lvl w:ilvl="4" w:tplc="D3DC2490" w:tentative="1">
      <w:start w:val="1"/>
      <w:numFmt w:val="bullet"/>
      <w:lvlText w:val="o"/>
      <w:lvlJc w:val="left"/>
      <w:pPr>
        <w:tabs>
          <w:tab w:val="num" w:pos="4677"/>
        </w:tabs>
        <w:ind w:left="4677" w:hanging="360"/>
      </w:pPr>
      <w:rPr>
        <w:rFonts w:ascii="Courier New" w:hAnsi="Courier New" w:cs="Courier New" w:hint="default"/>
      </w:rPr>
    </w:lvl>
    <w:lvl w:ilvl="5" w:tplc="F20A2AD2" w:tentative="1">
      <w:start w:val="1"/>
      <w:numFmt w:val="bullet"/>
      <w:lvlText w:val=""/>
      <w:lvlJc w:val="left"/>
      <w:pPr>
        <w:tabs>
          <w:tab w:val="num" w:pos="5397"/>
        </w:tabs>
        <w:ind w:left="5397" w:hanging="360"/>
      </w:pPr>
      <w:rPr>
        <w:rFonts w:ascii="Wingdings" w:hAnsi="Wingdings" w:hint="default"/>
      </w:rPr>
    </w:lvl>
    <w:lvl w:ilvl="6" w:tplc="0FC0A962" w:tentative="1">
      <w:start w:val="1"/>
      <w:numFmt w:val="bullet"/>
      <w:lvlText w:val=""/>
      <w:lvlJc w:val="left"/>
      <w:pPr>
        <w:tabs>
          <w:tab w:val="num" w:pos="6117"/>
        </w:tabs>
        <w:ind w:left="6117" w:hanging="360"/>
      </w:pPr>
      <w:rPr>
        <w:rFonts w:ascii="Symbol" w:hAnsi="Symbol" w:hint="default"/>
      </w:rPr>
    </w:lvl>
    <w:lvl w:ilvl="7" w:tplc="B62C3228" w:tentative="1">
      <w:start w:val="1"/>
      <w:numFmt w:val="bullet"/>
      <w:lvlText w:val="o"/>
      <w:lvlJc w:val="left"/>
      <w:pPr>
        <w:tabs>
          <w:tab w:val="num" w:pos="6837"/>
        </w:tabs>
        <w:ind w:left="6837" w:hanging="360"/>
      </w:pPr>
      <w:rPr>
        <w:rFonts w:ascii="Courier New" w:hAnsi="Courier New" w:cs="Courier New" w:hint="default"/>
      </w:rPr>
    </w:lvl>
    <w:lvl w:ilvl="8" w:tplc="716CDAE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AB3E1F34">
      <w:start w:val="1"/>
      <w:numFmt w:val="decimal"/>
      <w:pStyle w:val="ATSNumber2"/>
      <w:lvlText w:val="%1."/>
      <w:lvlJc w:val="left"/>
      <w:pPr>
        <w:tabs>
          <w:tab w:val="num" w:pos="720"/>
        </w:tabs>
        <w:ind w:left="720" w:hanging="360"/>
      </w:pPr>
      <w:rPr>
        <w:rFonts w:hint="default"/>
      </w:rPr>
    </w:lvl>
    <w:lvl w:ilvl="1" w:tplc="500C3F94" w:tentative="1">
      <w:start w:val="1"/>
      <w:numFmt w:val="lowerLetter"/>
      <w:lvlText w:val="%2."/>
      <w:lvlJc w:val="left"/>
      <w:pPr>
        <w:tabs>
          <w:tab w:val="num" w:pos="1440"/>
        </w:tabs>
        <w:ind w:left="1440" w:hanging="360"/>
      </w:pPr>
    </w:lvl>
    <w:lvl w:ilvl="2" w:tplc="815403BE" w:tentative="1">
      <w:start w:val="1"/>
      <w:numFmt w:val="lowerRoman"/>
      <w:lvlText w:val="%3."/>
      <w:lvlJc w:val="right"/>
      <w:pPr>
        <w:tabs>
          <w:tab w:val="num" w:pos="2160"/>
        </w:tabs>
        <w:ind w:left="2160" w:hanging="180"/>
      </w:pPr>
    </w:lvl>
    <w:lvl w:ilvl="3" w:tplc="CCD4942A" w:tentative="1">
      <w:start w:val="1"/>
      <w:numFmt w:val="decimal"/>
      <w:lvlText w:val="%4."/>
      <w:lvlJc w:val="left"/>
      <w:pPr>
        <w:tabs>
          <w:tab w:val="num" w:pos="2880"/>
        </w:tabs>
        <w:ind w:left="2880" w:hanging="360"/>
      </w:pPr>
    </w:lvl>
    <w:lvl w:ilvl="4" w:tplc="807EEB9A" w:tentative="1">
      <w:start w:val="1"/>
      <w:numFmt w:val="lowerLetter"/>
      <w:lvlText w:val="%5."/>
      <w:lvlJc w:val="left"/>
      <w:pPr>
        <w:tabs>
          <w:tab w:val="num" w:pos="3600"/>
        </w:tabs>
        <w:ind w:left="3600" w:hanging="360"/>
      </w:pPr>
    </w:lvl>
    <w:lvl w:ilvl="5" w:tplc="EFAE8840" w:tentative="1">
      <w:start w:val="1"/>
      <w:numFmt w:val="lowerRoman"/>
      <w:lvlText w:val="%6."/>
      <w:lvlJc w:val="right"/>
      <w:pPr>
        <w:tabs>
          <w:tab w:val="num" w:pos="4320"/>
        </w:tabs>
        <w:ind w:left="4320" w:hanging="180"/>
      </w:pPr>
    </w:lvl>
    <w:lvl w:ilvl="6" w:tplc="A574E85E" w:tentative="1">
      <w:start w:val="1"/>
      <w:numFmt w:val="decimal"/>
      <w:lvlText w:val="%7."/>
      <w:lvlJc w:val="left"/>
      <w:pPr>
        <w:tabs>
          <w:tab w:val="num" w:pos="5040"/>
        </w:tabs>
        <w:ind w:left="5040" w:hanging="360"/>
      </w:pPr>
    </w:lvl>
    <w:lvl w:ilvl="7" w:tplc="EDB4BC10" w:tentative="1">
      <w:start w:val="1"/>
      <w:numFmt w:val="lowerLetter"/>
      <w:lvlText w:val="%8."/>
      <w:lvlJc w:val="left"/>
      <w:pPr>
        <w:tabs>
          <w:tab w:val="num" w:pos="5760"/>
        </w:tabs>
        <w:ind w:left="5760" w:hanging="360"/>
      </w:pPr>
    </w:lvl>
    <w:lvl w:ilvl="8" w:tplc="3D9A890C"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FD3"/>
    <w:rsid w:val="000B1B55"/>
    <w:rsid w:val="008E559A"/>
    <w:rsid w:val="00E44F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EB21AD"/>
  <w15:chartTrackingRefBased/>
  <w15:docId w15:val="{6437AEF6-6B6E-46E7-8595-AFD179122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uiPriority w:val="99"/>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1344</Words>
  <Characters>7226</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2021-04-29T15:32:00Z</dcterms:modified>
</cp:coreProperties>
</file>