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E0DBB" w14:textId="77777777" w:rsidR="00C26F2D" w:rsidRDefault="005027B2" w:rsidP="009E619D">
      <w:pPr>
        <w:rPr>
          <w:lang w:val="es-ES_tradnl"/>
        </w:rPr>
      </w:pPr>
    </w:p>
    <w:p w14:paraId="5511B0C0" w14:textId="77777777" w:rsidR="002F0A13" w:rsidRDefault="005027B2" w:rsidP="004B4A60">
      <w:pPr>
        <w:rPr>
          <w:b/>
          <w:u w:val="single"/>
          <w:lang w:val="es-ES_tradnl"/>
        </w:rPr>
      </w:pPr>
    </w:p>
    <w:p w14:paraId="22B68C4B" w14:textId="77777777" w:rsidR="002F0A13" w:rsidRDefault="005027B2" w:rsidP="004B4A60">
      <w:pPr>
        <w:rPr>
          <w:b/>
          <w:u w:val="single"/>
          <w:lang w:val="es-ES_tradnl"/>
        </w:rPr>
      </w:pPr>
    </w:p>
    <w:p w14:paraId="5030EB38" w14:textId="77777777" w:rsidR="002F0A13" w:rsidRDefault="005027B2" w:rsidP="004B4A60">
      <w:pPr>
        <w:rPr>
          <w:b/>
          <w:u w:val="single"/>
          <w:lang w:val="es-ES_tradnl"/>
        </w:rPr>
      </w:pPr>
    </w:p>
    <w:p w14:paraId="7FBC923D" w14:textId="77777777" w:rsidR="002F0A13" w:rsidRDefault="005027B2" w:rsidP="004B4A60">
      <w:pPr>
        <w:rPr>
          <w:b/>
          <w:u w:val="single"/>
          <w:lang w:val="es-ES_tradnl"/>
        </w:rPr>
      </w:pPr>
    </w:p>
    <w:p w14:paraId="004338A2" w14:textId="77777777" w:rsidR="00C26F2D" w:rsidRDefault="005027B2" w:rsidP="004B4A60">
      <w:pPr>
        <w:rPr>
          <w:b/>
          <w:u w:val="single"/>
          <w:lang w:val="es-ES_tradnl"/>
        </w:rPr>
      </w:pPr>
    </w:p>
    <w:p w14:paraId="2DE045BE" w14:textId="07622CF1" w:rsidR="004B4A60" w:rsidRPr="00923065" w:rsidRDefault="00BF750F" w:rsidP="001B789F">
      <w:pPr>
        <w:pStyle w:val="ATSTitle"/>
      </w:pPr>
      <w:bookmarkStart w:id="0" w:name="name"/>
      <w:r>
        <w:t>Revised Management Plan for Antarctic Specially Protected Area No. 145 Port Foster, Deception Island, South Shetland Islands</w:t>
      </w:r>
    </w:p>
    <w:bookmarkEnd w:id="0"/>
    <w:p w14:paraId="0FE047EB" w14:textId="77777777" w:rsidR="00A5379D" w:rsidRPr="00923065" w:rsidRDefault="00A5379D" w:rsidP="001B789F">
      <w:pPr>
        <w:pStyle w:val="ATSTitle"/>
        <w:rPr>
          <w:lang w:val="es-AR"/>
        </w:rPr>
      </w:pPr>
    </w:p>
    <w:p w14:paraId="2A33C595" w14:textId="77777777" w:rsidR="004B4A60" w:rsidRPr="00923065" w:rsidRDefault="005027B2" w:rsidP="00F75424">
      <w:pPr>
        <w:jc w:val="center"/>
        <w:rPr>
          <w:lang w:val="es-AR"/>
        </w:rPr>
      </w:pPr>
    </w:p>
    <w:p w14:paraId="1F2FBC59" w14:textId="77777777" w:rsidR="004B4A60" w:rsidRPr="00923065" w:rsidRDefault="005027B2" w:rsidP="002F0A13">
      <w:pPr>
        <w:rPr>
          <w:lang w:val="es-AR"/>
        </w:rPr>
      </w:pPr>
    </w:p>
    <w:p w14:paraId="0559664C" w14:textId="77777777" w:rsidR="004B4A60" w:rsidRPr="00923065" w:rsidRDefault="005027B2" w:rsidP="00F75424">
      <w:pPr>
        <w:jc w:val="center"/>
      </w:pPr>
      <w:bookmarkStart w:id="1" w:name="memo"/>
      <w:bookmarkEnd w:id="1"/>
    </w:p>
    <w:p w14:paraId="51B61B6B" w14:textId="77777777" w:rsidR="004B4A60" w:rsidRPr="00923065" w:rsidRDefault="005027B2" w:rsidP="004B4A60">
      <w:pPr>
        <w:rPr>
          <w:lang w:val="es-AR"/>
        </w:rPr>
      </w:pPr>
    </w:p>
    <w:p w14:paraId="5246BF59" w14:textId="77777777" w:rsidR="00C26F2D" w:rsidRPr="00923065" w:rsidRDefault="005027B2" w:rsidP="00952E9F">
      <w:pPr>
        <w:rPr>
          <w:lang w:val="es-AR"/>
        </w:rPr>
        <w:sectPr w:rsidR="00C26F2D" w:rsidRPr="00923065" w:rsidSect="000E1D5C">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134" w:header="709" w:footer="709" w:gutter="0"/>
          <w:cols w:space="708"/>
          <w:docGrid w:linePitch="360"/>
        </w:sectPr>
      </w:pPr>
    </w:p>
    <w:p w14:paraId="15772592" w14:textId="56B6D939" w:rsidR="00923065" w:rsidRDefault="00923065" w:rsidP="00923065">
      <w:pPr>
        <w:autoSpaceDE w:val="0"/>
        <w:autoSpaceDN w:val="0"/>
        <w:adjustRightInd w:val="0"/>
        <w:spacing w:before="360" w:after="360"/>
        <w:jc w:val="center"/>
        <w:rPr>
          <w:rFonts w:ascii="Arial" w:hAnsi="Arial"/>
          <w:b/>
          <w:sz w:val="32"/>
          <w:szCs w:val="32"/>
        </w:rPr>
      </w:pPr>
      <w:r>
        <w:rPr>
          <w:rFonts w:ascii="Arial" w:hAnsi="Arial"/>
          <w:b/>
          <w:sz w:val="32"/>
          <w:szCs w:val="32"/>
        </w:rPr>
        <w:lastRenderedPageBreak/>
        <w:t>Revised Management Plan for Antarctic Specially Protected Area No. 145: Port Foster, Deception Island, South Shetland Islands</w:t>
      </w:r>
    </w:p>
    <w:p w14:paraId="7A5B1D72" w14:textId="77777777" w:rsidR="00923065" w:rsidRPr="002A1FE0" w:rsidRDefault="00923065" w:rsidP="00923065">
      <w:pPr>
        <w:pStyle w:val="ATSHeading2"/>
        <w:jc w:val="center"/>
        <w:rPr>
          <w:rFonts w:ascii="Times New Roman" w:hAnsi="Times New Roman"/>
          <w:i w:val="0"/>
          <w:sz w:val="22"/>
          <w:szCs w:val="24"/>
        </w:rPr>
      </w:pPr>
      <w:r>
        <w:rPr>
          <w:rFonts w:ascii="Times New Roman" w:hAnsi="Times New Roman"/>
          <w:i w:val="0"/>
          <w:sz w:val="22"/>
          <w:szCs w:val="24"/>
        </w:rPr>
        <w:t>Working Paper submitted by Chile and Spain</w:t>
      </w:r>
    </w:p>
    <w:p w14:paraId="14859926" w14:textId="77777777" w:rsidR="00923065" w:rsidRPr="00B85250" w:rsidRDefault="00923065" w:rsidP="00923065">
      <w:pPr>
        <w:pStyle w:val="ATSHeading2"/>
      </w:pPr>
      <w:r>
        <w:t>Summary</w:t>
      </w:r>
    </w:p>
    <w:p w14:paraId="64510EA9" w14:textId="77777777" w:rsidR="00923065" w:rsidRPr="00B85250" w:rsidRDefault="00923065" w:rsidP="00923065">
      <w:pPr>
        <w:pStyle w:val="ATSNormal"/>
        <w:jc w:val="both"/>
      </w:pPr>
      <w:r>
        <w:t xml:space="preserve">Chile and Spain present the revised management plan for ASPA No. 145. In view </w:t>
      </w:r>
      <w:r>
        <w:rPr>
          <w:sz w:val="24"/>
        </w:rPr>
        <w:t>of the extensive changes proposed to the revised plan, Chile and Spain recommend requesting the Subsidiary Group on Management Plans provide a more detailed intersessional review of the revised plan.</w:t>
      </w:r>
      <w:r>
        <w:t xml:space="preserve"> </w:t>
      </w:r>
    </w:p>
    <w:p w14:paraId="14AC4AA8" w14:textId="77777777" w:rsidR="00923065" w:rsidRPr="00B85250" w:rsidRDefault="00923065" w:rsidP="00923065">
      <w:pPr>
        <w:pStyle w:val="ATSHeading2"/>
      </w:pPr>
      <w:r>
        <w:t>Introduction</w:t>
      </w:r>
    </w:p>
    <w:p w14:paraId="30B8B9AB" w14:textId="77777777" w:rsidR="00923065" w:rsidRPr="00032DDE" w:rsidRDefault="00923065" w:rsidP="00923065">
      <w:pPr>
        <w:pStyle w:val="ATSNumber1"/>
        <w:numPr>
          <w:ilvl w:val="0"/>
          <w:numId w:val="0"/>
        </w:numPr>
        <w:spacing w:before="120" w:after="120"/>
        <w:jc w:val="both"/>
        <w:rPr>
          <w:szCs w:val="22"/>
        </w:rPr>
      </w:pPr>
      <w:r>
        <w:t>In 1987, due to the proposal presented by Chile, two Port Foster sites were designated as SSSI No. 27, under Recommendation XIV-5. These were intended to protect the benthic assets associated with two types of seabed, at depths of between 50 and 150 m (sub-site A), and between 100 and 150 m (sub-site B). Subsequently, the site was renamed ASPA No. 145 in accordance with Decision 1 (2002).</w:t>
      </w:r>
    </w:p>
    <w:p w14:paraId="39B79629" w14:textId="77777777" w:rsidR="00923065" w:rsidRDefault="00923065" w:rsidP="00923065">
      <w:pPr>
        <w:pStyle w:val="ATSNumber1"/>
        <w:numPr>
          <w:ilvl w:val="0"/>
          <w:numId w:val="0"/>
        </w:numPr>
        <w:spacing w:before="120" w:after="120"/>
        <w:jc w:val="both"/>
        <w:rPr>
          <w:szCs w:val="22"/>
        </w:rPr>
      </w:pPr>
      <w:r>
        <w:t>After two extensions of the management plan (Measure 2 (2000) and Measure 5 (2009)), a revised version was approved that was incorporated into the package associated with Antarctic Specially Managed Area No. 4, Deception Island, through Measure 3 (2005).</w:t>
      </w:r>
    </w:p>
    <w:p w14:paraId="53086FD8" w14:textId="77777777" w:rsidR="00923065" w:rsidRPr="00032DDE" w:rsidRDefault="00923065" w:rsidP="00923065">
      <w:pPr>
        <w:pStyle w:val="ATSNumber1"/>
        <w:numPr>
          <w:ilvl w:val="0"/>
          <w:numId w:val="0"/>
        </w:numPr>
        <w:spacing w:before="120" w:after="120"/>
        <w:jc w:val="both"/>
        <w:rPr>
          <w:szCs w:val="22"/>
        </w:rPr>
      </w:pPr>
      <w:r>
        <w:t xml:space="preserve">Additionally, studies carried out by researchers from the Spanish Antarctic Programme between 2008 and 2017 indicate that the southern sector of Port Foster, the area surrounding </w:t>
      </w:r>
      <w:proofErr w:type="spellStart"/>
      <w:r>
        <w:t>Fildes</w:t>
      </w:r>
      <w:proofErr w:type="spellEnd"/>
      <w:r>
        <w:t xml:space="preserve"> Point, which lies between 0 and 50 m deep, contains the richest areas of benthic species on the island, and is a sector whose biodiversity has unique characteristics. Given that this area is also the area within the island that receives the most vessels with visitors, it is considered necessary to protect it by including it as a new sub-site of ASPA No. 145.</w:t>
      </w:r>
    </w:p>
    <w:p w14:paraId="05B7A037" w14:textId="1D2AA0A9" w:rsidR="00923065" w:rsidRPr="00032DDE" w:rsidRDefault="00923065" w:rsidP="00923065">
      <w:pPr>
        <w:pStyle w:val="ATSNumber1"/>
        <w:numPr>
          <w:ilvl w:val="0"/>
          <w:numId w:val="0"/>
        </w:numPr>
        <w:spacing w:before="120" w:after="120"/>
        <w:jc w:val="both"/>
        <w:rPr>
          <w:szCs w:val="22"/>
        </w:rPr>
      </w:pPr>
      <w:r>
        <w:t>The following is a review of the management plan considering the three proposed sub-sites.</w:t>
      </w:r>
    </w:p>
    <w:p w14:paraId="708A2349" w14:textId="77777777" w:rsidR="00923065" w:rsidRPr="00B85250" w:rsidRDefault="00923065" w:rsidP="00923065">
      <w:pPr>
        <w:pStyle w:val="ATSHeading2"/>
      </w:pPr>
      <w:r>
        <w:t>Amendments</w:t>
      </w:r>
    </w:p>
    <w:p w14:paraId="7E78A865" w14:textId="77777777" w:rsidR="00923065" w:rsidRDefault="00923065" w:rsidP="00923065">
      <w:pPr>
        <w:pStyle w:val="ATSNormal"/>
        <w:jc w:val="both"/>
      </w:pPr>
      <w:r>
        <w:t>The proposal presented below has changed the format of the Management Plan in accordance with the provisions of Resolution 2 (2011), Guide for the preparation of Management Plans for Antarctic Specially Protected Areas.</w:t>
      </w:r>
    </w:p>
    <w:p w14:paraId="75E114B6" w14:textId="77777777" w:rsidR="00923065" w:rsidRPr="00B85250" w:rsidRDefault="00923065" w:rsidP="00923065">
      <w:pPr>
        <w:pStyle w:val="ATSNormal"/>
        <w:jc w:val="both"/>
      </w:pPr>
      <w:r>
        <w:t>The main amendments made to the original plan are presented in the following sections:</w:t>
      </w:r>
    </w:p>
    <w:p w14:paraId="56E48B38" w14:textId="77777777" w:rsidR="00923065" w:rsidRPr="00B85250" w:rsidRDefault="00923065" w:rsidP="00923065">
      <w:pPr>
        <w:pStyle w:val="ATSNormal"/>
        <w:jc w:val="both"/>
      </w:pPr>
      <w:r>
        <w:rPr>
          <w:b/>
          <w:bCs/>
        </w:rPr>
        <w:t xml:space="preserve">Section 2. </w:t>
      </w:r>
      <w:r>
        <w:t xml:space="preserve">Two new objectives have been added to the original plan. </w:t>
      </w:r>
    </w:p>
    <w:p w14:paraId="18BDBBFD" w14:textId="77777777" w:rsidR="00923065" w:rsidRDefault="00923065" w:rsidP="00923065">
      <w:pPr>
        <w:pStyle w:val="ATSNormal"/>
        <w:jc w:val="both"/>
        <w:rPr>
          <w:bCs/>
        </w:rPr>
      </w:pPr>
      <w:r>
        <w:rPr>
          <w:b/>
          <w:bCs/>
        </w:rPr>
        <w:t>Section 3.</w:t>
      </w:r>
      <w:r>
        <w:t xml:space="preserve"> The management activities for the Area have been modified, eliminating two of those originally proposed but incorporating four new activities.</w:t>
      </w:r>
    </w:p>
    <w:p w14:paraId="41E187D1" w14:textId="77777777" w:rsidR="00923065" w:rsidRDefault="00923065" w:rsidP="00923065">
      <w:pPr>
        <w:pStyle w:val="ATSNormal"/>
        <w:jc w:val="both"/>
        <w:rPr>
          <w:bCs/>
        </w:rPr>
      </w:pPr>
      <w:r>
        <w:rPr>
          <w:b/>
          <w:bCs/>
        </w:rPr>
        <w:t xml:space="preserve">Section 4. </w:t>
      </w:r>
      <w:r>
        <w:t>The period for designation of the Area has been modified.</w:t>
      </w:r>
    </w:p>
    <w:p w14:paraId="04242B88" w14:textId="77777777" w:rsidR="00923065" w:rsidRPr="001D7913" w:rsidRDefault="00923065" w:rsidP="00923065">
      <w:pPr>
        <w:pStyle w:val="ATSNormal"/>
        <w:jc w:val="both"/>
      </w:pPr>
      <w:r>
        <w:rPr>
          <w:b/>
          <w:bCs/>
        </w:rPr>
        <w:t>Section 5.</w:t>
      </w:r>
      <w:r>
        <w:t xml:space="preserve"> A third sub-site C has been included in the map.</w:t>
      </w:r>
    </w:p>
    <w:p w14:paraId="7AA6A245" w14:textId="77777777" w:rsidR="00923065" w:rsidRPr="00B85250" w:rsidRDefault="00923065" w:rsidP="00923065">
      <w:pPr>
        <w:pStyle w:val="ATSNormal"/>
        <w:jc w:val="both"/>
      </w:pPr>
      <w:r>
        <w:rPr>
          <w:b/>
          <w:bCs/>
        </w:rPr>
        <w:t>Section 6 (i).</w:t>
      </w:r>
      <w:r>
        <w:t xml:space="preserve"> The description of the Area was made clearer, detailing a general description, the limits of the Area, its hydrographic characteristics and the main species present in each of the three sub-sites that are presented.</w:t>
      </w:r>
    </w:p>
    <w:p w14:paraId="65AC352A" w14:textId="77777777" w:rsidR="00923065" w:rsidRPr="00B85250" w:rsidRDefault="00923065" w:rsidP="00923065">
      <w:pPr>
        <w:pStyle w:val="ATSNormal"/>
        <w:jc w:val="both"/>
      </w:pPr>
      <w:r>
        <w:rPr>
          <w:b/>
          <w:bCs/>
        </w:rPr>
        <w:t xml:space="preserve">Section 6 (ii). </w:t>
      </w:r>
      <w:r>
        <w:t xml:space="preserve">Access to the Area has been specified. </w:t>
      </w:r>
    </w:p>
    <w:p w14:paraId="1A806F17" w14:textId="77777777" w:rsidR="00923065" w:rsidRPr="001D7913" w:rsidRDefault="00923065" w:rsidP="00923065">
      <w:pPr>
        <w:pStyle w:val="ATSNormal"/>
        <w:jc w:val="both"/>
        <w:rPr>
          <w:bCs/>
        </w:rPr>
      </w:pPr>
      <w:r>
        <w:rPr>
          <w:b/>
          <w:bCs/>
        </w:rPr>
        <w:t xml:space="preserve">Section 6 (iii). </w:t>
      </w:r>
      <w:r>
        <w:t>Structures located in the immediate vicinity of the Area are indicated.</w:t>
      </w:r>
    </w:p>
    <w:p w14:paraId="4C328F3C" w14:textId="77777777" w:rsidR="00923065" w:rsidRPr="001D7913" w:rsidRDefault="00923065" w:rsidP="00923065">
      <w:pPr>
        <w:pStyle w:val="ATSNormal"/>
        <w:jc w:val="both"/>
        <w:rPr>
          <w:b/>
        </w:rPr>
      </w:pPr>
      <w:r>
        <w:rPr>
          <w:b/>
          <w:bCs/>
        </w:rPr>
        <w:t xml:space="preserve">Section 6 (iv). </w:t>
      </w:r>
      <w:r>
        <w:t>The presentation of the ASPAs located in the vicinity of the Area has been improved.</w:t>
      </w:r>
    </w:p>
    <w:p w14:paraId="4AADCE62" w14:textId="77777777" w:rsidR="00923065" w:rsidRPr="00B85250" w:rsidRDefault="00923065" w:rsidP="00923065">
      <w:pPr>
        <w:pStyle w:val="ATSNormal"/>
        <w:jc w:val="both"/>
      </w:pPr>
      <w:r>
        <w:rPr>
          <w:b/>
          <w:bCs/>
        </w:rPr>
        <w:lastRenderedPageBreak/>
        <w:t>Section 7.</w:t>
      </w:r>
      <w:r>
        <w:t xml:space="preserve"> The introduction to this section summarizes the list of activities for which permission can be granted.</w:t>
      </w:r>
    </w:p>
    <w:p w14:paraId="08D35A6D" w14:textId="77777777" w:rsidR="00923065" w:rsidRPr="001D7913" w:rsidRDefault="00923065" w:rsidP="00923065">
      <w:pPr>
        <w:pStyle w:val="ATSNormal"/>
        <w:jc w:val="both"/>
        <w:rPr>
          <w:bCs/>
        </w:rPr>
      </w:pPr>
      <w:r>
        <w:rPr>
          <w:b/>
          <w:bCs/>
        </w:rPr>
        <w:t>Section 7 (i).</w:t>
      </w:r>
      <w:r>
        <w:t xml:space="preserve"> The description of the conditions for permits has been improved, including two new ones.</w:t>
      </w:r>
    </w:p>
    <w:p w14:paraId="2F40AC64" w14:textId="77777777" w:rsidR="00923065" w:rsidRPr="00B85250" w:rsidRDefault="00923065" w:rsidP="00923065">
      <w:pPr>
        <w:pStyle w:val="ATSNormal"/>
        <w:jc w:val="both"/>
      </w:pPr>
      <w:r>
        <w:rPr>
          <w:b/>
          <w:bCs/>
        </w:rPr>
        <w:t xml:space="preserve">Section 7 (ii). </w:t>
      </w:r>
      <w:r>
        <w:t xml:space="preserve">Information on access to the Area and movement within it has been improved. </w:t>
      </w:r>
    </w:p>
    <w:p w14:paraId="5F2232EC" w14:textId="77777777" w:rsidR="00923065" w:rsidRDefault="00923065" w:rsidP="00923065">
      <w:pPr>
        <w:pStyle w:val="ATSNormal"/>
        <w:jc w:val="both"/>
      </w:pPr>
      <w:bookmarkStart w:id="9" w:name="OLE_LINK3"/>
      <w:bookmarkStart w:id="10" w:name="OLE_LINK4"/>
      <w:r>
        <w:rPr>
          <w:b/>
          <w:bCs/>
        </w:rPr>
        <w:t xml:space="preserve">Section 7 (iii). </w:t>
      </w:r>
      <w:r>
        <w:t>Activities that can be carried out in the Area are described in detail.</w:t>
      </w:r>
      <w:bookmarkEnd w:id="9"/>
      <w:bookmarkEnd w:id="10"/>
      <w:r>
        <w:t xml:space="preserve"> </w:t>
      </w:r>
    </w:p>
    <w:p w14:paraId="3E086339" w14:textId="77777777" w:rsidR="00923065" w:rsidRDefault="00923065" w:rsidP="00923065">
      <w:pPr>
        <w:pStyle w:val="ATSNormal"/>
        <w:jc w:val="both"/>
      </w:pPr>
      <w:r>
        <w:rPr>
          <w:b/>
        </w:rPr>
        <w:t>Section 7 (iv).</w:t>
      </w:r>
      <w:r>
        <w:t xml:space="preserve"> Restrictions on the installation of structures and their removal in the Area are detailed.</w:t>
      </w:r>
    </w:p>
    <w:p w14:paraId="62D3533A" w14:textId="77777777" w:rsidR="00923065" w:rsidRDefault="00923065" w:rsidP="00923065">
      <w:pPr>
        <w:pStyle w:val="ATSNormal"/>
        <w:jc w:val="both"/>
      </w:pPr>
      <w:r>
        <w:rPr>
          <w:b/>
          <w:bCs/>
        </w:rPr>
        <w:t xml:space="preserve">Section 7 (vi). </w:t>
      </w:r>
      <w:r>
        <w:t>The description of restrictions regarding materials and organisms that can be introduced is improved and supplemented.</w:t>
      </w:r>
    </w:p>
    <w:p w14:paraId="602CC9E2" w14:textId="77777777" w:rsidR="00923065" w:rsidRDefault="00923065" w:rsidP="00923065">
      <w:pPr>
        <w:pStyle w:val="ATSNormal"/>
        <w:jc w:val="both"/>
      </w:pPr>
      <w:r>
        <w:rPr>
          <w:b/>
        </w:rPr>
        <w:t>Section 7 (vii).</w:t>
      </w:r>
      <w:r>
        <w:t xml:space="preserve"> Information regarding the collection of flora and fauna has been improved.</w:t>
      </w:r>
    </w:p>
    <w:p w14:paraId="3149DFEF" w14:textId="77777777" w:rsidR="00923065" w:rsidRDefault="00923065" w:rsidP="00923065">
      <w:pPr>
        <w:pStyle w:val="ATSNormal"/>
        <w:jc w:val="both"/>
      </w:pPr>
      <w:r>
        <w:rPr>
          <w:b/>
        </w:rPr>
        <w:t>Section 7 (viii).</w:t>
      </w:r>
      <w:r>
        <w:t xml:space="preserve"> The description regarding the collection or removal of material has been improved.</w:t>
      </w:r>
    </w:p>
    <w:p w14:paraId="7A209ED3" w14:textId="77777777" w:rsidR="00923065" w:rsidRPr="00B85250" w:rsidRDefault="00923065" w:rsidP="00923065">
      <w:pPr>
        <w:pStyle w:val="ATSNormal"/>
        <w:jc w:val="both"/>
      </w:pPr>
      <w:r>
        <w:rPr>
          <w:b/>
        </w:rPr>
        <w:t>Section 7 (ix).</w:t>
      </w:r>
      <w:r>
        <w:t xml:space="preserve"> Information regarding waste disposal in the Area is detailed.</w:t>
      </w:r>
    </w:p>
    <w:p w14:paraId="5079FE09" w14:textId="77777777" w:rsidR="00923065" w:rsidRDefault="00923065" w:rsidP="00923065">
      <w:pPr>
        <w:pStyle w:val="ATSNormal"/>
        <w:jc w:val="both"/>
      </w:pPr>
      <w:r>
        <w:rPr>
          <w:b/>
          <w:bCs/>
        </w:rPr>
        <w:t xml:space="preserve">Section 7 (x). </w:t>
      </w:r>
      <w:r>
        <w:t>Measures necessary to meet the aims of the Management Plan have been improved and supplemented.</w:t>
      </w:r>
    </w:p>
    <w:p w14:paraId="731382FF" w14:textId="77777777" w:rsidR="00923065" w:rsidRDefault="00923065" w:rsidP="00923065">
      <w:pPr>
        <w:pStyle w:val="ATSNormal"/>
        <w:jc w:val="both"/>
      </w:pPr>
      <w:r>
        <w:rPr>
          <w:b/>
        </w:rPr>
        <w:t>Section 7 (xi).</w:t>
      </w:r>
      <w:r>
        <w:t xml:space="preserve"> Information regarding reporting requirements is enhanced and supplemented.</w:t>
      </w:r>
    </w:p>
    <w:p w14:paraId="4E9567C6" w14:textId="77777777" w:rsidR="00923065" w:rsidRPr="00B85250" w:rsidRDefault="00923065" w:rsidP="00923065">
      <w:pPr>
        <w:pStyle w:val="ATSNormal"/>
        <w:jc w:val="both"/>
      </w:pPr>
      <w:r>
        <w:rPr>
          <w:b/>
        </w:rPr>
        <w:t>Section 8.</w:t>
      </w:r>
      <w:r>
        <w:t xml:space="preserve"> The bibliographic review is supplemented with information related to Port Foster and updated results of the studies carried out in the Area.</w:t>
      </w:r>
    </w:p>
    <w:p w14:paraId="54BAE993" w14:textId="77777777" w:rsidR="00923065" w:rsidRDefault="00923065" w:rsidP="00923065">
      <w:pPr>
        <w:pStyle w:val="ATSHeading2"/>
      </w:pPr>
      <w:r>
        <w:t>Recommendation</w:t>
      </w:r>
    </w:p>
    <w:p w14:paraId="219F93A8" w14:textId="77777777" w:rsidR="00923065" w:rsidRDefault="00923065" w:rsidP="00923065">
      <w:pPr>
        <w:pStyle w:val="ATSNormal"/>
        <w:jc w:val="both"/>
      </w:pPr>
      <w:r>
        <w:rPr>
          <w:sz w:val="24"/>
        </w:rPr>
        <w:t>The draft management plan is submitted for consideration by the Committee for Environmental Protection. In particular, we ask the CEP to consider the aforementioned changes. Nonetheless, in view of the extensive modifications proposed to the revised plan, Chile and Spain recommend requesting the Subsidiary Group on Management Plans provide a more detailed intersessional examination of the revised plan and report on it in the XXIV CEP Meeting</w:t>
      </w:r>
      <w:r>
        <w:t>.</w:t>
      </w:r>
    </w:p>
    <w:p w14:paraId="01F0530D" w14:textId="77777777" w:rsidR="00923065" w:rsidRPr="00AA4CA9" w:rsidRDefault="00923065" w:rsidP="00923065">
      <w:pPr>
        <w:pStyle w:val="ATSNormal"/>
        <w:jc w:val="center"/>
        <w:rPr>
          <w:rFonts w:ascii="TimesNewRomanPS-BoldMT" w:hAnsi="TimesNewRomanPS-BoldMT" w:cs="TimesNewRomanPS-BoldMT"/>
          <w:b/>
          <w:bCs/>
          <w:i/>
          <w:sz w:val="24"/>
        </w:rPr>
      </w:pPr>
      <w:r>
        <w:br w:type="page"/>
      </w:r>
      <w:r>
        <w:rPr>
          <w:rFonts w:ascii="TimesNewRomanPS-BoldMT" w:hAnsi="TimesNewRomanPS-BoldMT"/>
          <w:b/>
          <w:bCs/>
          <w:i/>
          <w:sz w:val="24"/>
        </w:rPr>
        <w:lastRenderedPageBreak/>
        <w:t>ASPA No. 145 PORT FOSTER, DECEPTION ISLAND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7"/>
        <w:gridCol w:w="4812"/>
      </w:tblGrid>
      <w:tr w:rsidR="00923065" w:rsidRPr="002A1FE0" w14:paraId="1BCA875F" w14:textId="77777777" w:rsidTr="00D63487">
        <w:trPr>
          <w:trHeight w:val="120"/>
        </w:trPr>
        <w:tc>
          <w:tcPr>
            <w:tcW w:w="4817" w:type="dxa"/>
          </w:tcPr>
          <w:p w14:paraId="7BAEC3FB" w14:textId="77777777" w:rsidR="00923065" w:rsidRPr="002A1FE0" w:rsidRDefault="00923065" w:rsidP="00923065">
            <w:pPr>
              <w:pStyle w:val="Default"/>
              <w:numPr>
                <w:ilvl w:val="0"/>
                <w:numId w:val="22"/>
              </w:numPr>
              <w:spacing w:before="40" w:after="40"/>
              <w:ind w:left="426"/>
              <w:rPr>
                <w:rFonts w:ascii="Times New Roman" w:hAnsi="Times New Roman" w:cs="Times New Roman"/>
                <w:sz w:val="21"/>
                <w:szCs w:val="21"/>
              </w:rPr>
            </w:pPr>
            <w:r>
              <w:rPr>
                <w:rFonts w:ascii="Times New Roman" w:hAnsi="Times New Roman"/>
                <w:sz w:val="21"/>
                <w:szCs w:val="21"/>
              </w:rPr>
              <w:t xml:space="preserve">Is a new ASPA proposed? </w:t>
            </w:r>
          </w:p>
        </w:tc>
        <w:tc>
          <w:tcPr>
            <w:tcW w:w="4812" w:type="dxa"/>
          </w:tcPr>
          <w:p w14:paraId="7AA15F1B" w14:textId="77777777" w:rsidR="00923065" w:rsidRPr="002A1FE0" w:rsidRDefault="00923065" w:rsidP="001D22D3">
            <w:pPr>
              <w:pStyle w:val="Default"/>
              <w:spacing w:before="40" w:after="40"/>
              <w:rPr>
                <w:rFonts w:ascii="Times New Roman" w:hAnsi="Times New Roman" w:cs="Times New Roman"/>
                <w:sz w:val="21"/>
                <w:szCs w:val="21"/>
              </w:rPr>
            </w:pPr>
            <w:r>
              <w:rPr>
                <w:rFonts w:ascii="Times New Roman" w:hAnsi="Times New Roman"/>
                <w:sz w:val="21"/>
                <w:szCs w:val="21"/>
              </w:rPr>
              <w:t>No.</w:t>
            </w:r>
          </w:p>
        </w:tc>
      </w:tr>
      <w:tr w:rsidR="00923065" w:rsidRPr="002A1FE0" w14:paraId="4233D3DE" w14:textId="77777777" w:rsidTr="00D63487">
        <w:tc>
          <w:tcPr>
            <w:tcW w:w="4817" w:type="dxa"/>
          </w:tcPr>
          <w:p w14:paraId="43B80507" w14:textId="77777777" w:rsidR="00923065" w:rsidRPr="002A1FE0" w:rsidRDefault="00923065" w:rsidP="00923065">
            <w:pPr>
              <w:pStyle w:val="Default"/>
              <w:numPr>
                <w:ilvl w:val="0"/>
                <w:numId w:val="22"/>
              </w:numPr>
              <w:spacing w:before="40" w:after="40"/>
              <w:ind w:left="426"/>
              <w:rPr>
                <w:rFonts w:ascii="Times New Roman" w:hAnsi="Times New Roman" w:cs="Times New Roman"/>
                <w:sz w:val="21"/>
                <w:szCs w:val="21"/>
              </w:rPr>
            </w:pPr>
            <w:r>
              <w:rPr>
                <w:rFonts w:ascii="Times New Roman" w:hAnsi="Times New Roman"/>
                <w:sz w:val="21"/>
                <w:szCs w:val="21"/>
              </w:rPr>
              <w:t>Is a new ASMA proposed?</w:t>
            </w:r>
          </w:p>
        </w:tc>
        <w:tc>
          <w:tcPr>
            <w:tcW w:w="4812" w:type="dxa"/>
          </w:tcPr>
          <w:p w14:paraId="05A5BC42" w14:textId="77777777" w:rsidR="00923065" w:rsidRPr="002A1FE0" w:rsidRDefault="00923065" w:rsidP="001D22D3">
            <w:pPr>
              <w:pStyle w:val="Default"/>
              <w:spacing w:before="40" w:after="40"/>
              <w:rPr>
                <w:rFonts w:ascii="Times New Roman" w:hAnsi="Times New Roman" w:cs="Times New Roman"/>
                <w:sz w:val="21"/>
                <w:szCs w:val="21"/>
              </w:rPr>
            </w:pPr>
            <w:r>
              <w:rPr>
                <w:rFonts w:ascii="Times New Roman" w:hAnsi="Times New Roman"/>
                <w:sz w:val="21"/>
                <w:szCs w:val="21"/>
              </w:rPr>
              <w:t>No.</w:t>
            </w:r>
          </w:p>
        </w:tc>
      </w:tr>
      <w:tr w:rsidR="00923065" w:rsidRPr="00BB44F2" w14:paraId="657E22B0" w14:textId="77777777" w:rsidTr="00D63487">
        <w:tc>
          <w:tcPr>
            <w:tcW w:w="4817" w:type="dxa"/>
          </w:tcPr>
          <w:p w14:paraId="5953C5B6" w14:textId="77777777" w:rsidR="00923065" w:rsidRPr="002A1FE0" w:rsidRDefault="00923065" w:rsidP="00923065">
            <w:pPr>
              <w:pStyle w:val="Default"/>
              <w:numPr>
                <w:ilvl w:val="0"/>
                <w:numId w:val="22"/>
              </w:numPr>
              <w:spacing w:before="40" w:after="40"/>
              <w:ind w:left="426"/>
              <w:rPr>
                <w:rFonts w:ascii="Times New Roman" w:hAnsi="Times New Roman" w:cs="Times New Roman"/>
                <w:sz w:val="21"/>
                <w:szCs w:val="21"/>
              </w:rPr>
            </w:pPr>
            <w:r>
              <w:rPr>
                <w:rFonts w:ascii="Times New Roman" w:hAnsi="Times New Roman"/>
                <w:sz w:val="21"/>
                <w:szCs w:val="21"/>
              </w:rPr>
              <w:t>Does the proposal relate to an existing ASPA or ASMA?</w:t>
            </w:r>
          </w:p>
        </w:tc>
        <w:tc>
          <w:tcPr>
            <w:tcW w:w="4812" w:type="dxa"/>
          </w:tcPr>
          <w:p w14:paraId="7DD4BDB1" w14:textId="34B6AE6D" w:rsidR="00923065" w:rsidRPr="002A1FE0" w:rsidRDefault="00923065" w:rsidP="001D22D3">
            <w:pPr>
              <w:pStyle w:val="Default"/>
              <w:spacing w:before="40" w:after="40"/>
              <w:rPr>
                <w:rFonts w:ascii="Times New Roman" w:hAnsi="Times New Roman" w:cs="Times New Roman"/>
                <w:sz w:val="21"/>
                <w:szCs w:val="21"/>
              </w:rPr>
            </w:pPr>
            <w:r>
              <w:rPr>
                <w:rFonts w:ascii="Times New Roman" w:hAnsi="Times New Roman"/>
                <w:sz w:val="21"/>
                <w:szCs w:val="21"/>
              </w:rPr>
              <w:t>Yes. The Area was originally designated as SSSI No. 27 in Recommendation XIV-5 (1987). The site was subsequently renamed ASPA No. 145 in accordance with Decision 1 (2002). After two extensions of the management plan (Measure 2 (2000) and Measure 5 (2009)), a revised version was approved through Measure 3 (2005) and the area was incorporated into ASMA 4 (Deception Island).</w:t>
            </w:r>
          </w:p>
        </w:tc>
      </w:tr>
      <w:tr w:rsidR="00923065" w:rsidRPr="00BB44F2" w14:paraId="661A5E72" w14:textId="77777777" w:rsidTr="00D63487">
        <w:tc>
          <w:tcPr>
            <w:tcW w:w="4817" w:type="dxa"/>
          </w:tcPr>
          <w:p w14:paraId="3305AFA7" w14:textId="77777777" w:rsidR="00923065" w:rsidRPr="002A1FE0" w:rsidRDefault="00923065" w:rsidP="00923065">
            <w:pPr>
              <w:pStyle w:val="Default"/>
              <w:numPr>
                <w:ilvl w:val="0"/>
                <w:numId w:val="22"/>
              </w:numPr>
              <w:spacing w:before="40" w:after="40"/>
              <w:ind w:left="426"/>
              <w:rPr>
                <w:rFonts w:ascii="Times New Roman" w:hAnsi="Times New Roman" w:cs="Times New Roman"/>
                <w:sz w:val="21"/>
                <w:szCs w:val="21"/>
              </w:rPr>
            </w:pPr>
            <w:r>
              <w:rPr>
                <w:rFonts w:ascii="Times New Roman" w:hAnsi="Times New Roman"/>
                <w:sz w:val="21"/>
                <w:szCs w:val="21"/>
              </w:rPr>
              <w:t xml:space="preserve">If the proposal contains a revision of an existing management plan, please indicate the types of amendment: </w:t>
            </w:r>
          </w:p>
        </w:tc>
        <w:tc>
          <w:tcPr>
            <w:tcW w:w="4812" w:type="dxa"/>
          </w:tcPr>
          <w:p w14:paraId="7C305ADA" w14:textId="77777777" w:rsidR="00923065" w:rsidRPr="002A1FE0" w:rsidRDefault="00923065" w:rsidP="001D22D3">
            <w:pPr>
              <w:pStyle w:val="Default"/>
              <w:spacing w:before="40" w:after="40"/>
              <w:rPr>
                <w:rFonts w:ascii="Times New Roman" w:hAnsi="Times New Roman" w:cs="Times New Roman"/>
                <w:sz w:val="21"/>
                <w:szCs w:val="21"/>
              </w:rPr>
            </w:pPr>
          </w:p>
        </w:tc>
      </w:tr>
      <w:tr w:rsidR="00923065" w:rsidRPr="00BB44F2" w14:paraId="4D2D8B52" w14:textId="77777777" w:rsidTr="00D63487">
        <w:tc>
          <w:tcPr>
            <w:tcW w:w="4817" w:type="dxa"/>
          </w:tcPr>
          <w:p w14:paraId="1CA621FE" w14:textId="77777777" w:rsidR="00923065" w:rsidRPr="002A1FE0" w:rsidRDefault="00923065" w:rsidP="00923065">
            <w:pPr>
              <w:pStyle w:val="Default"/>
              <w:numPr>
                <w:ilvl w:val="0"/>
                <w:numId w:val="21"/>
              </w:numPr>
              <w:spacing w:before="40" w:after="40"/>
              <w:ind w:left="567"/>
              <w:rPr>
                <w:rFonts w:ascii="Times New Roman" w:hAnsi="Times New Roman" w:cs="Times New Roman"/>
                <w:sz w:val="21"/>
                <w:szCs w:val="21"/>
              </w:rPr>
            </w:pPr>
            <w:r>
              <w:rPr>
                <w:rFonts w:ascii="Times New Roman" w:hAnsi="Times New Roman"/>
                <w:sz w:val="21"/>
                <w:szCs w:val="21"/>
              </w:rPr>
              <w:t>Major or minor?</w:t>
            </w:r>
          </w:p>
        </w:tc>
        <w:tc>
          <w:tcPr>
            <w:tcW w:w="4812" w:type="dxa"/>
          </w:tcPr>
          <w:p w14:paraId="2C72DA4D" w14:textId="77777777" w:rsidR="00923065" w:rsidRPr="002A1FE0" w:rsidRDefault="00923065" w:rsidP="001D22D3">
            <w:pPr>
              <w:pStyle w:val="Default"/>
              <w:spacing w:before="40" w:after="40"/>
              <w:rPr>
                <w:rFonts w:ascii="Times New Roman" w:hAnsi="Times New Roman" w:cs="Times New Roman"/>
                <w:sz w:val="21"/>
                <w:szCs w:val="21"/>
              </w:rPr>
            </w:pPr>
            <w:r>
              <w:rPr>
                <w:rFonts w:ascii="Times New Roman" w:hAnsi="Times New Roman"/>
                <w:sz w:val="21"/>
                <w:szCs w:val="21"/>
              </w:rPr>
              <w:t>There are both substantial and minor amendments, depending on the point addressed.</w:t>
            </w:r>
          </w:p>
        </w:tc>
      </w:tr>
      <w:tr w:rsidR="00923065" w:rsidRPr="00BB44F2" w14:paraId="61CFCC46" w14:textId="77777777" w:rsidTr="00D63487">
        <w:trPr>
          <w:trHeight w:val="70"/>
        </w:trPr>
        <w:tc>
          <w:tcPr>
            <w:tcW w:w="4817" w:type="dxa"/>
          </w:tcPr>
          <w:p w14:paraId="6746B056" w14:textId="77777777" w:rsidR="00923065" w:rsidRPr="002A1FE0" w:rsidRDefault="00923065" w:rsidP="00923065">
            <w:pPr>
              <w:pStyle w:val="Default"/>
              <w:numPr>
                <w:ilvl w:val="0"/>
                <w:numId w:val="21"/>
              </w:numPr>
              <w:spacing w:before="40" w:after="40"/>
              <w:ind w:left="567"/>
              <w:rPr>
                <w:rFonts w:ascii="Times New Roman" w:hAnsi="Times New Roman" w:cs="Times New Roman"/>
                <w:sz w:val="21"/>
                <w:szCs w:val="21"/>
              </w:rPr>
            </w:pPr>
            <w:r>
              <w:rPr>
                <w:rFonts w:ascii="Times New Roman" w:hAnsi="Times New Roman"/>
                <w:sz w:val="21"/>
                <w:szCs w:val="21"/>
              </w:rPr>
              <w:t xml:space="preserve">  Are there any changes to the boundaries or coordinates?</w:t>
            </w:r>
          </w:p>
        </w:tc>
        <w:tc>
          <w:tcPr>
            <w:tcW w:w="4812" w:type="dxa"/>
          </w:tcPr>
          <w:p w14:paraId="1DE7D47F" w14:textId="77777777" w:rsidR="00923065" w:rsidRPr="002A1FE0" w:rsidRDefault="00923065" w:rsidP="001D22D3">
            <w:pPr>
              <w:pStyle w:val="Default"/>
              <w:spacing w:before="40" w:after="40"/>
              <w:rPr>
                <w:rFonts w:ascii="Times New Roman" w:hAnsi="Times New Roman" w:cs="Times New Roman"/>
                <w:sz w:val="21"/>
                <w:szCs w:val="21"/>
              </w:rPr>
            </w:pPr>
            <w:r>
              <w:rPr>
                <w:rFonts w:ascii="Times New Roman" w:hAnsi="Times New Roman"/>
                <w:sz w:val="21"/>
                <w:szCs w:val="21"/>
              </w:rPr>
              <w:t>Yes. The protected area is expanded with a sub-site in the southeast sector of Port Foster.</w:t>
            </w:r>
          </w:p>
        </w:tc>
      </w:tr>
      <w:tr w:rsidR="00923065" w:rsidRPr="002A1FE0" w14:paraId="04B69416" w14:textId="77777777" w:rsidTr="00D63487">
        <w:tc>
          <w:tcPr>
            <w:tcW w:w="4817" w:type="dxa"/>
          </w:tcPr>
          <w:p w14:paraId="7BDC85D9" w14:textId="77777777" w:rsidR="00923065" w:rsidRPr="002A1FE0" w:rsidRDefault="00923065" w:rsidP="00923065">
            <w:pPr>
              <w:pStyle w:val="Default"/>
              <w:numPr>
                <w:ilvl w:val="0"/>
                <w:numId w:val="21"/>
              </w:numPr>
              <w:spacing w:before="40" w:after="40"/>
              <w:ind w:left="567"/>
              <w:rPr>
                <w:rFonts w:ascii="Times New Roman" w:hAnsi="Times New Roman" w:cs="Times New Roman"/>
                <w:sz w:val="21"/>
                <w:szCs w:val="21"/>
              </w:rPr>
            </w:pPr>
            <w:r>
              <w:rPr>
                <w:rFonts w:ascii="Times New Roman" w:hAnsi="Times New Roman"/>
                <w:sz w:val="21"/>
                <w:szCs w:val="21"/>
              </w:rPr>
              <w:t>Are there any changes to the maps?</w:t>
            </w:r>
          </w:p>
        </w:tc>
        <w:tc>
          <w:tcPr>
            <w:tcW w:w="4812" w:type="dxa"/>
          </w:tcPr>
          <w:p w14:paraId="5607CFAA" w14:textId="77777777" w:rsidR="00923065" w:rsidRPr="002A1FE0" w:rsidRDefault="00923065" w:rsidP="001D22D3">
            <w:pPr>
              <w:pStyle w:val="Default"/>
              <w:spacing w:before="40" w:after="40"/>
              <w:rPr>
                <w:rFonts w:ascii="Times New Roman" w:hAnsi="Times New Roman" w:cs="Times New Roman"/>
                <w:sz w:val="21"/>
                <w:szCs w:val="21"/>
              </w:rPr>
            </w:pPr>
            <w:r>
              <w:rPr>
                <w:rFonts w:ascii="Times New Roman" w:hAnsi="Times New Roman"/>
                <w:sz w:val="21"/>
                <w:szCs w:val="21"/>
              </w:rPr>
              <w:t>Yes</w:t>
            </w:r>
          </w:p>
        </w:tc>
      </w:tr>
      <w:tr w:rsidR="00923065" w:rsidRPr="00BB44F2" w14:paraId="74A8C929" w14:textId="77777777" w:rsidTr="00D63487">
        <w:tc>
          <w:tcPr>
            <w:tcW w:w="4817" w:type="dxa"/>
          </w:tcPr>
          <w:p w14:paraId="6B5BD5F9" w14:textId="77777777" w:rsidR="00923065" w:rsidRPr="002A1FE0" w:rsidRDefault="00923065" w:rsidP="00923065">
            <w:pPr>
              <w:pStyle w:val="Default"/>
              <w:numPr>
                <w:ilvl w:val="0"/>
                <w:numId w:val="21"/>
              </w:numPr>
              <w:spacing w:before="40" w:after="40"/>
              <w:ind w:left="567"/>
              <w:rPr>
                <w:rFonts w:ascii="Times New Roman" w:hAnsi="Times New Roman" w:cs="Times New Roman"/>
                <w:sz w:val="21"/>
                <w:szCs w:val="21"/>
              </w:rPr>
            </w:pPr>
            <w:r>
              <w:rPr>
                <w:rFonts w:ascii="Times New Roman" w:hAnsi="Times New Roman"/>
                <w:sz w:val="21"/>
                <w:szCs w:val="21"/>
              </w:rPr>
              <w:t>Are there any changes to the description of the Area that are relevant to identifying its location or its boundaries?</w:t>
            </w:r>
          </w:p>
        </w:tc>
        <w:tc>
          <w:tcPr>
            <w:tcW w:w="4812" w:type="dxa"/>
          </w:tcPr>
          <w:p w14:paraId="3D2CA453" w14:textId="77777777" w:rsidR="00923065" w:rsidRPr="002A1FE0" w:rsidRDefault="00923065" w:rsidP="001D22D3">
            <w:pPr>
              <w:pStyle w:val="Default"/>
              <w:spacing w:before="40" w:after="40"/>
              <w:rPr>
                <w:rFonts w:ascii="Times New Roman" w:hAnsi="Times New Roman" w:cs="Times New Roman"/>
                <w:sz w:val="21"/>
                <w:szCs w:val="21"/>
              </w:rPr>
            </w:pPr>
            <w:r>
              <w:rPr>
                <w:rFonts w:ascii="Times New Roman" w:hAnsi="Times New Roman"/>
                <w:sz w:val="21"/>
                <w:szCs w:val="21"/>
              </w:rPr>
              <w:t xml:space="preserve">Yes. The descriptions of the polygons that delimit the three sub-sites have been improved. </w:t>
            </w:r>
          </w:p>
        </w:tc>
      </w:tr>
      <w:tr w:rsidR="00923065" w:rsidRPr="002A1FE0" w14:paraId="5662E931" w14:textId="77777777" w:rsidTr="00D63487">
        <w:tc>
          <w:tcPr>
            <w:tcW w:w="4817" w:type="dxa"/>
          </w:tcPr>
          <w:p w14:paraId="0A3A0EE7" w14:textId="77777777" w:rsidR="00923065" w:rsidRPr="002A1FE0" w:rsidRDefault="00923065" w:rsidP="00923065">
            <w:pPr>
              <w:pStyle w:val="Default"/>
              <w:numPr>
                <w:ilvl w:val="0"/>
                <w:numId w:val="21"/>
              </w:numPr>
              <w:spacing w:before="40" w:after="40"/>
              <w:ind w:left="567"/>
              <w:rPr>
                <w:rFonts w:ascii="Times New Roman" w:hAnsi="Times New Roman" w:cs="Times New Roman"/>
                <w:sz w:val="21"/>
                <w:szCs w:val="21"/>
              </w:rPr>
            </w:pPr>
            <w:r>
              <w:rPr>
                <w:rFonts w:ascii="Times New Roman" w:hAnsi="Times New Roman"/>
                <w:sz w:val="21"/>
                <w:szCs w:val="21"/>
              </w:rPr>
              <w:t>Are there any changes that affect any other ASPA, ASMA or HSM within this area or adjacent to it?</w:t>
            </w:r>
          </w:p>
        </w:tc>
        <w:tc>
          <w:tcPr>
            <w:tcW w:w="4812" w:type="dxa"/>
          </w:tcPr>
          <w:p w14:paraId="705A61B2" w14:textId="77777777" w:rsidR="00923065" w:rsidRPr="002A1FE0" w:rsidRDefault="00923065" w:rsidP="001D22D3">
            <w:pPr>
              <w:pStyle w:val="Default"/>
              <w:spacing w:before="40" w:after="40"/>
              <w:rPr>
                <w:rFonts w:ascii="Times New Roman" w:hAnsi="Times New Roman" w:cs="Times New Roman"/>
                <w:sz w:val="21"/>
                <w:szCs w:val="21"/>
              </w:rPr>
            </w:pPr>
            <w:r>
              <w:rPr>
                <w:rFonts w:ascii="Times New Roman" w:hAnsi="Times New Roman"/>
                <w:sz w:val="21"/>
                <w:szCs w:val="21"/>
              </w:rPr>
              <w:t>No.</w:t>
            </w:r>
          </w:p>
        </w:tc>
      </w:tr>
      <w:tr w:rsidR="00923065" w:rsidRPr="00BB44F2" w14:paraId="35A93EE5" w14:textId="77777777" w:rsidTr="00D63487">
        <w:trPr>
          <w:trHeight w:val="1769"/>
        </w:trPr>
        <w:tc>
          <w:tcPr>
            <w:tcW w:w="4817" w:type="dxa"/>
          </w:tcPr>
          <w:p w14:paraId="2B98DCA3" w14:textId="77777777" w:rsidR="00923065" w:rsidRPr="002A1FE0" w:rsidRDefault="00923065" w:rsidP="00923065">
            <w:pPr>
              <w:pStyle w:val="Default"/>
              <w:numPr>
                <w:ilvl w:val="0"/>
                <w:numId w:val="21"/>
              </w:numPr>
              <w:spacing w:before="40" w:after="40"/>
              <w:ind w:left="567"/>
              <w:rPr>
                <w:rFonts w:ascii="Times New Roman" w:hAnsi="Times New Roman" w:cs="Times New Roman"/>
                <w:sz w:val="21"/>
                <w:szCs w:val="21"/>
              </w:rPr>
            </w:pPr>
            <w:r>
              <w:rPr>
                <w:rFonts w:ascii="Times New Roman" w:hAnsi="Times New Roman"/>
                <w:sz w:val="21"/>
                <w:szCs w:val="21"/>
              </w:rPr>
              <w:t>Other – brief summary of other kinds of changes, indicating the Management Plan paragraphs containing them.</w:t>
            </w:r>
          </w:p>
        </w:tc>
        <w:tc>
          <w:tcPr>
            <w:tcW w:w="4812" w:type="dxa"/>
          </w:tcPr>
          <w:p w14:paraId="225518E8" w14:textId="77777777" w:rsidR="00923065" w:rsidRPr="002A1FE0" w:rsidRDefault="00923065" w:rsidP="001D22D3">
            <w:pPr>
              <w:pStyle w:val="ATSNormal"/>
              <w:jc w:val="both"/>
              <w:rPr>
                <w:sz w:val="21"/>
                <w:szCs w:val="21"/>
              </w:rPr>
            </w:pPr>
            <w:r>
              <w:rPr>
                <w:bCs/>
                <w:sz w:val="21"/>
                <w:szCs w:val="21"/>
              </w:rPr>
              <w:t>The information in Sections 2 (objectives), 3 (management activities), 6 (</w:t>
            </w:r>
            <w:r>
              <w:rPr>
                <w:sz w:val="21"/>
                <w:szCs w:val="21"/>
              </w:rPr>
              <w:t>description of the Area) and 7 (terms and conditions for entry permits) has been improved, fully supplementing the bibliographic review (Section 8), with updated information on the results of the studies carried out in the Area.</w:t>
            </w:r>
          </w:p>
        </w:tc>
      </w:tr>
      <w:tr w:rsidR="00923065" w:rsidRPr="00BB44F2" w14:paraId="1EE8035A" w14:textId="77777777" w:rsidTr="00D63487">
        <w:tc>
          <w:tcPr>
            <w:tcW w:w="4817" w:type="dxa"/>
          </w:tcPr>
          <w:p w14:paraId="38DE9D06" w14:textId="77777777" w:rsidR="00923065" w:rsidRPr="002A1FE0" w:rsidRDefault="00923065" w:rsidP="00923065">
            <w:pPr>
              <w:pStyle w:val="Default"/>
              <w:numPr>
                <w:ilvl w:val="0"/>
                <w:numId w:val="22"/>
              </w:numPr>
              <w:spacing w:before="40" w:after="40"/>
              <w:ind w:left="426"/>
              <w:rPr>
                <w:rFonts w:ascii="Times New Roman" w:hAnsi="Times New Roman" w:cs="Times New Roman"/>
                <w:sz w:val="21"/>
                <w:szCs w:val="21"/>
              </w:rPr>
            </w:pPr>
            <w:r>
              <w:rPr>
                <w:rFonts w:ascii="Times New Roman" w:hAnsi="Times New Roman"/>
                <w:sz w:val="21"/>
                <w:szCs w:val="21"/>
              </w:rPr>
              <w:t>If a new ASPA or ASMA is proposed, does it contain a marine area?</w:t>
            </w:r>
          </w:p>
        </w:tc>
        <w:tc>
          <w:tcPr>
            <w:tcW w:w="4812" w:type="dxa"/>
          </w:tcPr>
          <w:p w14:paraId="4F3AD41C" w14:textId="77777777" w:rsidR="00923065" w:rsidRPr="002A1FE0" w:rsidRDefault="00923065" w:rsidP="001D22D3">
            <w:pPr>
              <w:pStyle w:val="Default"/>
              <w:spacing w:before="40" w:after="40"/>
              <w:rPr>
                <w:rFonts w:ascii="Times New Roman" w:hAnsi="Times New Roman" w:cs="Times New Roman"/>
                <w:sz w:val="21"/>
                <w:szCs w:val="21"/>
              </w:rPr>
            </w:pPr>
            <w:r>
              <w:rPr>
                <w:rFonts w:ascii="Times New Roman" w:hAnsi="Times New Roman"/>
                <w:sz w:val="21"/>
                <w:szCs w:val="21"/>
              </w:rPr>
              <w:t>It is not a new area, but it contains a marine area.</w:t>
            </w:r>
          </w:p>
        </w:tc>
      </w:tr>
      <w:tr w:rsidR="00923065" w:rsidRPr="00BB44F2" w14:paraId="664FF164" w14:textId="77777777" w:rsidTr="00D63487">
        <w:tc>
          <w:tcPr>
            <w:tcW w:w="4817" w:type="dxa"/>
          </w:tcPr>
          <w:p w14:paraId="45D54A9E" w14:textId="77777777" w:rsidR="00923065" w:rsidRPr="002A1FE0" w:rsidRDefault="00923065" w:rsidP="00923065">
            <w:pPr>
              <w:pStyle w:val="Default"/>
              <w:numPr>
                <w:ilvl w:val="0"/>
                <w:numId w:val="22"/>
              </w:numPr>
              <w:spacing w:before="40" w:after="40"/>
              <w:ind w:left="426"/>
              <w:rPr>
                <w:rFonts w:ascii="Times New Roman" w:hAnsi="Times New Roman" w:cs="Times New Roman"/>
                <w:sz w:val="21"/>
                <w:szCs w:val="21"/>
              </w:rPr>
            </w:pPr>
            <w:r>
              <w:rPr>
                <w:rFonts w:ascii="Times New Roman" w:hAnsi="Times New Roman"/>
                <w:sz w:val="21"/>
                <w:szCs w:val="21"/>
              </w:rPr>
              <w:t>If so, does the proposal require the prior approval of CCAMLR in accordance with Decision 9 (2005)?</w:t>
            </w:r>
          </w:p>
        </w:tc>
        <w:tc>
          <w:tcPr>
            <w:tcW w:w="4812" w:type="dxa"/>
          </w:tcPr>
          <w:p w14:paraId="229C6EB6" w14:textId="77777777" w:rsidR="00923065" w:rsidRPr="002A1FE0" w:rsidRDefault="00923065" w:rsidP="001D22D3">
            <w:pPr>
              <w:pStyle w:val="Default"/>
              <w:spacing w:before="40" w:after="40"/>
              <w:rPr>
                <w:rFonts w:ascii="Times New Roman" w:hAnsi="Times New Roman" w:cs="Times New Roman"/>
                <w:sz w:val="21"/>
                <w:szCs w:val="21"/>
              </w:rPr>
            </w:pPr>
            <w:r>
              <w:rPr>
                <w:rFonts w:ascii="Times New Roman" w:hAnsi="Times New Roman"/>
                <w:sz w:val="21"/>
                <w:szCs w:val="21"/>
              </w:rPr>
              <w:t>Although it is a site where CCAMLR activities do not take place, it does require their consideration.</w:t>
            </w:r>
          </w:p>
        </w:tc>
      </w:tr>
      <w:tr w:rsidR="00923065" w:rsidRPr="00BB44F2" w14:paraId="325B2E70" w14:textId="77777777" w:rsidTr="00D63487">
        <w:tc>
          <w:tcPr>
            <w:tcW w:w="4817" w:type="dxa"/>
          </w:tcPr>
          <w:p w14:paraId="23EC68CA" w14:textId="77777777" w:rsidR="00923065" w:rsidRPr="002A1FE0" w:rsidRDefault="00923065" w:rsidP="00923065">
            <w:pPr>
              <w:pStyle w:val="Default"/>
              <w:numPr>
                <w:ilvl w:val="0"/>
                <w:numId w:val="22"/>
              </w:numPr>
              <w:spacing w:before="40" w:after="40"/>
              <w:ind w:left="426"/>
              <w:rPr>
                <w:rFonts w:ascii="Times New Roman" w:hAnsi="Times New Roman" w:cs="Times New Roman"/>
                <w:sz w:val="21"/>
                <w:szCs w:val="21"/>
              </w:rPr>
            </w:pPr>
            <w:r>
              <w:rPr>
                <w:rFonts w:ascii="Times New Roman" w:hAnsi="Times New Roman"/>
                <w:sz w:val="21"/>
                <w:szCs w:val="21"/>
              </w:rPr>
              <w:t xml:space="preserve">If so, has the prior approval of CCAMLR been obtained? </w:t>
            </w:r>
          </w:p>
        </w:tc>
        <w:tc>
          <w:tcPr>
            <w:tcW w:w="4812" w:type="dxa"/>
          </w:tcPr>
          <w:p w14:paraId="3F7CD098" w14:textId="77777777" w:rsidR="00923065" w:rsidRPr="002A1FE0" w:rsidRDefault="00923065" w:rsidP="001D22D3">
            <w:pPr>
              <w:pStyle w:val="Default"/>
              <w:spacing w:before="40" w:after="40"/>
              <w:rPr>
                <w:rFonts w:ascii="Times New Roman" w:hAnsi="Times New Roman" w:cs="Times New Roman"/>
                <w:sz w:val="21"/>
                <w:szCs w:val="21"/>
              </w:rPr>
            </w:pPr>
            <w:r>
              <w:rPr>
                <w:rFonts w:ascii="Times New Roman" w:hAnsi="Times New Roman"/>
                <w:sz w:val="21"/>
                <w:szCs w:val="21"/>
              </w:rPr>
              <w:t xml:space="preserve">Yes. In 2012, the CCAMLR Scientific Committee reaffirmed the importance of this area for scientific research, stating that it will probably not be exploited and recommending approval of the management plan, which was ratified by the Commission the same year. </w:t>
            </w:r>
          </w:p>
        </w:tc>
      </w:tr>
      <w:tr w:rsidR="00923065" w:rsidRPr="00BB44F2" w14:paraId="4036F1F2" w14:textId="77777777" w:rsidTr="00D63487">
        <w:tc>
          <w:tcPr>
            <w:tcW w:w="4817" w:type="dxa"/>
          </w:tcPr>
          <w:p w14:paraId="6F1142A5" w14:textId="77777777" w:rsidR="00923065" w:rsidRPr="002A1FE0" w:rsidRDefault="00923065" w:rsidP="00923065">
            <w:pPr>
              <w:pStyle w:val="Default"/>
              <w:numPr>
                <w:ilvl w:val="0"/>
                <w:numId w:val="22"/>
              </w:numPr>
              <w:spacing w:before="40" w:after="40"/>
              <w:ind w:left="426"/>
              <w:rPr>
                <w:rFonts w:ascii="Times New Roman" w:hAnsi="Times New Roman" w:cs="Times New Roman"/>
                <w:sz w:val="21"/>
                <w:szCs w:val="21"/>
              </w:rPr>
            </w:pPr>
            <w:r>
              <w:rPr>
                <w:rFonts w:ascii="Times New Roman" w:hAnsi="Times New Roman"/>
                <w:sz w:val="21"/>
                <w:szCs w:val="21"/>
              </w:rPr>
              <w:t xml:space="preserve">If the proposal relates to an ASPA, what is the primary reason for designation (i.e. which part under Article 3.2 of Annex V)? </w:t>
            </w:r>
          </w:p>
        </w:tc>
        <w:tc>
          <w:tcPr>
            <w:tcW w:w="4812" w:type="dxa"/>
          </w:tcPr>
          <w:p w14:paraId="0436AA7B" w14:textId="77777777" w:rsidR="00923065" w:rsidRPr="002A1FE0" w:rsidRDefault="00923065" w:rsidP="001D22D3">
            <w:pPr>
              <w:pStyle w:val="Default"/>
              <w:spacing w:before="40" w:after="40"/>
              <w:rPr>
                <w:rFonts w:ascii="Times New Roman" w:hAnsi="Times New Roman" w:cs="Times New Roman"/>
                <w:sz w:val="21"/>
                <w:szCs w:val="21"/>
              </w:rPr>
            </w:pPr>
            <w:r>
              <w:rPr>
                <w:rFonts w:ascii="Times New Roman" w:hAnsi="Times New Roman"/>
                <w:sz w:val="21"/>
                <w:szCs w:val="21"/>
              </w:rPr>
              <w:t>The area is protected mainly because it pertains to a unique marine ecosystem of special interest for scientific research.</w:t>
            </w:r>
          </w:p>
        </w:tc>
      </w:tr>
      <w:tr w:rsidR="00923065" w:rsidRPr="00BB44F2" w14:paraId="52245DB6" w14:textId="77777777" w:rsidTr="00D63487">
        <w:tc>
          <w:tcPr>
            <w:tcW w:w="4817" w:type="dxa"/>
          </w:tcPr>
          <w:p w14:paraId="16ECB2C6" w14:textId="77777777" w:rsidR="00923065" w:rsidRPr="002A1FE0" w:rsidRDefault="00923065" w:rsidP="00923065">
            <w:pPr>
              <w:pStyle w:val="Default"/>
              <w:numPr>
                <w:ilvl w:val="0"/>
                <w:numId w:val="22"/>
              </w:numPr>
              <w:spacing w:before="40" w:after="40"/>
              <w:ind w:left="426"/>
              <w:rPr>
                <w:rFonts w:ascii="Times New Roman" w:hAnsi="Times New Roman" w:cs="Times New Roman"/>
                <w:sz w:val="21"/>
                <w:szCs w:val="21"/>
              </w:rPr>
            </w:pPr>
            <w:r>
              <w:rPr>
                <w:rFonts w:ascii="Times New Roman" w:hAnsi="Times New Roman"/>
                <w:sz w:val="21"/>
                <w:szCs w:val="21"/>
              </w:rPr>
              <w:t xml:space="preserve">Have you identified the main Environmental Domain represented by the ASPA/ASMA (refer to the ‘Environmental Domains Analysis for the Antarctic Continent’ appended to Resolution 3 (2008))? </w:t>
            </w:r>
          </w:p>
        </w:tc>
        <w:tc>
          <w:tcPr>
            <w:tcW w:w="4812" w:type="dxa"/>
          </w:tcPr>
          <w:p w14:paraId="119311F3" w14:textId="77777777" w:rsidR="00923065" w:rsidRPr="002A1FE0" w:rsidRDefault="00923065" w:rsidP="001D22D3">
            <w:pPr>
              <w:pStyle w:val="Default"/>
              <w:spacing w:before="40" w:after="40"/>
              <w:rPr>
                <w:rFonts w:ascii="Times New Roman" w:hAnsi="Times New Roman" w:cs="Times New Roman"/>
                <w:sz w:val="21"/>
                <w:szCs w:val="21"/>
              </w:rPr>
            </w:pPr>
            <w:r>
              <w:rPr>
                <w:rFonts w:ascii="Times New Roman" w:hAnsi="Times New Roman"/>
                <w:sz w:val="21"/>
                <w:szCs w:val="21"/>
              </w:rPr>
              <w:t>Yes, the main associated domain is G.</w:t>
            </w:r>
          </w:p>
        </w:tc>
      </w:tr>
      <w:tr w:rsidR="00BB44F2" w:rsidRPr="00BB44F2" w14:paraId="622FAA99" w14:textId="77777777" w:rsidTr="00D63487">
        <w:tc>
          <w:tcPr>
            <w:tcW w:w="4817" w:type="dxa"/>
          </w:tcPr>
          <w:p w14:paraId="7CCE937F" w14:textId="77777777" w:rsidR="00BB44F2" w:rsidRPr="008B3998" w:rsidRDefault="00BB44F2" w:rsidP="00BB44F2">
            <w:pPr>
              <w:pStyle w:val="Default"/>
              <w:numPr>
                <w:ilvl w:val="0"/>
                <w:numId w:val="22"/>
              </w:numPr>
              <w:spacing w:before="40" w:after="40"/>
              <w:ind w:left="447"/>
              <w:rPr>
                <w:rFonts w:ascii="Times New Roman" w:hAnsi="Times New Roman" w:cs="Times New Roman"/>
                <w:sz w:val="21"/>
                <w:szCs w:val="21"/>
              </w:rPr>
            </w:pPr>
            <w:r>
              <w:rPr>
                <w:rFonts w:ascii="Times New Roman" w:hAnsi="Times New Roman"/>
                <w:sz w:val="21"/>
                <w:szCs w:val="21"/>
              </w:rPr>
              <w:t xml:space="preserve">If applicable, has the main Antarctic Conservation Biogeographic Region (ACBR) represented by the ASPA/ASMA been </w:t>
            </w:r>
            <w:r>
              <w:rPr>
                <w:rFonts w:ascii="Times New Roman" w:hAnsi="Times New Roman"/>
                <w:sz w:val="21"/>
                <w:szCs w:val="21"/>
              </w:rPr>
              <w:lastRenderedPageBreak/>
              <w:t>identified? (see the document titled Antarctic Conservation Biographic Regions, appended to Resolution 6 [2012]) Yes/No (if the answer is yes, indicate the main Antarctic Conservation Biogeographic Region here).</w:t>
            </w:r>
          </w:p>
        </w:tc>
        <w:tc>
          <w:tcPr>
            <w:tcW w:w="4812" w:type="dxa"/>
          </w:tcPr>
          <w:p w14:paraId="1BFD5EEF" w14:textId="77777777" w:rsidR="00BB44F2" w:rsidRPr="002A1FE0" w:rsidRDefault="00BB44F2" w:rsidP="00443D3F">
            <w:pPr>
              <w:pStyle w:val="Default"/>
              <w:spacing w:before="40" w:after="40"/>
              <w:rPr>
                <w:rFonts w:ascii="Times New Roman" w:hAnsi="Times New Roman" w:cs="Times New Roman"/>
                <w:sz w:val="21"/>
                <w:szCs w:val="21"/>
              </w:rPr>
            </w:pPr>
            <w:r>
              <w:rPr>
                <w:rFonts w:ascii="Times New Roman" w:hAnsi="Times New Roman"/>
                <w:sz w:val="21"/>
                <w:szCs w:val="21"/>
              </w:rPr>
              <w:lastRenderedPageBreak/>
              <w:t>Yes, the ACBR 3, in the Northeast Antarctic Peninsula.</w:t>
            </w:r>
          </w:p>
        </w:tc>
      </w:tr>
      <w:tr w:rsidR="00BB44F2" w:rsidRPr="008B3998" w14:paraId="04CFF7EB" w14:textId="77777777" w:rsidTr="00D63487">
        <w:tc>
          <w:tcPr>
            <w:tcW w:w="4817" w:type="dxa"/>
          </w:tcPr>
          <w:p w14:paraId="59B09D20" w14:textId="77777777" w:rsidR="00BB44F2" w:rsidRPr="002A1FE0" w:rsidRDefault="00BB44F2" w:rsidP="00BB44F2">
            <w:pPr>
              <w:pStyle w:val="Default"/>
              <w:numPr>
                <w:ilvl w:val="0"/>
                <w:numId w:val="22"/>
              </w:numPr>
              <w:spacing w:before="40" w:after="40"/>
              <w:ind w:left="447"/>
              <w:rPr>
                <w:rFonts w:ascii="Times New Roman" w:hAnsi="Times New Roman" w:cs="Times New Roman"/>
                <w:sz w:val="21"/>
                <w:szCs w:val="21"/>
              </w:rPr>
            </w:pPr>
            <w:r>
              <w:rPr>
                <w:rFonts w:ascii="Times New Roman" w:hAnsi="Times New Roman"/>
                <w:sz w:val="21"/>
                <w:szCs w:val="21"/>
              </w:rPr>
              <w:t>If applicable, Important Bird Areas in Antarctica (Resolution 5 [2015]) represented by ASPA/ASMA been identified? (see the summary appended to the Information Document IP 27 from the XXXVIII ATCM, Important Bird Areas in Antarctica 2015. Summarised report” and the full report at: </w:t>
            </w:r>
            <w:hyperlink r:id="rId13" w:tgtFrame="_blank" w:history="1">
              <w:r>
                <w:rPr>
                  <w:rFonts w:ascii="Times New Roman" w:hAnsi="Times New Roman"/>
                  <w:sz w:val="21"/>
                  <w:szCs w:val="21"/>
                </w:rPr>
                <w:t>http://www.era.gs/resources/iba/</w:t>
              </w:r>
            </w:hyperlink>
            <w:r>
              <w:rPr>
                <w:rFonts w:ascii="Times New Roman" w:hAnsi="Times New Roman"/>
                <w:sz w:val="21"/>
                <w:szCs w:val="21"/>
              </w:rPr>
              <w:t>)? Yes/No (if the answer is yes, indicate the main Important Bird Area here).</w:t>
            </w:r>
          </w:p>
        </w:tc>
        <w:tc>
          <w:tcPr>
            <w:tcW w:w="4812" w:type="dxa"/>
          </w:tcPr>
          <w:p w14:paraId="6788C3E4" w14:textId="77777777" w:rsidR="00BB44F2" w:rsidRPr="002A1FE0" w:rsidRDefault="00BB44F2" w:rsidP="00443D3F">
            <w:pPr>
              <w:pStyle w:val="Default"/>
              <w:spacing w:before="40" w:after="40"/>
              <w:rPr>
                <w:rFonts w:ascii="Times New Roman" w:hAnsi="Times New Roman" w:cs="Times New Roman"/>
                <w:sz w:val="21"/>
                <w:szCs w:val="21"/>
              </w:rPr>
            </w:pPr>
            <w:r>
              <w:rPr>
                <w:rFonts w:ascii="Times New Roman" w:hAnsi="Times New Roman"/>
                <w:sz w:val="21"/>
                <w:szCs w:val="21"/>
              </w:rPr>
              <w:t>No.</w:t>
            </w:r>
          </w:p>
        </w:tc>
      </w:tr>
    </w:tbl>
    <w:p w14:paraId="4C44604F" w14:textId="77777777" w:rsidR="00923065" w:rsidRPr="00923065" w:rsidRDefault="00923065" w:rsidP="00952E9F">
      <w:pPr>
        <w:rPr>
          <w:lang w:val="es-CL"/>
        </w:rPr>
      </w:pPr>
    </w:p>
    <w:sectPr w:rsidR="00923065" w:rsidRPr="00923065"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92F56" w14:textId="77777777" w:rsidR="00B94BF1" w:rsidRDefault="00BF750F">
      <w:r>
        <w:separator/>
      </w:r>
    </w:p>
  </w:endnote>
  <w:endnote w:type="continuationSeparator" w:id="0">
    <w:p w14:paraId="3F29B9FF" w14:textId="77777777" w:rsidR="00B94BF1" w:rsidRDefault="00BF7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32149" w14:textId="77777777" w:rsidR="00FA0B9F" w:rsidRDefault="00BF750F" w:rsidP="00CF5C82">
    <w:pPr>
      <w:framePr w:wrap="around" w:vAnchor="text" w:hAnchor="margin" w:xAlign="right" w:y="1"/>
    </w:pPr>
    <w:r>
      <w:fldChar w:fldCharType="begin"/>
    </w:r>
    <w:r>
      <w:instrText xml:space="preserve">PAGE  </w:instrText>
    </w:r>
    <w:r>
      <w:fldChar w:fldCharType="end"/>
    </w:r>
  </w:p>
  <w:p w14:paraId="5D10DDFC" w14:textId="77777777" w:rsidR="00FA0B9F" w:rsidRDefault="005027B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7CAF5" w14:textId="77777777" w:rsidR="00FA0B9F" w:rsidRDefault="00BF750F" w:rsidP="00CF5C82">
    <w:pPr>
      <w:framePr w:wrap="around" w:vAnchor="text" w:hAnchor="margin" w:xAlign="right" w:y="1"/>
    </w:pPr>
    <w:r>
      <w:fldChar w:fldCharType="begin"/>
    </w:r>
    <w:r>
      <w:instrText xml:space="preserve">PAGE  </w:instrText>
    </w:r>
    <w:r>
      <w:fldChar w:fldCharType="separate"/>
    </w:r>
    <w:r>
      <w:t>1</w:t>
    </w:r>
    <w:r>
      <w:fldChar w:fldCharType="end"/>
    </w:r>
  </w:p>
  <w:p w14:paraId="36620786" w14:textId="793ABB5A" w:rsidR="00FA0B9F" w:rsidRDefault="00BF750F" w:rsidP="00FA0B9F">
    <w:pPr>
      <w:ind w:right="360"/>
    </w:pPr>
    <w:r>
      <w:t>Attachments: atcm43_att102_</w:t>
    </w:r>
    <w:r w:rsidR="005027B2">
      <w:t>e</w:t>
    </w:r>
    <w:bookmarkStart w:id="8" w:name="_GoBack"/>
    <w:bookmarkEnd w:id="8"/>
    <w:r>
      <w:t>.docx: ASPA 145 Revised Management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E9316" w14:textId="77777777" w:rsidR="005027B2" w:rsidRDefault="005027B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25903" w14:textId="77777777" w:rsidR="00E311C9" w:rsidRDefault="00BF750F" w:rsidP="00CF5C82">
    <w:pPr>
      <w:framePr w:wrap="around" w:vAnchor="text" w:hAnchor="margin" w:xAlign="right" w:y="1"/>
    </w:pPr>
    <w:r>
      <w:fldChar w:fldCharType="begin"/>
    </w:r>
    <w:r>
      <w:instrText xml:space="preserve">PAGE  </w:instrText>
    </w:r>
    <w:r>
      <w:fldChar w:fldCharType="separate"/>
    </w:r>
    <w:r>
      <w:t>3</w:t>
    </w:r>
    <w:r>
      <w:fldChar w:fldCharType="end"/>
    </w:r>
  </w:p>
  <w:p w14:paraId="07DDA7C7" w14:textId="77777777" w:rsidR="00E311C9" w:rsidRDefault="005027B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2BAE0" w14:textId="77777777" w:rsidR="00B94BF1" w:rsidRDefault="00BF750F">
      <w:r>
        <w:separator/>
      </w:r>
    </w:p>
  </w:footnote>
  <w:footnote w:type="continuationSeparator" w:id="0">
    <w:p w14:paraId="15A79B51" w14:textId="77777777" w:rsidR="00B94BF1" w:rsidRDefault="00BF7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DD2F" w14:textId="77777777" w:rsidR="005027B2" w:rsidRDefault="005027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342" w:type="dxa"/>
      <w:jc w:val="center"/>
      <w:tblLook w:val="01E0" w:firstRow="1" w:lastRow="1" w:firstColumn="1" w:lastColumn="1" w:noHBand="0" w:noVBand="0"/>
    </w:tblPr>
    <w:tblGrid>
      <w:gridCol w:w="5672"/>
      <w:gridCol w:w="3231"/>
      <w:gridCol w:w="839"/>
      <w:gridCol w:w="991"/>
      <w:gridCol w:w="609"/>
    </w:tblGrid>
    <w:tr w:rsidR="00A5379D" w14:paraId="3471C916" w14:textId="77777777" w:rsidTr="002169D4">
      <w:trPr>
        <w:trHeight w:val="354"/>
        <w:jc w:val="center"/>
      </w:trPr>
      <w:tc>
        <w:tcPr>
          <w:tcW w:w="5672" w:type="dxa"/>
        </w:tcPr>
        <w:p w14:paraId="2F009133" w14:textId="77777777" w:rsidR="00C449BA" w:rsidRDefault="005027B2" w:rsidP="002A07BC"/>
      </w:tc>
      <w:tc>
        <w:tcPr>
          <w:tcW w:w="4071" w:type="dxa"/>
          <w:gridSpan w:val="2"/>
        </w:tcPr>
        <w:p w14:paraId="43CF0D9F" w14:textId="77777777" w:rsidR="00C449BA" w:rsidRPr="000A4CD7" w:rsidRDefault="00BF750F" w:rsidP="002A07BC">
          <w:pPr>
            <w:jc w:val="right"/>
            <w:rPr>
              <w:b/>
              <w:sz w:val="32"/>
              <w:szCs w:val="32"/>
            </w:rPr>
          </w:pPr>
          <w:bookmarkStart w:id="2" w:name="type"/>
          <w:r>
            <w:rPr>
              <w:b/>
              <w:sz w:val="32"/>
              <w:szCs w:val="32"/>
            </w:rPr>
            <w:t>WP</w:t>
          </w:r>
          <w:bookmarkEnd w:id="2"/>
        </w:p>
      </w:tc>
      <w:tc>
        <w:tcPr>
          <w:tcW w:w="1599" w:type="dxa"/>
          <w:gridSpan w:val="2"/>
        </w:tcPr>
        <w:p w14:paraId="794A5A29" w14:textId="0B108D43" w:rsidR="00C449BA" w:rsidRPr="000A4CD7" w:rsidRDefault="00BF750F" w:rsidP="002A07BC">
          <w:pPr>
            <w:rPr>
              <w:b/>
              <w:sz w:val="32"/>
              <w:szCs w:val="32"/>
            </w:rPr>
          </w:pPr>
          <w:bookmarkStart w:id="3" w:name="number"/>
          <w:r>
            <w:rPr>
              <w:b/>
              <w:sz w:val="32"/>
              <w:szCs w:val="32"/>
            </w:rPr>
            <w:t>39</w:t>
          </w:r>
          <w:bookmarkEnd w:id="3"/>
          <w:r>
            <w:rPr>
              <w:b/>
              <w:sz w:val="32"/>
              <w:szCs w:val="32"/>
            </w:rPr>
            <w:t xml:space="preserve"> rev.1</w:t>
          </w:r>
        </w:p>
      </w:tc>
    </w:tr>
    <w:tr w:rsidR="00A5379D" w14:paraId="594E612B" w14:textId="77777777" w:rsidTr="002169D4">
      <w:trPr>
        <w:trHeight w:val="2244"/>
        <w:jc w:val="center"/>
      </w:trPr>
      <w:tc>
        <w:tcPr>
          <w:tcW w:w="5671" w:type="dxa"/>
        </w:tcPr>
        <w:p w14:paraId="0C3C23F1" w14:textId="77777777" w:rsidR="002169D4" w:rsidRPr="00550FDE" w:rsidRDefault="00BF750F" w:rsidP="002A07BC">
          <w:pPr>
            <w:rPr>
              <w:b/>
              <w:sz w:val="28"/>
              <w:szCs w:val="28"/>
            </w:rPr>
          </w:pPr>
          <w:r>
            <w:rPr>
              <w:b/>
              <w:noProof/>
              <w:sz w:val="28"/>
              <w:szCs w:val="28"/>
            </w:rPr>
            <w:drawing>
              <wp:inline distT="0" distB="0" distL="0" distR="0" wp14:anchorId="446DC510" wp14:editId="422DE2C9">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71382"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671" w:type="dxa"/>
          <w:gridSpan w:val="4"/>
          <w:vAlign w:val="center"/>
        </w:tcPr>
        <w:p w14:paraId="7A3B8AF2" w14:textId="77777777" w:rsidR="002169D4" w:rsidRPr="002169D4" w:rsidRDefault="00BF750F" w:rsidP="002169D4">
          <w:pPr>
            <w:jc w:val="right"/>
            <w:rPr>
              <w:sz w:val="144"/>
              <w:szCs w:val="144"/>
            </w:rPr>
          </w:pPr>
          <w:r>
            <w:rPr>
              <w:sz w:val="144"/>
              <w:szCs w:val="144"/>
            </w:rPr>
            <w:t>ENG</w:t>
          </w:r>
        </w:p>
      </w:tc>
    </w:tr>
    <w:tr w:rsidR="00A5379D" w14:paraId="0500890B" w14:textId="77777777" w:rsidTr="002169D4">
      <w:trPr>
        <w:trHeight w:val="420"/>
        <w:jc w:val="center"/>
      </w:trPr>
      <w:tc>
        <w:tcPr>
          <w:tcW w:w="8904" w:type="dxa"/>
          <w:gridSpan w:val="2"/>
        </w:tcPr>
        <w:p w14:paraId="2EF2A72F" w14:textId="77777777" w:rsidR="000A4CD7" w:rsidRDefault="00BF750F" w:rsidP="008D2157">
          <w:pPr>
            <w:jc w:val="right"/>
          </w:pPr>
          <w:r>
            <w:t>Agenda Item:</w:t>
          </w:r>
        </w:p>
      </w:tc>
      <w:tc>
        <w:tcPr>
          <w:tcW w:w="1830" w:type="dxa"/>
          <w:gridSpan w:val="2"/>
        </w:tcPr>
        <w:p w14:paraId="2E047384" w14:textId="77777777" w:rsidR="000A4CD7" w:rsidRDefault="00BF750F" w:rsidP="008D2157">
          <w:pPr>
            <w:jc w:val="right"/>
          </w:pPr>
          <w:bookmarkStart w:id="4" w:name="agenda"/>
          <w:r>
            <w:t>CEP 9a</w:t>
          </w:r>
          <w:bookmarkEnd w:id="4"/>
        </w:p>
      </w:tc>
      <w:tc>
        <w:tcPr>
          <w:tcW w:w="608" w:type="dxa"/>
        </w:tcPr>
        <w:p w14:paraId="7BD066B1" w14:textId="77777777" w:rsidR="000A4CD7" w:rsidRDefault="005027B2" w:rsidP="00387A65">
          <w:pPr>
            <w:jc w:val="right"/>
          </w:pPr>
        </w:p>
      </w:tc>
    </w:tr>
    <w:tr w:rsidR="00A5379D" w14:paraId="6AA56776" w14:textId="77777777" w:rsidTr="002169D4">
      <w:trPr>
        <w:trHeight w:val="408"/>
        <w:jc w:val="center"/>
      </w:trPr>
      <w:tc>
        <w:tcPr>
          <w:tcW w:w="8904" w:type="dxa"/>
          <w:gridSpan w:val="2"/>
        </w:tcPr>
        <w:p w14:paraId="00961E7A" w14:textId="77777777" w:rsidR="000A4CD7" w:rsidRDefault="00BF750F" w:rsidP="008D2157">
          <w:pPr>
            <w:jc w:val="right"/>
          </w:pPr>
          <w:r>
            <w:t>Submitted by:</w:t>
          </w:r>
        </w:p>
      </w:tc>
      <w:tc>
        <w:tcPr>
          <w:tcW w:w="1830" w:type="dxa"/>
          <w:gridSpan w:val="2"/>
        </w:tcPr>
        <w:p w14:paraId="1A1BD9A2" w14:textId="77777777" w:rsidR="000A4CD7" w:rsidRDefault="00BF750F" w:rsidP="008D2157">
          <w:pPr>
            <w:jc w:val="right"/>
          </w:pPr>
          <w:bookmarkStart w:id="5" w:name="party"/>
          <w:r>
            <w:t>Chile, Spain</w:t>
          </w:r>
          <w:bookmarkEnd w:id="5"/>
        </w:p>
      </w:tc>
      <w:tc>
        <w:tcPr>
          <w:tcW w:w="608" w:type="dxa"/>
        </w:tcPr>
        <w:p w14:paraId="3978CEE1" w14:textId="77777777" w:rsidR="000A4CD7" w:rsidRDefault="005027B2" w:rsidP="00387A65">
          <w:pPr>
            <w:jc w:val="right"/>
          </w:pPr>
        </w:p>
      </w:tc>
    </w:tr>
    <w:tr w:rsidR="00A5379D" w14:paraId="0EF2FF60" w14:textId="77777777" w:rsidTr="002169D4">
      <w:trPr>
        <w:trHeight w:val="420"/>
        <w:jc w:val="center"/>
      </w:trPr>
      <w:tc>
        <w:tcPr>
          <w:tcW w:w="8904" w:type="dxa"/>
          <w:gridSpan w:val="2"/>
        </w:tcPr>
        <w:p w14:paraId="667F1A98" w14:textId="77777777" w:rsidR="000A4CD7" w:rsidRDefault="00BF750F" w:rsidP="008D2157">
          <w:pPr>
            <w:jc w:val="right"/>
          </w:pPr>
          <w:r>
            <w:t>Original:</w:t>
          </w:r>
        </w:p>
      </w:tc>
      <w:tc>
        <w:tcPr>
          <w:tcW w:w="1830" w:type="dxa"/>
          <w:gridSpan w:val="2"/>
        </w:tcPr>
        <w:p w14:paraId="352C154E" w14:textId="77777777" w:rsidR="000A4CD7" w:rsidRDefault="00BF750F" w:rsidP="008D2157">
          <w:pPr>
            <w:jc w:val="right"/>
          </w:pPr>
          <w:bookmarkStart w:id="6" w:name="language"/>
          <w:r>
            <w:t>Spanish</w:t>
          </w:r>
          <w:bookmarkEnd w:id="6"/>
        </w:p>
      </w:tc>
      <w:tc>
        <w:tcPr>
          <w:tcW w:w="608" w:type="dxa"/>
        </w:tcPr>
        <w:p w14:paraId="773A343D" w14:textId="77777777" w:rsidR="000A4CD7" w:rsidRDefault="005027B2" w:rsidP="00387A65">
          <w:pPr>
            <w:jc w:val="right"/>
          </w:pPr>
        </w:p>
      </w:tc>
    </w:tr>
    <w:tr w:rsidR="00A5379D" w14:paraId="7722E98B" w14:textId="77777777" w:rsidTr="002169D4">
      <w:trPr>
        <w:trHeight w:val="420"/>
        <w:jc w:val="center"/>
      </w:trPr>
      <w:tc>
        <w:tcPr>
          <w:tcW w:w="8904" w:type="dxa"/>
          <w:gridSpan w:val="2"/>
        </w:tcPr>
        <w:p w14:paraId="1B3BB90E" w14:textId="77777777" w:rsidR="00965EDE" w:rsidRDefault="00BF750F" w:rsidP="008D2157">
          <w:pPr>
            <w:jc w:val="right"/>
          </w:pPr>
          <w:r>
            <w:t>Submitted:</w:t>
          </w:r>
        </w:p>
      </w:tc>
      <w:tc>
        <w:tcPr>
          <w:tcW w:w="1830" w:type="dxa"/>
          <w:gridSpan w:val="2"/>
        </w:tcPr>
        <w:p w14:paraId="5D3703E2" w14:textId="62350D03" w:rsidR="00965EDE" w:rsidRDefault="00BF750F" w:rsidP="008D2157">
          <w:pPr>
            <w:jc w:val="right"/>
          </w:pPr>
          <w:bookmarkStart w:id="7" w:name="date_submission"/>
          <w:r>
            <w:t>20/05/2021</w:t>
          </w:r>
          <w:bookmarkEnd w:id="7"/>
        </w:p>
      </w:tc>
      <w:tc>
        <w:tcPr>
          <w:tcW w:w="608" w:type="dxa"/>
        </w:tcPr>
        <w:p w14:paraId="229CDEFA" w14:textId="77777777" w:rsidR="00965EDE" w:rsidRDefault="005027B2" w:rsidP="00387A65">
          <w:pPr>
            <w:jc w:val="right"/>
          </w:pPr>
        </w:p>
      </w:tc>
    </w:tr>
  </w:tbl>
  <w:p w14:paraId="116679B4" w14:textId="77777777" w:rsidR="00AE5DD0" w:rsidRDefault="005027B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577B0" w14:textId="77777777" w:rsidR="005027B2" w:rsidRDefault="005027B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26" w:type="dxa"/>
      <w:jc w:val="center"/>
      <w:tblLook w:val="01E0" w:firstRow="1" w:lastRow="1" w:firstColumn="1" w:lastColumn="1" w:noHBand="0" w:noVBand="0"/>
    </w:tblPr>
    <w:tblGrid>
      <w:gridCol w:w="9694"/>
      <w:gridCol w:w="1332"/>
    </w:tblGrid>
    <w:tr w:rsidR="00A5379D" w14:paraId="6ADA2B64" w14:textId="77777777">
      <w:trPr>
        <w:trHeight w:val="354"/>
        <w:jc w:val="center"/>
      </w:trPr>
      <w:tc>
        <w:tcPr>
          <w:tcW w:w="9694" w:type="dxa"/>
        </w:tcPr>
        <w:p w14:paraId="55B0ACE0" w14:textId="3674CD53" w:rsidR="00AE5DD0" w:rsidRPr="000A4CD7" w:rsidRDefault="00923065" w:rsidP="00C26F2D">
          <w:pPr>
            <w:jc w:val="right"/>
            <w:rPr>
              <w:b/>
              <w:sz w:val="32"/>
              <w:szCs w:val="32"/>
            </w:rPr>
          </w:pPr>
          <w:r>
            <w:rPr>
              <w:b/>
              <w:sz w:val="32"/>
              <w:szCs w:val="32"/>
            </w:rPr>
            <w:t>WP</w:t>
          </w:r>
        </w:p>
      </w:tc>
      <w:tc>
        <w:tcPr>
          <w:tcW w:w="1332" w:type="dxa"/>
        </w:tcPr>
        <w:p w14:paraId="75E4F00D" w14:textId="41C393D0" w:rsidR="00AE5DD0" w:rsidRPr="000A4CD7" w:rsidRDefault="00923065" w:rsidP="00080F4C">
          <w:pPr>
            <w:rPr>
              <w:b/>
              <w:sz w:val="32"/>
              <w:szCs w:val="32"/>
            </w:rPr>
          </w:pPr>
          <w:r>
            <w:rPr>
              <w:b/>
              <w:sz w:val="32"/>
              <w:szCs w:val="32"/>
            </w:rPr>
            <w:t>39 rev.1</w:t>
          </w:r>
        </w:p>
      </w:tc>
    </w:tr>
  </w:tbl>
  <w:p w14:paraId="4EBF8128" w14:textId="77777777" w:rsidR="00AE5DD0" w:rsidRDefault="005027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A6A1480">
      <w:start w:val="1"/>
      <w:numFmt w:val="bullet"/>
      <w:pStyle w:val="ATSBullet1"/>
      <w:lvlText w:val=""/>
      <w:lvlJc w:val="left"/>
      <w:pPr>
        <w:tabs>
          <w:tab w:val="num" w:pos="360"/>
        </w:tabs>
        <w:ind w:left="360" w:hanging="360"/>
      </w:pPr>
      <w:rPr>
        <w:rFonts w:ascii="Symbol" w:hAnsi="Symbol" w:hint="default"/>
        <w:color w:val="auto"/>
      </w:rPr>
    </w:lvl>
    <w:lvl w:ilvl="1" w:tplc="DC5C3444" w:tentative="1">
      <w:start w:val="1"/>
      <w:numFmt w:val="bullet"/>
      <w:lvlText w:val="o"/>
      <w:lvlJc w:val="left"/>
      <w:pPr>
        <w:tabs>
          <w:tab w:val="num" w:pos="1440"/>
        </w:tabs>
        <w:ind w:left="1440" w:hanging="360"/>
      </w:pPr>
      <w:rPr>
        <w:rFonts w:ascii="Courier New" w:hAnsi="Courier New" w:cs="Courier New" w:hint="default"/>
      </w:rPr>
    </w:lvl>
    <w:lvl w:ilvl="2" w:tplc="71BCB21C" w:tentative="1">
      <w:start w:val="1"/>
      <w:numFmt w:val="bullet"/>
      <w:lvlText w:val=""/>
      <w:lvlJc w:val="left"/>
      <w:pPr>
        <w:tabs>
          <w:tab w:val="num" w:pos="2160"/>
        </w:tabs>
        <w:ind w:left="2160" w:hanging="360"/>
      </w:pPr>
      <w:rPr>
        <w:rFonts w:ascii="Wingdings" w:hAnsi="Wingdings" w:hint="default"/>
      </w:rPr>
    </w:lvl>
    <w:lvl w:ilvl="3" w:tplc="839C9A44" w:tentative="1">
      <w:start w:val="1"/>
      <w:numFmt w:val="bullet"/>
      <w:lvlText w:val=""/>
      <w:lvlJc w:val="left"/>
      <w:pPr>
        <w:tabs>
          <w:tab w:val="num" w:pos="2880"/>
        </w:tabs>
        <w:ind w:left="2880" w:hanging="360"/>
      </w:pPr>
      <w:rPr>
        <w:rFonts w:ascii="Symbol" w:hAnsi="Symbol" w:hint="default"/>
      </w:rPr>
    </w:lvl>
    <w:lvl w:ilvl="4" w:tplc="9E780C96" w:tentative="1">
      <w:start w:val="1"/>
      <w:numFmt w:val="bullet"/>
      <w:lvlText w:val="o"/>
      <w:lvlJc w:val="left"/>
      <w:pPr>
        <w:tabs>
          <w:tab w:val="num" w:pos="3600"/>
        </w:tabs>
        <w:ind w:left="3600" w:hanging="360"/>
      </w:pPr>
      <w:rPr>
        <w:rFonts w:ascii="Courier New" w:hAnsi="Courier New" w:cs="Courier New" w:hint="default"/>
      </w:rPr>
    </w:lvl>
    <w:lvl w:ilvl="5" w:tplc="48AA27FE" w:tentative="1">
      <w:start w:val="1"/>
      <w:numFmt w:val="bullet"/>
      <w:lvlText w:val=""/>
      <w:lvlJc w:val="left"/>
      <w:pPr>
        <w:tabs>
          <w:tab w:val="num" w:pos="4320"/>
        </w:tabs>
        <w:ind w:left="4320" w:hanging="360"/>
      </w:pPr>
      <w:rPr>
        <w:rFonts w:ascii="Wingdings" w:hAnsi="Wingdings" w:hint="default"/>
      </w:rPr>
    </w:lvl>
    <w:lvl w:ilvl="6" w:tplc="B50C3148" w:tentative="1">
      <w:start w:val="1"/>
      <w:numFmt w:val="bullet"/>
      <w:lvlText w:val=""/>
      <w:lvlJc w:val="left"/>
      <w:pPr>
        <w:tabs>
          <w:tab w:val="num" w:pos="5040"/>
        </w:tabs>
        <w:ind w:left="5040" w:hanging="360"/>
      </w:pPr>
      <w:rPr>
        <w:rFonts w:ascii="Symbol" w:hAnsi="Symbol" w:hint="default"/>
      </w:rPr>
    </w:lvl>
    <w:lvl w:ilvl="7" w:tplc="F90C0C06" w:tentative="1">
      <w:start w:val="1"/>
      <w:numFmt w:val="bullet"/>
      <w:lvlText w:val="o"/>
      <w:lvlJc w:val="left"/>
      <w:pPr>
        <w:tabs>
          <w:tab w:val="num" w:pos="5760"/>
        </w:tabs>
        <w:ind w:left="5760" w:hanging="360"/>
      </w:pPr>
      <w:rPr>
        <w:rFonts w:ascii="Courier New" w:hAnsi="Courier New" w:cs="Courier New" w:hint="default"/>
      </w:rPr>
    </w:lvl>
    <w:lvl w:ilvl="8" w:tplc="B6F6821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2C4525"/>
    <w:multiLevelType w:val="hybridMultilevel"/>
    <w:tmpl w:val="565ED440"/>
    <w:lvl w:ilvl="0" w:tplc="0C0A0011">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49D35C15"/>
    <w:multiLevelType w:val="hybridMultilevel"/>
    <w:tmpl w:val="A8A2E45C"/>
    <w:lvl w:ilvl="0" w:tplc="419A2EAE">
      <w:start w:val="1"/>
      <w:numFmt w:val="decimal"/>
      <w:lvlText w:val="%1)"/>
      <w:lvlJc w:val="left"/>
      <w:pPr>
        <w:tabs>
          <w:tab w:val="num" w:pos="340"/>
        </w:tabs>
        <w:ind w:left="340" w:hanging="340"/>
      </w:pPr>
      <w:rPr>
        <w:rFonts w:hint="default"/>
      </w:rPr>
    </w:lvl>
    <w:lvl w:ilvl="1" w:tplc="163C8410" w:tentative="1">
      <w:start w:val="1"/>
      <w:numFmt w:val="lowerLetter"/>
      <w:lvlText w:val="%2."/>
      <w:lvlJc w:val="left"/>
      <w:pPr>
        <w:tabs>
          <w:tab w:val="num" w:pos="1440"/>
        </w:tabs>
        <w:ind w:left="1440" w:hanging="360"/>
      </w:pPr>
    </w:lvl>
    <w:lvl w:ilvl="2" w:tplc="FEB4D1C2" w:tentative="1">
      <w:start w:val="1"/>
      <w:numFmt w:val="lowerRoman"/>
      <w:lvlText w:val="%3."/>
      <w:lvlJc w:val="right"/>
      <w:pPr>
        <w:tabs>
          <w:tab w:val="num" w:pos="2160"/>
        </w:tabs>
        <w:ind w:left="2160" w:hanging="180"/>
      </w:pPr>
    </w:lvl>
    <w:lvl w:ilvl="3" w:tplc="B7D01A58" w:tentative="1">
      <w:start w:val="1"/>
      <w:numFmt w:val="decimal"/>
      <w:lvlText w:val="%4."/>
      <w:lvlJc w:val="left"/>
      <w:pPr>
        <w:tabs>
          <w:tab w:val="num" w:pos="2880"/>
        </w:tabs>
        <w:ind w:left="2880" w:hanging="360"/>
      </w:pPr>
    </w:lvl>
    <w:lvl w:ilvl="4" w:tplc="1BD6620E" w:tentative="1">
      <w:start w:val="1"/>
      <w:numFmt w:val="lowerLetter"/>
      <w:lvlText w:val="%5."/>
      <w:lvlJc w:val="left"/>
      <w:pPr>
        <w:tabs>
          <w:tab w:val="num" w:pos="3600"/>
        </w:tabs>
        <w:ind w:left="3600" w:hanging="360"/>
      </w:pPr>
    </w:lvl>
    <w:lvl w:ilvl="5" w:tplc="06ECCE42" w:tentative="1">
      <w:start w:val="1"/>
      <w:numFmt w:val="lowerRoman"/>
      <w:lvlText w:val="%6."/>
      <w:lvlJc w:val="right"/>
      <w:pPr>
        <w:tabs>
          <w:tab w:val="num" w:pos="4320"/>
        </w:tabs>
        <w:ind w:left="4320" w:hanging="180"/>
      </w:pPr>
    </w:lvl>
    <w:lvl w:ilvl="6" w:tplc="72209088" w:tentative="1">
      <w:start w:val="1"/>
      <w:numFmt w:val="decimal"/>
      <w:lvlText w:val="%7."/>
      <w:lvlJc w:val="left"/>
      <w:pPr>
        <w:tabs>
          <w:tab w:val="num" w:pos="5040"/>
        </w:tabs>
        <w:ind w:left="5040" w:hanging="360"/>
      </w:pPr>
    </w:lvl>
    <w:lvl w:ilvl="7" w:tplc="3D30AEF4" w:tentative="1">
      <w:start w:val="1"/>
      <w:numFmt w:val="lowerLetter"/>
      <w:lvlText w:val="%8."/>
      <w:lvlJc w:val="left"/>
      <w:pPr>
        <w:tabs>
          <w:tab w:val="num" w:pos="5760"/>
        </w:tabs>
        <w:ind w:left="5760" w:hanging="360"/>
      </w:pPr>
    </w:lvl>
    <w:lvl w:ilvl="8" w:tplc="44B4FBFA" w:tentative="1">
      <w:start w:val="1"/>
      <w:numFmt w:val="lowerRoman"/>
      <w:lvlText w:val="%9."/>
      <w:lvlJc w:val="right"/>
      <w:pPr>
        <w:tabs>
          <w:tab w:val="num" w:pos="6480"/>
        </w:tabs>
        <w:ind w:left="6480" w:hanging="180"/>
      </w:pPr>
    </w:lvl>
  </w:abstractNum>
  <w:abstractNum w:abstractNumId="14" w15:restartNumberingAfterBreak="0">
    <w:nsid w:val="4BDC6F0A"/>
    <w:multiLevelType w:val="hybridMultilevel"/>
    <w:tmpl w:val="6608C2AC"/>
    <w:lvl w:ilvl="0" w:tplc="0C0A0011">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15:restartNumberingAfterBreak="0">
    <w:nsid w:val="642F3AFA"/>
    <w:multiLevelType w:val="hybridMultilevel"/>
    <w:tmpl w:val="9DF09BE6"/>
    <w:lvl w:ilvl="0" w:tplc="8C74DC3E">
      <w:start w:val="1"/>
      <w:numFmt w:val="decimal"/>
      <w:lvlText w:val="%1."/>
      <w:lvlJc w:val="left"/>
      <w:pPr>
        <w:tabs>
          <w:tab w:val="num" w:pos="1057"/>
        </w:tabs>
        <w:ind w:left="1057" w:hanging="360"/>
      </w:pPr>
      <w:rPr>
        <w:rFonts w:hint="default"/>
      </w:rPr>
    </w:lvl>
    <w:lvl w:ilvl="1" w:tplc="B3821D7C" w:tentative="1">
      <w:start w:val="1"/>
      <w:numFmt w:val="lowerLetter"/>
      <w:lvlText w:val="%2."/>
      <w:lvlJc w:val="left"/>
      <w:pPr>
        <w:tabs>
          <w:tab w:val="num" w:pos="2137"/>
        </w:tabs>
        <w:ind w:left="2137" w:hanging="360"/>
      </w:pPr>
    </w:lvl>
    <w:lvl w:ilvl="2" w:tplc="8E34C684" w:tentative="1">
      <w:start w:val="1"/>
      <w:numFmt w:val="lowerRoman"/>
      <w:lvlText w:val="%3."/>
      <w:lvlJc w:val="right"/>
      <w:pPr>
        <w:tabs>
          <w:tab w:val="num" w:pos="2857"/>
        </w:tabs>
        <w:ind w:left="2857" w:hanging="180"/>
      </w:pPr>
    </w:lvl>
    <w:lvl w:ilvl="3" w:tplc="293E7954" w:tentative="1">
      <w:start w:val="1"/>
      <w:numFmt w:val="decimal"/>
      <w:lvlText w:val="%4."/>
      <w:lvlJc w:val="left"/>
      <w:pPr>
        <w:tabs>
          <w:tab w:val="num" w:pos="3577"/>
        </w:tabs>
        <w:ind w:left="3577" w:hanging="360"/>
      </w:pPr>
    </w:lvl>
    <w:lvl w:ilvl="4" w:tplc="121C32DC" w:tentative="1">
      <w:start w:val="1"/>
      <w:numFmt w:val="lowerLetter"/>
      <w:lvlText w:val="%5."/>
      <w:lvlJc w:val="left"/>
      <w:pPr>
        <w:tabs>
          <w:tab w:val="num" w:pos="4297"/>
        </w:tabs>
        <w:ind w:left="4297" w:hanging="360"/>
      </w:pPr>
    </w:lvl>
    <w:lvl w:ilvl="5" w:tplc="99A0185E" w:tentative="1">
      <w:start w:val="1"/>
      <w:numFmt w:val="lowerRoman"/>
      <w:lvlText w:val="%6."/>
      <w:lvlJc w:val="right"/>
      <w:pPr>
        <w:tabs>
          <w:tab w:val="num" w:pos="5017"/>
        </w:tabs>
        <w:ind w:left="5017" w:hanging="180"/>
      </w:pPr>
    </w:lvl>
    <w:lvl w:ilvl="6" w:tplc="4BF8C246" w:tentative="1">
      <w:start w:val="1"/>
      <w:numFmt w:val="decimal"/>
      <w:lvlText w:val="%7."/>
      <w:lvlJc w:val="left"/>
      <w:pPr>
        <w:tabs>
          <w:tab w:val="num" w:pos="5737"/>
        </w:tabs>
        <w:ind w:left="5737" w:hanging="360"/>
      </w:pPr>
    </w:lvl>
    <w:lvl w:ilvl="7" w:tplc="92288228" w:tentative="1">
      <w:start w:val="1"/>
      <w:numFmt w:val="lowerLetter"/>
      <w:lvlText w:val="%8."/>
      <w:lvlJc w:val="left"/>
      <w:pPr>
        <w:tabs>
          <w:tab w:val="num" w:pos="6457"/>
        </w:tabs>
        <w:ind w:left="6457" w:hanging="360"/>
      </w:pPr>
    </w:lvl>
    <w:lvl w:ilvl="8" w:tplc="C6CAAADA" w:tentative="1">
      <w:start w:val="1"/>
      <w:numFmt w:val="lowerRoman"/>
      <w:lvlText w:val="%9."/>
      <w:lvlJc w:val="right"/>
      <w:pPr>
        <w:tabs>
          <w:tab w:val="num" w:pos="7177"/>
        </w:tabs>
        <w:ind w:left="7177" w:hanging="180"/>
      </w:pPr>
    </w:lvl>
  </w:abstractNum>
  <w:abstractNum w:abstractNumId="16" w15:restartNumberingAfterBreak="0">
    <w:nsid w:val="65C0403E"/>
    <w:multiLevelType w:val="hybridMultilevel"/>
    <w:tmpl w:val="AFC6C10A"/>
    <w:lvl w:ilvl="0" w:tplc="A06C015C">
      <w:start w:val="1"/>
      <w:numFmt w:val="lowerRoman"/>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7212657C"/>
    <w:multiLevelType w:val="hybridMultilevel"/>
    <w:tmpl w:val="0A8E2A84"/>
    <w:lvl w:ilvl="0" w:tplc="E78A507A">
      <w:start w:val="1"/>
      <w:numFmt w:val="decimal"/>
      <w:pStyle w:val="ATSNumber1"/>
      <w:lvlText w:val="%1)"/>
      <w:lvlJc w:val="left"/>
      <w:pPr>
        <w:tabs>
          <w:tab w:val="num" w:pos="720"/>
        </w:tabs>
        <w:ind w:left="720" w:hanging="360"/>
      </w:pPr>
    </w:lvl>
    <w:lvl w:ilvl="1" w:tplc="A894C2E0" w:tentative="1">
      <w:start w:val="1"/>
      <w:numFmt w:val="lowerLetter"/>
      <w:lvlText w:val="%2."/>
      <w:lvlJc w:val="left"/>
      <w:pPr>
        <w:tabs>
          <w:tab w:val="num" w:pos="1440"/>
        </w:tabs>
        <w:ind w:left="1440" w:hanging="360"/>
      </w:pPr>
    </w:lvl>
    <w:lvl w:ilvl="2" w:tplc="7CCAE6E4" w:tentative="1">
      <w:start w:val="1"/>
      <w:numFmt w:val="lowerRoman"/>
      <w:lvlText w:val="%3."/>
      <w:lvlJc w:val="right"/>
      <w:pPr>
        <w:tabs>
          <w:tab w:val="num" w:pos="2160"/>
        </w:tabs>
        <w:ind w:left="2160" w:hanging="180"/>
      </w:pPr>
    </w:lvl>
    <w:lvl w:ilvl="3" w:tplc="4BC41144" w:tentative="1">
      <w:start w:val="1"/>
      <w:numFmt w:val="decimal"/>
      <w:lvlText w:val="%4."/>
      <w:lvlJc w:val="left"/>
      <w:pPr>
        <w:tabs>
          <w:tab w:val="num" w:pos="2880"/>
        </w:tabs>
        <w:ind w:left="2880" w:hanging="360"/>
      </w:pPr>
    </w:lvl>
    <w:lvl w:ilvl="4" w:tplc="B958140A" w:tentative="1">
      <w:start w:val="1"/>
      <w:numFmt w:val="lowerLetter"/>
      <w:lvlText w:val="%5."/>
      <w:lvlJc w:val="left"/>
      <w:pPr>
        <w:tabs>
          <w:tab w:val="num" w:pos="3600"/>
        </w:tabs>
        <w:ind w:left="3600" w:hanging="360"/>
      </w:pPr>
    </w:lvl>
    <w:lvl w:ilvl="5" w:tplc="3BA45122" w:tentative="1">
      <w:start w:val="1"/>
      <w:numFmt w:val="lowerRoman"/>
      <w:lvlText w:val="%6."/>
      <w:lvlJc w:val="right"/>
      <w:pPr>
        <w:tabs>
          <w:tab w:val="num" w:pos="4320"/>
        </w:tabs>
        <w:ind w:left="4320" w:hanging="180"/>
      </w:pPr>
    </w:lvl>
    <w:lvl w:ilvl="6" w:tplc="F07A1282" w:tentative="1">
      <w:start w:val="1"/>
      <w:numFmt w:val="decimal"/>
      <w:lvlText w:val="%7."/>
      <w:lvlJc w:val="left"/>
      <w:pPr>
        <w:tabs>
          <w:tab w:val="num" w:pos="5040"/>
        </w:tabs>
        <w:ind w:left="5040" w:hanging="360"/>
      </w:pPr>
    </w:lvl>
    <w:lvl w:ilvl="7" w:tplc="80D62D60" w:tentative="1">
      <w:start w:val="1"/>
      <w:numFmt w:val="lowerLetter"/>
      <w:lvlText w:val="%8."/>
      <w:lvlJc w:val="left"/>
      <w:pPr>
        <w:tabs>
          <w:tab w:val="num" w:pos="5760"/>
        </w:tabs>
        <w:ind w:left="5760" w:hanging="360"/>
      </w:pPr>
    </w:lvl>
    <w:lvl w:ilvl="8" w:tplc="23BAF96E"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33B2C38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A963A0A" w:tentative="1">
      <w:start w:val="1"/>
      <w:numFmt w:val="bullet"/>
      <w:lvlText w:val="o"/>
      <w:lvlJc w:val="left"/>
      <w:pPr>
        <w:tabs>
          <w:tab w:val="num" w:pos="2517"/>
        </w:tabs>
        <w:ind w:left="2517" w:hanging="360"/>
      </w:pPr>
      <w:rPr>
        <w:rFonts w:ascii="Courier New" w:hAnsi="Courier New" w:cs="Courier New" w:hint="default"/>
      </w:rPr>
    </w:lvl>
    <w:lvl w:ilvl="2" w:tplc="22D6E32A" w:tentative="1">
      <w:start w:val="1"/>
      <w:numFmt w:val="bullet"/>
      <w:lvlText w:val=""/>
      <w:lvlJc w:val="left"/>
      <w:pPr>
        <w:tabs>
          <w:tab w:val="num" w:pos="3237"/>
        </w:tabs>
        <w:ind w:left="3237" w:hanging="360"/>
      </w:pPr>
      <w:rPr>
        <w:rFonts w:ascii="Wingdings" w:hAnsi="Wingdings" w:hint="default"/>
      </w:rPr>
    </w:lvl>
    <w:lvl w:ilvl="3" w:tplc="403EF63C" w:tentative="1">
      <w:start w:val="1"/>
      <w:numFmt w:val="bullet"/>
      <w:lvlText w:val=""/>
      <w:lvlJc w:val="left"/>
      <w:pPr>
        <w:tabs>
          <w:tab w:val="num" w:pos="3957"/>
        </w:tabs>
        <w:ind w:left="3957" w:hanging="360"/>
      </w:pPr>
      <w:rPr>
        <w:rFonts w:ascii="Symbol" w:hAnsi="Symbol" w:hint="default"/>
      </w:rPr>
    </w:lvl>
    <w:lvl w:ilvl="4" w:tplc="23921F26" w:tentative="1">
      <w:start w:val="1"/>
      <w:numFmt w:val="bullet"/>
      <w:lvlText w:val="o"/>
      <w:lvlJc w:val="left"/>
      <w:pPr>
        <w:tabs>
          <w:tab w:val="num" w:pos="4677"/>
        </w:tabs>
        <w:ind w:left="4677" w:hanging="360"/>
      </w:pPr>
      <w:rPr>
        <w:rFonts w:ascii="Courier New" w:hAnsi="Courier New" w:cs="Courier New" w:hint="default"/>
      </w:rPr>
    </w:lvl>
    <w:lvl w:ilvl="5" w:tplc="78304E78" w:tentative="1">
      <w:start w:val="1"/>
      <w:numFmt w:val="bullet"/>
      <w:lvlText w:val=""/>
      <w:lvlJc w:val="left"/>
      <w:pPr>
        <w:tabs>
          <w:tab w:val="num" w:pos="5397"/>
        </w:tabs>
        <w:ind w:left="5397" w:hanging="360"/>
      </w:pPr>
      <w:rPr>
        <w:rFonts w:ascii="Wingdings" w:hAnsi="Wingdings" w:hint="default"/>
      </w:rPr>
    </w:lvl>
    <w:lvl w:ilvl="6" w:tplc="CE02A968" w:tentative="1">
      <w:start w:val="1"/>
      <w:numFmt w:val="bullet"/>
      <w:lvlText w:val=""/>
      <w:lvlJc w:val="left"/>
      <w:pPr>
        <w:tabs>
          <w:tab w:val="num" w:pos="6117"/>
        </w:tabs>
        <w:ind w:left="6117" w:hanging="360"/>
      </w:pPr>
      <w:rPr>
        <w:rFonts w:ascii="Symbol" w:hAnsi="Symbol" w:hint="default"/>
      </w:rPr>
    </w:lvl>
    <w:lvl w:ilvl="7" w:tplc="8E4450EA" w:tentative="1">
      <w:start w:val="1"/>
      <w:numFmt w:val="bullet"/>
      <w:lvlText w:val="o"/>
      <w:lvlJc w:val="left"/>
      <w:pPr>
        <w:tabs>
          <w:tab w:val="num" w:pos="6837"/>
        </w:tabs>
        <w:ind w:left="6837" w:hanging="360"/>
      </w:pPr>
      <w:rPr>
        <w:rFonts w:ascii="Courier New" w:hAnsi="Courier New" w:cs="Courier New" w:hint="default"/>
      </w:rPr>
    </w:lvl>
    <w:lvl w:ilvl="8" w:tplc="A5A409BE"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A12ECE86">
      <w:start w:val="1"/>
      <w:numFmt w:val="decimal"/>
      <w:pStyle w:val="ATSNumber2"/>
      <w:lvlText w:val="%1."/>
      <w:lvlJc w:val="left"/>
      <w:pPr>
        <w:tabs>
          <w:tab w:val="num" w:pos="720"/>
        </w:tabs>
        <w:ind w:left="720" w:hanging="360"/>
      </w:pPr>
      <w:rPr>
        <w:rFonts w:hint="default"/>
      </w:rPr>
    </w:lvl>
    <w:lvl w:ilvl="1" w:tplc="6854FCCC" w:tentative="1">
      <w:start w:val="1"/>
      <w:numFmt w:val="lowerLetter"/>
      <w:lvlText w:val="%2."/>
      <w:lvlJc w:val="left"/>
      <w:pPr>
        <w:tabs>
          <w:tab w:val="num" w:pos="1440"/>
        </w:tabs>
        <w:ind w:left="1440" w:hanging="360"/>
      </w:pPr>
    </w:lvl>
    <w:lvl w:ilvl="2" w:tplc="D8DADE1E" w:tentative="1">
      <w:start w:val="1"/>
      <w:numFmt w:val="lowerRoman"/>
      <w:lvlText w:val="%3."/>
      <w:lvlJc w:val="right"/>
      <w:pPr>
        <w:tabs>
          <w:tab w:val="num" w:pos="2160"/>
        </w:tabs>
        <w:ind w:left="2160" w:hanging="180"/>
      </w:pPr>
    </w:lvl>
    <w:lvl w:ilvl="3" w:tplc="D2047C78" w:tentative="1">
      <w:start w:val="1"/>
      <w:numFmt w:val="decimal"/>
      <w:lvlText w:val="%4."/>
      <w:lvlJc w:val="left"/>
      <w:pPr>
        <w:tabs>
          <w:tab w:val="num" w:pos="2880"/>
        </w:tabs>
        <w:ind w:left="2880" w:hanging="360"/>
      </w:pPr>
    </w:lvl>
    <w:lvl w:ilvl="4" w:tplc="9030FEE8" w:tentative="1">
      <w:start w:val="1"/>
      <w:numFmt w:val="lowerLetter"/>
      <w:lvlText w:val="%5."/>
      <w:lvlJc w:val="left"/>
      <w:pPr>
        <w:tabs>
          <w:tab w:val="num" w:pos="3600"/>
        </w:tabs>
        <w:ind w:left="3600" w:hanging="360"/>
      </w:pPr>
    </w:lvl>
    <w:lvl w:ilvl="5" w:tplc="CE228108" w:tentative="1">
      <w:start w:val="1"/>
      <w:numFmt w:val="lowerRoman"/>
      <w:lvlText w:val="%6."/>
      <w:lvlJc w:val="right"/>
      <w:pPr>
        <w:tabs>
          <w:tab w:val="num" w:pos="4320"/>
        </w:tabs>
        <w:ind w:left="4320" w:hanging="180"/>
      </w:pPr>
    </w:lvl>
    <w:lvl w:ilvl="6" w:tplc="B4F256AA" w:tentative="1">
      <w:start w:val="1"/>
      <w:numFmt w:val="decimal"/>
      <w:lvlText w:val="%7."/>
      <w:lvlJc w:val="left"/>
      <w:pPr>
        <w:tabs>
          <w:tab w:val="num" w:pos="5040"/>
        </w:tabs>
        <w:ind w:left="5040" w:hanging="360"/>
      </w:pPr>
    </w:lvl>
    <w:lvl w:ilvl="7" w:tplc="32289A86" w:tentative="1">
      <w:start w:val="1"/>
      <w:numFmt w:val="lowerLetter"/>
      <w:lvlText w:val="%8."/>
      <w:lvlJc w:val="left"/>
      <w:pPr>
        <w:tabs>
          <w:tab w:val="num" w:pos="5760"/>
        </w:tabs>
        <w:ind w:left="5760" w:hanging="360"/>
      </w:pPr>
    </w:lvl>
    <w:lvl w:ilvl="8" w:tplc="AF0AC098"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8"/>
  </w:num>
  <w:num w:numId="13">
    <w:abstractNumId w:val="17"/>
  </w:num>
  <w:num w:numId="14">
    <w:abstractNumId w:val="13"/>
  </w:num>
  <w:num w:numId="15">
    <w:abstractNumId w:val="15"/>
  </w:num>
  <w:num w:numId="16">
    <w:abstractNumId w:val="10"/>
  </w:num>
  <w:num w:numId="17">
    <w:abstractNumId w:val="11"/>
  </w:num>
  <w:num w:numId="18">
    <w:abstractNumId w:val="18"/>
  </w:num>
  <w:num w:numId="19">
    <w:abstractNumId w:val="17"/>
  </w:num>
  <w:num w:numId="20">
    <w:abstractNumId w:val="19"/>
  </w:num>
  <w:num w:numId="21">
    <w:abstractNumId w:val="16"/>
  </w:num>
  <w:num w:numId="22">
    <w:abstractNumId w:val="1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9D"/>
    <w:rsid w:val="003D3C4E"/>
    <w:rsid w:val="005027B2"/>
    <w:rsid w:val="00923065"/>
    <w:rsid w:val="00A5379D"/>
    <w:rsid w:val="00B94BF1"/>
    <w:rsid w:val="00BB44F2"/>
    <w:rsid w:val="00BF750F"/>
    <w:rsid w:val="00D634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1C489"/>
  <w15:chartTrackingRefBased/>
  <w15:docId w15:val="{34E9CCBB-B315-4E88-8246-19E2C589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qFormat/>
    <w:rsid w:val="001B789F"/>
    <w:pPr>
      <w:keepNext/>
      <w:spacing w:before="120" w:after="180"/>
      <w:outlineLvl w:val="2"/>
    </w:pPr>
    <w:rPr>
      <w:rFonts w:eastAsia="SimSun"/>
      <w:b/>
      <w:sz w:val="24"/>
      <w:szCs w:val="20"/>
      <w:lang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rsid w:val="001B789F"/>
    <w:pPr>
      <w:spacing w:before="120" w:after="120"/>
    </w:pPr>
    <w:rPr>
      <w:lang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rsid w:val="001B789F"/>
    <w:pPr>
      <w:spacing w:before="360" w:after="360"/>
      <w:jc w:val="center"/>
    </w:pPr>
    <w:rPr>
      <w:rFonts w:ascii="Arial" w:hAnsi="Arial"/>
      <w:b/>
      <w:sz w:val="32"/>
    </w:rPr>
  </w:style>
  <w:style w:type="paragraph" w:customStyle="1" w:styleId="ATSHeading2">
    <w:name w:val="ATS Heading 2"/>
    <w:basedOn w:val="ATSNormal"/>
    <w:next w:val="ATSNormal"/>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eastAsia="en-AU"/>
    </w:rPr>
  </w:style>
  <w:style w:type="character" w:styleId="Nmerodepgina">
    <w:name w:val="page number"/>
    <w:basedOn w:val="Fuentedeprrafopredeter"/>
    <w:semiHidden/>
    <w:rsid w:val="001B789F"/>
  </w:style>
  <w:style w:type="character" w:styleId="Textoennegrita">
    <w:name w:val="Strong"/>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customStyle="1" w:styleId="Default">
    <w:name w:val="Default"/>
    <w:rsid w:val="00923065"/>
    <w:pPr>
      <w:autoSpaceDE w:val="0"/>
      <w:autoSpaceDN w:val="0"/>
      <w:adjustRightInd w:val="0"/>
    </w:pPr>
    <w:rPr>
      <w:rFonts w:ascii="Cambria" w:hAnsi="Cambria" w:cs="Cambria"/>
      <w:color w:val="000000"/>
      <w:sz w:val="24"/>
      <w:szCs w:val="24"/>
      <w:lang w:eastAsia="es-ES"/>
    </w:rPr>
  </w:style>
  <w:style w:type="character" w:customStyle="1" w:styleId="ATSNormalChar">
    <w:name w:val="ATS Normal Char"/>
    <w:link w:val="ATSNormal"/>
    <w:locked/>
    <w:rsid w:val="00923065"/>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era.gs/resources/iba/"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1330</Words>
  <Characters>7059</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Maria Noque</cp:lastModifiedBy>
  <cp:revision>7</cp:revision>
  <cp:lastPrinted>1900-01-01T03:00:00Z</cp:lastPrinted>
  <dcterms:created xsi:type="dcterms:W3CDTF">2020-11-26T16:56:00Z</dcterms:created>
  <dcterms:modified xsi:type="dcterms:W3CDTF">2021-05-24T13:02:00Z</dcterms:modified>
</cp:coreProperties>
</file>