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DF26" w14:textId="77777777" w:rsidR="00C26F2D" w:rsidRPr="00BF077B" w:rsidRDefault="00577DC9" w:rsidP="00BF077B">
      <w:pPr>
        <w:pStyle w:val="ATSNormal"/>
        <w:rPr>
          <w:rStyle w:val="Ttulodellibro"/>
        </w:rPr>
      </w:pPr>
    </w:p>
    <w:p w14:paraId="1DEA9BE9" w14:textId="77777777" w:rsidR="002F0A13" w:rsidRDefault="00577DC9" w:rsidP="004B4A60">
      <w:pPr>
        <w:rPr>
          <w:b/>
          <w:u w:val="single"/>
          <w:lang w:val="es-ES_tradnl"/>
        </w:rPr>
      </w:pPr>
    </w:p>
    <w:p w14:paraId="4C6BEAB9" w14:textId="77777777" w:rsidR="002F0A13" w:rsidRDefault="00577DC9" w:rsidP="004B4A60">
      <w:pPr>
        <w:rPr>
          <w:b/>
          <w:u w:val="single"/>
          <w:lang w:val="es-ES_tradnl"/>
        </w:rPr>
      </w:pPr>
    </w:p>
    <w:p w14:paraId="63189412" w14:textId="77777777" w:rsidR="002F0A13" w:rsidRDefault="00577DC9" w:rsidP="004B4A60">
      <w:pPr>
        <w:rPr>
          <w:b/>
          <w:u w:val="single"/>
          <w:lang w:val="es-ES_tradnl"/>
        </w:rPr>
      </w:pPr>
    </w:p>
    <w:p w14:paraId="40F560B6" w14:textId="77777777" w:rsidR="002F0A13" w:rsidRDefault="00577DC9" w:rsidP="004B4A60">
      <w:pPr>
        <w:rPr>
          <w:b/>
          <w:u w:val="single"/>
          <w:lang w:val="es-ES_tradnl"/>
        </w:rPr>
      </w:pPr>
    </w:p>
    <w:p w14:paraId="208C0EB8" w14:textId="77777777" w:rsidR="00C26F2D" w:rsidRDefault="00577DC9" w:rsidP="004B4A60">
      <w:pPr>
        <w:rPr>
          <w:b/>
          <w:u w:val="single"/>
          <w:lang w:val="es-ES_tradnl"/>
        </w:rPr>
      </w:pPr>
    </w:p>
    <w:p w14:paraId="381D7233" w14:textId="77777777" w:rsidR="004B4A60" w:rsidRPr="0057246E" w:rsidRDefault="0077266D" w:rsidP="001B789F">
      <w:pPr>
        <w:pStyle w:val="ATSTitle"/>
      </w:pPr>
      <w:bookmarkStart w:id="0" w:name="name"/>
      <w:r>
        <w:t>Review of information related to Education &amp; Outreach available through the Antarctic Treaty Secretariat webpage</w:t>
      </w:r>
      <w:bookmarkEnd w:id="0"/>
    </w:p>
    <w:p w14:paraId="5CB2E1B2" w14:textId="77777777" w:rsidR="004B4A60" w:rsidRPr="0057246E" w:rsidRDefault="00577DC9" w:rsidP="00F75424">
      <w:pPr>
        <w:jc w:val="center"/>
      </w:pPr>
    </w:p>
    <w:p w14:paraId="55895B54" w14:textId="77777777" w:rsidR="004B4A60" w:rsidRPr="002F0A13" w:rsidRDefault="00577DC9" w:rsidP="002F0A13"/>
    <w:p w14:paraId="1181946A" w14:textId="77777777" w:rsidR="004B4A60" w:rsidRDefault="00577DC9" w:rsidP="00F75424">
      <w:pPr>
        <w:jc w:val="center"/>
      </w:pPr>
      <w:bookmarkStart w:id="1" w:name="memo"/>
      <w:bookmarkEnd w:id="1"/>
    </w:p>
    <w:p w14:paraId="33275364" w14:textId="77777777" w:rsidR="0097629D" w:rsidRDefault="00577DC9" w:rsidP="00F75424">
      <w:pPr>
        <w:jc w:val="center"/>
      </w:pPr>
    </w:p>
    <w:p w14:paraId="06B6F59A" w14:textId="77777777" w:rsidR="0097629D" w:rsidRDefault="00577DC9" w:rsidP="00F75424">
      <w:pPr>
        <w:jc w:val="center"/>
      </w:pPr>
    </w:p>
    <w:p w14:paraId="33F8D95B" w14:textId="77777777" w:rsidR="0097629D" w:rsidRDefault="00577DC9" w:rsidP="00F75424">
      <w:pPr>
        <w:jc w:val="center"/>
      </w:pPr>
    </w:p>
    <w:p w14:paraId="6CB74BAD" w14:textId="77777777" w:rsidR="0097629D" w:rsidRPr="00C26F2D" w:rsidRDefault="00577DC9" w:rsidP="00F75424">
      <w:pPr>
        <w:jc w:val="center"/>
      </w:pPr>
    </w:p>
    <w:p w14:paraId="4EDF20F6" w14:textId="77777777" w:rsidR="004B4A60" w:rsidRPr="0057246E" w:rsidRDefault="00577DC9" w:rsidP="004B4A60"/>
    <w:p w14:paraId="6100539C" w14:textId="77777777" w:rsidR="00C26F2D" w:rsidRDefault="00577DC9"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64946422" w14:textId="1EB730AB" w:rsidR="004B4A60" w:rsidRDefault="00577DC9" w:rsidP="00952E9F"/>
    <w:p w14:paraId="6D149940" w14:textId="77777777" w:rsidR="0077266D" w:rsidRPr="00917AEB" w:rsidRDefault="0077266D" w:rsidP="0077266D">
      <w:pPr>
        <w:spacing w:before="360" w:after="360"/>
        <w:jc w:val="center"/>
        <w:rPr>
          <w:rFonts w:ascii="Arial" w:hAnsi="Arial" w:cs="Arial"/>
          <w:b/>
          <w:color w:val="222222"/>
          <w:sz w:val="32"/>
          <w:szCs w:val="32"/>
        </w:rPr>
      </w:pPr>
      <w:r w:rsidRPr="00917AEB">
        <w:rPr>
          <w:rFonts w:ascii="Arial" w:hAnsi="Arial" w:cs="Arial"/>
          <w:b/>
          <w:sz w:val="32"/>
          <w:szCs w:val="32"/>
        </w:rPr>
        <w:t xml:space="preserve">Review of information related to Education &amp; Outreach available through the Antarctic Treaty Secretariat webpage </w:t>
      </w:r>
    </w:p>
    <w:p w14:paraId="4A482CE7" w14:textId="77777777" w:rsidR="0077266D" w:rsidRDefault="0077266D" w:rsidP="0077266D">
      <w:pPr>
        <w:rPr>
          <w:rFonts w:ascii="Arial" w:hAnsi="Arial" w:cs="Arial"/>
          <w:sz w:val="24"/>
        </w:rPr>
      </w:pPr>
    </w:p>
    <w:p w14:paraId="4DEF6F1C" w14:textId="77777777" w:rsidR="0077266D" w:rsidRDefault="0077266D" w:rsidP="0077266D">
      <w:r>
        <w:rPr>
          <w:rFonts w:ascii="Arial" w:hAnsi="Arial" w:cs="Arial"/>
          <w:sz w:val="24"/>
        </w:rPr>
        <w:t xml:space="preserve">Working Paper submitted by Spain, </w:t>
      </w:r>
      <w:r w:rsidRPr="00E53DF3">
        <w:rPr>
          <w:rFonts w:ascii="Arial" w:hAnsi="Arial" w:cs="Arial"/>
          <w:sz w:val="24"/>
        </w:rPr>
        <w:t>Bulgaria</w:t>
      </w:r>
      <w:r>
        <w:rPr>
          <w:rFonts w:ascii="Arial" w:hAnsi="Arial" w:cs="Arial"/>
          <w:sz w:val="24"/>
        </w:rPr>
        <w:t>, Belgium</w:t>
      </w:r>
      <w:r w:rsidRPr="004F6DAE">
        <w:rPr>
          <w:rFonts w:ascii="Arial" w:hAnsi="Arial" w:cs="Arial"/>
          <w:sz w:val="24"/>
        </w:rPr>
        <w:t>, Brazil, Chile,</w:t>
      </w:r>
      <w:r w:rsidRPr="00E53DF3">
        <w:rPr>
          <w:rFonts w:ascii="Arial" w:hAnsi="Arial" w:cs="Arial"/>
          <w:sz w:val="24"/>
        </w:rPr>
        <w:t xml:space="preserve"> Portugal</w:t>
      </w:r>
      <w:r>
        <w:rPr>
          <w:rFonts w:ascii="Arial" w:hAnsi="Arial" w:cs="Arial"/>
          <w:sz w:val="24"/>
        </w:rPr>
        <w:t xml:space="preserve"> and UK</w:t>
      </w:r>
    </w:p>
    <w:p w14:paraId="7586732A" w14:textId="77777777" w:rsidR="0077266D" w:rsidRDefault="0077266D" w:rsidP="0077266D">
      <w:pPr>
        <w:spacing w:before="480" w:after="120"/>
        <w:jc w:val="both"/>
        <w:rPr>
          <w:rFonts w:ascii="Arial" w:hAnsi="Arial" w:cs="Arial"/>
          <w:b/>
          <w:i/>
          <w:color w:val="222222"/>
          <w:sz w:val="24"/>
        </w:rPr>
      </w:pPr>
      <w:r>
        <w:rPr>
          <w:rFonts w:ascii="Arial" w:hAnsi="Arial" w:cs="Arial"/>
          <w:b/>
          <w:i/>
          <w:sz w:val="24"/>
        </w:rPr>
        <w:t>Summary</w:t>
      </w:r>
    </w:p>
    <w:p w14:paraId="41FD04F9" w14:textId="77777777" w:rsidR="0077266D" w:rsidRDefault="0077266D" w:rsidP="0077266D">
      <w:pPr>
        <w:jc w:val="both"/>
      </w:pPr>
      <w:r>
        <w:t xml:space="preserve">At ATCM XLII (2019), the Meeting agreed to continue the intersessional contact group </w:t>
      </w:r>
      <w:r w:rsidRPr="00A455CC">
        <w:t xml:space="preserve">on Education and Outreach for another intersessional period, </w:t>
      </w:r>
      <w:r>
        <w:t xml:space="preserve">one of the </w:t>
      </w:r>
      <w:r w:rsidRPr="00A455CC">
        <w:t>terms of reference</w:t>
      </w:r>
      <w:r>
        <w:t xml:space="preserve"> for this intersessional period was “</w:t>
      </w:r>
      <w:r w:rsidRPr="00A455CC">
        <w:rPr>
          <w:i/>
        </w:rPr>
        <w:t>discuss the possibility for the creation of an Antarctic Education and Outreach section</w:t>
      </w:r>
      <w:r>
        <w:rPr>
          <w:i/>
        </w:rPr>
        <w:t xml:space="preserve"> o</w:t>
      </w:r>
      <w:r w:rsidRPr="00A455CC">
        <w:rPr>
          <w:i/>
        </w:rPr>
        <w:t>n the ATS website</w:t>
      </w:r>
      <w:r>
        <w:t>”.</w:t>
      </w:r>
    </w:p>
    <w:p w14:paraId="22B4A1E5" w14:textId="77777777" w:rsidR="0077266D" w:rsidRDefault="0077266D" w:rsidP="0077266D">
      <w:pPr>
        <w:jc w:val="both"/>
      </w:pPr>
      <w:r>
        <w:t>This document includes recommendations to enable the Antarctic Treaty Secretariat web page to enhance the ‘discoverability’ of content relating to Education &amp; Outreach (E&amp;O) and to promote further the exchange of information relating to E&amp;O among the Parties.</w:t>
      </w:r>
    </w:p>
    <w:p w14:paraId="06B39514" w14:textId="77777777" w:rsidR="0077266D" w:rsidRDefault="0077266D" w:rsidP="0077266D">
      <w:pPr>
        <w:spacing w:before="480" w:after="120"/>
        <w:jc w:val="both"/>
        <w:rPr>
          <w:rFonts w:ascii="Arial" w:hAnsi="Arial" w:cs="Arial"/>
          <w:b/>
          <w:i/>
          <w:sz w:val="24"/>
        </w:rPr>
      </w:pPr>
      <w:r>
        <w:rPr>
          <w:rFonts w:ascii="Arial" w:hAnsi="Arial" w:cs="Arial"/>
          <w:b/>
          <w:i/>
          <w:sz w:val="24"/>
        </w:rPr>
        <w:t>Background</w:t>
      </w:r>
    </w:p>
    <w:p w14:paraId="326ACD4C" w14:textId="77777777" w:rsidR="0077266D" w:rsidRDefault="0077266D" w:rsidP="0077266D">
      <w:pPr>
        <w:spacing w:before="120" w:after="120"/>
        <w:jc w:val="both"/>
        <w:rPr>
          <w:szCs w:val="22"/>
        </w:rPr>
      </w:pPr>
      <w:bookmarkStart w:id="8" w:name="_30j0zll" w:colFirst="0" w:colLast="0"/>
      <w:bookmarkEnd w:id="8"/>
      <w:r>
        <w:rPr>
          <w:szCs w:val="22"/>
        </w:rPr>
        <w:t xml:space="preserve">After the outcomes of the workshop on </w:t>
      </w:r>
      <w:r w:rsidRPr="00BB2786">
        <w:rPr>
          <w:szCs w:val="22"/>
        </w:rPr>
        <w:t>Education and Outreach</w:t>
      </w:r>
      <w:r>
        <w:rPr>
          <w:szCs w:val="22"/>
        </w:rPr>
        <w:t xml:space="preserve"> held during the ATCM XXXVIII (2015), </w:t>
      </w:r>
      <w:r w:rsidRPr="00BB2786">
        <w:rPr>
          <w:szCs w:val="22"/>
        </w:rPr>
        <w:t>the Meeting agreed to add Education and Outreach as an additional priority issue for the Multi-Year Strategic Work Plan</w:t>
      </w:r>
      <w:r>
        <w:rPr>
          <w:szCs w:val="22"/>
        </w:rPr>
        <w:t>; moreover, t</w:t>
      </w:r>
      <w:r w:rsidRPr="00BF2C6A">
        <w:rPr>
          <w:szCs w:val="22"/>
        </w:rPr>
        <w:t>he Meeting decided to establish an ICG on education and outreach</w:t>
      </w:r>
      <w:r>
        <w:rPr>
          <w:szCs w:val="22"/>
        </w:rPr>
        <w:t xml:space="preserve"> within the ATCM Forum (</w:t>
      </w:r>
      <w:r w:rsidRPr="00E442C2">
        <w:rPr>
          <w:szCs w:val="22"/>
        </w:rPr>
        <w:t xml:space="preserve">paragraph 374 of the </w:t>
      </w:r>
      <w:r>
        <w:rPr>
          <w:szCs w:val="22"/>
        </w:rPr>
        <w:t>F</w:t>
      </w:r>
      <w:r w:rsidRPr="00E442C2">
        <w:rPr>
          <w:szCs w:val="22"/>
        </w:rPr>
        <w:t xml:space="preserve">inal </w:t>
      </w:r>
      <w:r>
        <w:rPr>
          <w:szCs w:val="22"/>
        </w:rPr>
        <w:t>R</w:t>
      </w:r>
      <w:r w:rsidRPr="00E442C2">
        <w:rPr>
          <w:szCs w:val="22"/>
        </w:rPr>
        <w:t>eport</w:t>
      </w:r>
      <w:r>
        <w:rPr>
          <w:szCs w:val="22"/>
        </w:rPr>
        <w:t>).</w:t>
      </w:r>
    </w:p>
    <w:p w14:paraId="4652BCD1" w14:textId="77777777" w:rsidR="0077266D" w:rsidRDefault="0077266D" w:rsidP="0077266D">
      <w:pPr>
        <w:spacing w:before="120" w:after="120"/>
        <w:jc w:val="both"/>
        <w:rPr>
          <w:szCs w:val="22"/>
        </w:rPr>
      </w:pPr>
      <w:r>
        <w:rPr>
          <w:szCs w:val="22"/>
        </w:rPr>
        <w:t xml:space="preserve">Since then, the ICG has </w:t>
      </w:r>
      <w:r w:rsidRPr="00C1387D">
        <w:rPr>
          <w:szCs w:val="22"/>
        </w:rPr>
        <w:t xml:space="preserve">provided </w:t>
      </w:r>
      <w:r>
        <w:rPr>
          <w:szCs w:val="22"/>
        </w:rPr>
        <w:t xml:space="preserve">three reports to the ATCM (ATCM XXXIX/WP25; ATCM XL/WP24; ATCM XLII/WP20) with the outcomes of the ICG. </w:t>
      </w:r>
    </w:p>
    <w:p w14:paraId="6F228074" w14:textId="77777777" w:rsidR="0077266D" w:rsidRDefault="0077266D" w:rsidP="0077266D">
      <w:pPr>
        <w:spacing w:before="120" w:after="120"/>
        <w:jc w:val="both"/>
        <w:rPr>
          <w:szCs w:val="22"/>
        </w:rPr>
      </w:pPr>
      <w:r w:rsidRPr="00B8543A">
        <w:rPr>
          <w:szCs w:val="22"/>
        </w:rPr>
        <w:t xml:space="preserve">Several Parties </w:t>
      </w:r>
      <w:r>
        <w:rPr>
          <w:szCs w:val="22"/>
        </w:rPr>
        <w:t>have u</w:t>
      </w:r>
      <w:r w:rsidRPr="00B8543A">
        <w:rPr>
          <w:szCs w:val="22"/>
        </w:rPr>
        <w:t>nderlined their continued commitment to education and outreach as one of the core elements of Antarctic cooperation</w:t>
      </w:r>
      <w:r>
        <w:rPr>
          <w:szCs w:val="22"/>
        </w:rPr>
        <w:t xml:space="preserve">. </w:t>
      </w:r>
    </w:p>
    <w:p w14:paraId="19A6DCE0" w14:textId="77777777" w:rsidR="0077266D" w:rsidRDefault="0077266D" w:rsidP="0077266D">
      <w:pPr>
        <w:spacing w:before="120" w:after="120"/>
        <w:jc w:val="both"/>
        <w:rPr>
          <w:szCs w:val="22"/>
        </w:rPr>
      </w:pPr>
      <w:r>
        <w:rPr>
          <w:szCs w:val="22"/>
        </w:rPr>
        <w:t xml:space="preserve">At ATCM XLII (2019) was </w:t>
      </w:r>
      <w:r w:rsidRPr="00B8543A">
        <w:rPr>
          <w:szCs w:val="22"/>
        </w:rPr>
        <w:t>agreed to continue the ICG on Education and Outreach for another intersessional period</w:t>
      </w:r>
      <w:r>
        <w:rPr>
          <w:szCs w:val="22"/>
        </w:rPr>
        <w:t>. One of the agreed Terms of Reference for the 2019-2020 intersessional period was to “</w:t>
      </w:r>
      <w:r w:rsidRPr="007113CF">
        <w:rPr>
          <w:i/>
          <w:szCs w:val="22"/>
        </w:rPr>
        <w:t>Discuss the possibility for the creation of an Antarctic Education and Outreach section on the ATS website</w:t>
      </w:r>
      <w:r>
        <w:rPr>
          <w:szCs w:val="22"/>
        </w:rPr>
        <w:t xml:space="preserve">” (paragraph 208 of the Final Report). </w:t>
      </w:r>
    </w:p>
    <w:p w14:paraId="3174453C" w14:textId="77777777" w:rsidR="0077266D" w:rsidRDefault="0077266D" w:rsidP="0077266D">
      <w:pPr>
        <w:spacing w:before="120" w:after="120"/>
        <w:jc w:val="both"/>
        <w:rPr>
          <w:szCs w:val="22"/>
        </w:rPr>
      </w:pPr>
      <w:r w:rsidRPr="00E442C2">
        <w:rPr>
          <w:szCs w:val="22"/>
        </w:rPr>
        <w:t>In addition, the establishment of a strategy and guidelines for exchanging information between Members on Education and Outreach for long term perspective is recognized as priority 3 in the CEP five year work plan.</w:t>
      </w:r>
    </w:p>
    <w:p w14:paraId="5490C9B1" w14:textId="77777777" w:rsidR="0077266D" w:rsidRPr="007113CF" w:rsidRDefault="0077266D" w:rsidP="0077266D">
      <w:pPr>
        <w:spacing w:before="120" w:after="120"/>
        <w:jc w:val="both"/>
        <w:rPr>
          <w:szCs w:val="22"/>
        </w:rPr>
      </w:pPr>
      <w:r>
        <w:rPr>
          <w:szCs w:val="22"/>
        </w:rPr>
        <w:t>As stated in Xavier et al. (2019)</w:t>
      </w:r>
      <w:r w:rsidRPr="00792A7C">
        <w:rPr>
          <w:szCs w:val="22"/>
        </w:rPr>
        <w:t xml:space="preserve"> </w:t>
      </w:r>
      <w:r>
        <w:rPr>
          <w:szCs w:val="22"/>
        </w:rPr>
        <w:t>“</w:t>
      </w:r>
      <w:r w:rsidRPr="00792A7C">
        <w:rPr>
          <w:szCs w:val="22"/>
        </w:rPr>
        <w:t>a longer-term goal is to create synergies, reproduce</w:t>
      </w:r>
      <w:r>
        <w:rPr>
          <w:szCs w:val="22"/>
        </w:rPr>
        <w:t xml:space="preserve"> </w:t>
      </w:r>
      <w:r w:rsidRPr="00792A7C">
        <w:rPr>
          <w:szCs w:val="22"/>
        </w:rPr>
        <w:t>activities in different languages, and embody the Antarctic spirit</w:t>
      </w:r>
      <w:r>
        <w:rPr>
          <w:szCs w:val="22"/>
        </w:rPr>
        <w:t xml:space="preserve"> </w:t>
      </w:r>
      <w:r w:rsidRPr="00792A7C">
        <w:rPr>
          <w:szCs w:val="22"/>
        </w:rPr>
        <w:t>of cooperation in the domain of outreach and education.</w:t>
      </w:r>
      <w:r>
        <w:rPr>
          <w:szCs w:val="22"/>
        </w:rPr>
        <w:t>” Therefore, easy access to the educational resources of the Parties</w:t>
      </w:r>
      <w:r w:rsidRPr="00792A7C">
        <w:rPr>
          <w:szCs w:val="22"/>
        </w:rPr>
        <w:t xml:space="preserve"> </w:t>
      </w:r>
      <w:r>
        <w:rPr>
          <w:szCs w:val="22"/>
        </w:rPr>
        <w:t>through the ATS website would support this ambition. In addition, with the global increase in digital engagement, Parties wishing to develop new online educational activities may benefit from ‘signposting’ resources in the ATS website</w:t>
      </w:r>
    </w:p>
    <w:p w14:paraId="51965C4C" w14:textId="77777777" w:rsidR="0077266D" w:rsidRDefault="0077266D" w:rsidP="0077266D">
      <w:pPr>
        <w:spacing w:before="480" w:after="120"/>
        <w:jc w:val="both"/>
        <w:rPr>
          <w:rFonts w:ascii="Arial" w:hAnsi="Arial" w:cs="Arial"/>
          <w:b/>
          <w:i/>
          <w:sz w:val="24"/>
        </w:rPr>
      </w:pPr>
      <w:r>
        <w:rPr>
          <w:rFonts w:ascii="Arial" w:hAnsi="Arial" w:cs="Arial"/>
          <w:b/>
          <w:i/>
          <w:sz w:val="24"/>
        </w:rPr>
        <w:t>Proposal</w:t>
      </w:r>
    </w:p>
    <w:p w14:paraId="105FB703" w14:textId="77777777" w:rsidR="0077266D" w:rsidRDefault="0077266D" w:rsidP="0077266D">
      <w:pPr>
        <w:spacing w:before="120" w:after="120"/>
        <w:jc w:val="both"/>
        <w:rPr>
          <w:szCs w:val="22"/>
        </w:rPr>
      </w:pPr>
      <w:r>
        <w:rPr>
          <w:szCs w:val="22"/>
        </w:rPr>
        <w:t>The Antarctic Treaty Secretariat website is a valued information and document resource to exchange information between Parties. It is attractive also as a source of information to the media and general public.</w:t>
      </w:r>
      <w:r w:rsidDel="00E442C2">
        <w:rPr>
          <w:szCs w:val="22"/>
        </w:rPr>
        <w:t xml:space="preserve"> </w:t>
      </w:r>
    </w:p>
    <w:p w14:paraId="42FCBB0B" w14:textId="77777777" w:rsidR="0077266D" w:rsidRPr="00D929E6" w:rsidRDefault="0077266D" w:rsidP="0077266D">
      <w:pPr>
        <w:rPr>
          <w:szCs w:val="22"/>
          <w:lang w:eastAsia="en-GB"/>
        </w:rPr>
      </w:pPr>
      <w:r>
        <w:rPr>
          <w:szCs w:val="22"/>
        </w:rPr>
        <w:t xml:space="preserve">After reviewing the ATS web page, we offer suggestions and recommendations to enhance the visibility of the excellent work and resources created by the Parties; and more generally, improve ‘discoverability’ through search engine optimisation techniques. These suggestions and recommendations are intended to contribute to the ATS mission to </w:t>
      </w:r>
      <w:r w:rsidRPr="00D929E6">
        <w:rPr>
          <w:szCs w:val="22"/>
        </w:rPr>
        <w:t>p</w:t>
      </w:r>
      <w:r w:rsidRPr="00D929E6">
        <w:rPr>
          <w:szCs w:val="22"/>
          <w:lang w:eastAsia="en-GB"/>
        </w:rPr>
        <w:t>rovide and disseminate information about the Antarctic Treaty system and Antarctic activities.</w:t>
      </w:r>
    </w:p>
    <w:p w14:paraId="74A05D60" w14:textId="77777777" w:rsidR="0077266D" w:rsidRDefault="0077266D" w:rsidP="0077266D">
      <w:pPr>
        <w:spacing w:before="120" w:after="120"/>
        <w:jc w:val="both"/>
        <w:rPr>
          <w:szCs w:val="22"/>
        </w:rPr>
      </w:pPr>
      <w:r>
        <w:rPr>
          <w:szCs w:val="22"/>
        </w:rPr>
        <w:lastRenderedPageBreak/>
        <w:t xml:space="preserve">At present, to discover any links to educational resources, visitors to the website need to navigate to the “tools and resources” section </w:t>
      </w:r>
      <w:hyperlink r:id="rId14" w:history="1">
        <w:r w:rsidRPr="00836399">
          <w:rPr>
            <w:rStyle w:val="Hipervnculo"/>
            <w:szCs w:val="22"/>
          </w:rPr>
          <w:t>https://www.ats.aq/e/links.html</w:t>
        </w:r>
      </w:hyperlink>
      <w:r>
        <w:rPr>
          <w:szCs w:val="22"/>
        </w:rPr>
        <w:t>. This area of the site would benefit from providing a more inclusive list of links to resources created by the Parties.</w:t>
      </w:r>
    </w:p>
    <w:p w14:paraId="472B178C" w14:textId="77777777" w:rsidR="0077266D" w:rsidRDefault="0077266D" w:rsidP="0077266D">
      <w:pPr>
        <w:spacing w:before="120" w:after="120"/>
        <w:jc w:val="both"/>
        <w:rPr>
          <w:szCs w:val="22"/>
        </w:rPr>
      </w:pPr>
      <w:r>
        <w:rPr>
          <w:szCs w:val="22"/>
        </w:rPr>
        <w:t>Whilst users performing a search under ‘education’ can find helpful links to papers where this word is mentioned, none of the specific content relating to this subject including the Intersessional Contact Group for Education &amp; Outreach, or the tools and resources content are revealed in search. If the ATS wishes to improve the visibility of these activities or resources, we suggest the addition of metadata tags for ‘Education &amp; Outreach across relevant content within the site.</w:t>
      </w:r>
    </w:p>
    <w:p w14:paraId="5B333072" w14:textId="77777777" w:rsidR="0077266D" w:rsidRDefault="0077266D" w:rsidP="0077266D">
      <w:pPr>
        <w:spacing w:before="480" w:after="120"/>
        <w:jc w:val="both"/>
        <w:rPr>
          <w:rFonts w:ascii="Arial" w:hAnsi="Arial" w:cs="Arial"/>
          <w:b/>
          <w:i/>
          <w:sz w:val="24"/>
        </w:rPr>
      </w:pPr>
      <w:r>
        <w:rPr>
          <w:rFonts w:ascii="Arial" w:hAnsi="Arial" w:cs="Arial"/>
          <w:b/>
          <w:i/>
          <w:sz w:val="24"/>
        </w:rPr>
        <w:t>Recommendations</w:t>
      </w:r>
    </w:p>
    <w:p w14:paraId="55D67668" w14:textId="77777777" w:rsidR="0077266D" w:rsidRDefault="0077266D" w:rsidP="0077266D">
      <w:pPr>
        <w:spacing w:before="120" w:after="120"/>
        <w:jc w:val="both"/>
      </w:pPr>
      <w:r>
        <w:rPr>
          <w:szCs w:val="22"/>
        </w:rPr>
        <w:t>The ICG would recommend that the Antarctic Treaty Consultative Meeting:</w:t>
      </w:r>
      <w:r w:rsidRPr="00757453">
        <w:t xml:space="preserve"> </w:t>
      </w:r>
    </w:p>
    <w:p w14:paraId="1F894A53" w14:textId="77777777" w:rsidR="0077266D" w:rsidRDefault="0077266D" w:rsidP="0077266D">
      <w:pPr>
        <w:numPr>
          <w:ilvl w:val="0"/>
          <w:numId w:val="21"/>
        </w:numPr>
        <w:spacing w:before="120" w:after="120"/>
        <w:jc w:val="both"/>
        <w:rPr>
          <w:szCs w:val="22"/>
          <w:lang w:val="en-US"/>
        </w:rPr>
      </w:pPr>
      <w:r>
        <w:rPr>
          <w:szCs w:val="22"/>
          <w:lang w:val="en-US"/>
        </w:rPr>
        <w:t xml:space="preserve">Require Parties </w:t>
      </w:r>
      <w:r w:rsidRPr="00757453">
        <w:rPr>
          <w:szCs w:val="22"/>
          <w:lang w:val="en-US"/>
        </w:rPr>
        <w:t>to provide the Secretariat</w:t>
      </w:r>
      <w:r>
        <w:rPr>
          <w:szCs w:val="22"/>
          <w:lang w:val="en-US"/>
        </w:rPr>
        <w:t xml:space="preserve"> with</w:t>
      </w:r>
      <w:r w:rsidRPr="00757453">
        <w:rPr>
          <w:szCs w:val="22"/>
          <w:lang w:val="en-US"/>
        </w:rPr>
        <w:t xml:space="preserve"> link</w:t>
      </w:r>
      <w:r>
        <w:rPr>
          <w:szCs w:val="22"/>
          <w:lang w:val="en-US"/>
        </w:rPr>
        <w:t>(</w:t>
      </w:r>
      <w:r w:rsidRPr="00757453">
        <w:rPr>
          <w:szCs w:val="22"/>
          <w:lang w:val="en-US"/>
        </w:rPr>
        <w:t>s</w:t>
      </w:r>
      <w:r>
        <w:rPr>
          <w:szCs w:val="22"/>
          <w:lang w:val="en-US"/>
        </w:rPr>
        <w:t>)</w:t>
      </w:r>
      <w:r w:rsidRPr="00757453">
        <w:rPr>
          <w:szCs w:val="22"/>
          <w:lang w:val="en-US"/>
        </w:rPr>
        <w:t xml:space="preserve"> </w:t>
      </w:r>
      <w:r>
        <w:rPr>
          <w:szCs w:val="22"/>
          <w:lang w:val="en-US"/>
        </w:rPr>
        <w:t xml:space="preserve">to their web </w:t>
      </w:r>
      <w:r w:rsidRPr="00757453">
        <w:rPr>
          <w:szCs w:val="22"/>
          <w:lang w:val="en-US"/>
        </w:rPr>
        <w:t>page</w:t>
      </w:r>
      <w:r>
        <w:rPr>
          <w:szCs w:val="22"/>
          <w:lang w:val="en-US"/>
        </w:rPr>
        <w:t>(</w:t>
      </w:r>
      <w:r w:rsidRPr="00757453">
        <w:rPr>
          <w:szCs w:val="22"/>
          <w:lang w:val="en-US"/>
        </w:rPr>
        <w:t>s</w:t>
      </w:r>
      <w:r>
        <w:rPr>
          <w:szCs w:val="22"/>
          <w:lang w:val="en-US"/>
        </w:rPr>
        <w:t>)</w:t>
      </w:r>
      <w:r w:rsidRPr="00757453">
        <w:rPr>
          <w:szCs w:val="22"/>
          <w:lang w:val="en-US"/>
        </w:rPr>
        <w:t xml:space="preserve"> with edu</w:t>
      </w:r>
      <w:r>
        <w:rPr>
          <w:szCs w:val="22"/>
          <w:lang w:val="en-US"/>
        </w:rPr>
        <w:t>cational and outreach resources;</w:t>
      </w:r>
    </w:p>
    <w:p w14:paraId="70F5241F" w14:textId="77777777" w:rsidR="0077266D" w:rsidRDefault="0077266D" w:rsidP="0077266D">
      <w:pPr>
        <w:numPr>
          <w:ilvl w:val="0"/>
          <w:numId w:val="21"/>
        </w:numPr>
        <w:spacing w:before="120" w:after="120"/>
        <w:jc w:val="both"/>
        <w:rPr>
          <w:szCs w:val="22"/>
          <w:lang w:val="en-US"/>
        </w:rPr>
      </w:pPr>
      <w:r>
        <w:rPr>
          <w:szCs w:val="22"/>
          <w:lang w:val="en-US"/>
        </w:rPr>
        <w:t>Request the Secretariat to include these links in its “educational resources” section; and</w:t>
      </w:r>
    </w:p>
    <w:p w14:paraId="0777AE87" w14:textId="77777777" w:rsidR="0077266D" w:rsidRDefault="0077266D" w:rsidP="0077266D">
      <w:pPr>
        <w:numPr>
          <w:ilvl w:val="0"/>
          <w:numId w:val="21"/>
        </w:numPr>
        <w:spacing w:before="120" w:after="120"/>
        <w:jc w:val="both"/>
        <w:rPr>
          <w:szCs w:val="22"/>
          <w:lang w:val="en-US"/>
        </w:rPr>
      </w:pPr>
      <w:r>
        <w:rPr>
          <w:szCs w:val="22"/>
          <w:lang w:val="en-US"/>
        </w:rPr>
        <w:t xml:space="preserve">Request the Secretariat </w:t>
      </w:r>
      <w:r w:rsidRPr="00A25712">
        <w:rPr>
          <w:szCs w:val="22"/>
          <w:lang w:val="en-US"/>
        </w:rPr>
        <w:t xml:space="preserve">to present a </w:t>
      </w:r>
      <w:r>
        <w:rPr>
          <w:szCs w:val="22"/>
          <w:lang w:val="en-US"/>
        </w:rPr>
        <w:t xml:space="preserve">short </w:t>
      </w:r>
      <w:r w:rsidRPr="00A25712">
        <w:rPr>
          <w:szCs w:val="22"/>
          <w:lang w:val="en-US"/>
        </w:rPr>
        <w:t xml:space="preserve">report of implemented changes and site visit statistics </w:t>
      </w:r>
      <w:r>
        <w:rPr>
          <w:szCs w:val="22"/>
          <w:lang w:val="en-US"/>
        </w:rPr>
        <w:t>annually during the ATCM.</w:t>
      </w:r>
    </w:p>
    <w:p w14:paraId="156F2EDD" w14:textId="77777777" w:rsidR="0077266D" w:rsidRDefault="0077266D" w:rsidP="0077266D">
      <w:pPr>
        <w:spacing w:before="120" w:after="120"/>
        <w:jc w:val="both"/>
        <w:rPr>
          <w:szCs w:val="22"/>
          <w:lang w:val="en-US"/>
        </w:rPr>
      </w:pPr>
    </w:p>
    <w:p w14:paraId="65658224" w14:textId="77777777" w:rsidR="0077266D" w:rsidRPr="00D24463" w:rsidRDefault="0077266D" w:rsidP="0077266D">
      <w:pPr>
        <w:spacing w:before="120" w:after="120"/>
        <w:jc w:val="both"/>
        <w:rPr>
          <w:rFonts w:ascii="Arial" w:hAnsi="Arial" w:cs="Arial"/>
          <w:b/>
          <w:i/>
          <w:sz w:val="24"/>
          <w:lang w:val="en-US"/>
        </w:rPr>
      </w:pPr>
      <w:r w:rsidRPr="00D24463">
        <w:rPr>
          <w:rFonts w:ascii="Arial" w:hAnsi="Arial" w:cs="Arial"/>
          <w:b/>
          <w:i/>
          <w:sz w:val="24"/>
          <w:lang w:val="en-US"/>
        </w:rPr>
        <w:t>Reference</w:t>
      </w:r>
    </w:p>
    <w:p w14:paraId="023E7F37" w14:textId="77777777" w:rsidR="0077266D" w:rsidRPr="00D24463" w:rsidRDefault="0077266D" w:rsidP="0077266D">
      <w:pPr>
        <w:pStyle w:val="p1"/>
        <w:ind w:left="0" w:firstLine="0"/>
        <w:rPr>
          <w:rFonts w:ascii="Times New Roman" w:hAnsi="Times New Roman"/>
          <w:sz w:val="22"/>
          <w:szCs w:val="22"/>
        </w:rPr>
      </w:pPr>
      <w:r w:rsidRPr="00D24463">
        <w:rPr>
          <w:rFonts w:ascii="Times New Roman" w:hAnsi="Times New Roman"/>
          <w:sz w:val="22"/>
          <w:szCs w:val="22"/>
        </w:rPr>
        <w:t>Xavier JC, Mateev D, Capper L, Wilmotte A, Walton DWH (2019) Educatio</w:t>
      </w:r>
      <w:r>
        <w:rPr>
          <w:rFonts w:ascii="Times New Roman" w:hAnsi="Times New Roman"/>
          <w:sz w:val="22"/>
          <w:szCs w:val="22"/>
        </w:rPr>
        <w:t>n and Outreach by the Antarctic</w:t>
      </w:r>
      <w:r w:rsidRPr="00D24463">
        <w:rPr>
          <w:rFonts w:ascii="Times New Roman" w:hAnsi="Times New Roman"/>
          <w:sz w:val="22"/>
          <w:szCs w:val="22"/>
        </w:rPr>
        <w:t>Treaty</w:t>
      </w:r>
      <w:r>
        <w:rPr>
          <w:rFonts w:ascii="Times New Roman" w:hAnsi="Times New Roman"/>
          <w:sz w:val="22"/>
          <w:szCs w:val="22"/>
        </w:rPr>
        <w:t xml:space="preserve"> </w:t>
      </w:r>
      <w:r w:rsidRPr="00D24463">
        <w:rPr>
          <w:rFonts w:ascii="Times New Roman" w:hAnsi="Times New Roman"/>
          <w:sz w:val="22"/>
          <w:szCs w:val="22"/>
        </w:rPr>
        <w:t>Parties, Observers and Experts under the framework of the Antarctic Treaty Consultative meetings. Polar Record</w:t>
      </w:r>
      <w:r>
        <w:rPr>
          <w:rFonts w:ascii="Times New Roman" w:hAnsi="Times New Roman"/>
          <w:sz w:val="22"/>
          <w:szCs w:val="22"/>
        </w:rPr>
        <w:t xml:space="preserve"> </w:t>
      </w:r>
      <w:r w:rsidRPr="00D24463">
        <w:rPr>
          <w:rFonts w:ascii="Times New Roman" w:hAnsi="Times New Roman"/>
          <w:sz w:val="22"/>
          <w:szCs w:val="22"/>
        </w:rPr>
        <w:t>55:241-244</w:t>
      </w:r>
    </w:p>
    <w:p w14:paraId="32A3162E" w14:textId="77777777" w:rsidR="0077266D" w:rsidRPr="00D24463" w:rsidRDefault="0077266D" w:rsidP="0077266D">
      <w:pPr>
        <w:spacing w:before="120" w:after="120"/>
        <w:jc w:val="both"/>
        <w:rPr>
          <w:szCs w:val="22"/>
          <w:lang w:val="en-US"/>
        </w:rPr>
      </w:pPr>
    </w:p>
    <w:p w14:paraId="3596BB34" w14:textId="77777777" w:rsidR="0077266D" w:rsidRDefault="0077266D" w:rsidP="0077266D">
      <w:pPr>
        <w:spacing w:before="120" w:after="120"/>
        <w:jc w:val="both"/>
        <w:rPr>
          <w:szCs w:val="22"/>
          <w:lang w:val="en-US"/>
        </w:rPr>
      </w:pPr>
    </w:p>
    <w:p w14:paraId="74D2C385" w14:textId="77777777" w:rsidR="0077266D" w:rsidRDefault="0077266D" w:rsidP="00952E9F"/>
    <w:sectPr w:rsidR="0077266D" w:rsidSect="00C26F2D">
      <w:headerReference w:type="default" r:id="rId15"/>
      <w:footerReference w:type="default" r:id="rId16"/>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9501" w14:textId="77777777" w:rsidR="00A20C73" w:rsidRDefault="0077266D">
      <w:r>
        <w:separator/>
      </w:r>
    </w:p>
  </w:endnote>
  <w:endnote w:type="continuationSeparator" w:id="0">
    <w:p w14:paraId="63D83E75" w14:textId="77777777" w:rsidR="00A20C73" w:rsidRDefault="00772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0CC9" w14:textId="77777777" w:rsidR="00FA0B9F" w:rsidRDefault="0077266D" w:rsidP="00CF5C82">
    <w:pPr>
      <w:framePr w:wrap="around" w:vAnchor="text" w:hAnchor="margin" w:xAlign="right" w:y="1"/>
    </w:pPr>
    <w:r>
      <w:fldChar w:fldCharType="begin"/>
    </w:r>
    <w:r>
      <w:instrText xml:space="preserve">PAGE  </w:instrText>
    </w:r>
    <w:r>
      <w:fldChar w:fldCharType="end"/>
    </w:r>
  </w:p>
  <w:p w14:paraId="412333E4" w14:textId="77777777" w:rsidR="00FA0B9F" w:rsidRDefault="00577DC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699B8" w14:textId="77777777" w:rsidR="00FA0B9F" w:rsidRDefault="0077266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C53EAC1" w14:textId="5DEA5364" w:rsidR="00FA0B9F" w:rsidRDefault="00577DC9" w:rsidP="0077266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3119" w14:textId="77777777" w:rsidR="00577DC9" w:rsidRDefault="00577DC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6B8F" w14:textId="77777777" w:rsidR="00E311C9" w:rsidRDefault="0077266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B7D2FEE" w14:textId="77777777" w:rsidR="00E311C9" w:rsidRDefault="00577DC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24BBD" w14:textId="77777777" w:rsidR="00A20C73" w:rsidRDefault="0077266D">
      <w:r>
        <w:separator/>
      </w:r>
    </w:p>
  </w:footnote>
  <w:footnote w:type="continuationSeparator" w:id="0">
    <w:p w14:paraId="2FA97242" w14:textId="77777777" w:rsidR="00A20C73" w:rsidRDefault="00772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0947" w14:textId="77777777" w:rsidR="00577DC9" w:rsidRDefault="00577D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17BFF" w14:paraId="5BD70E7F" w14:textId="77777777" w:rsidTr="00490760">
      <w:trPr>
        <w:trHeight w:val="344"/>
        <w:jc w:val="center"/>
      </w:trPr>
      <w:tc>
        <w:tcPr>
          <w:tcW w:w="5495" w:type="dxa"/>
        </w:tcPr>
        <w:p w14:paraId="7AC46254" w14:textId="77777777" w:rsidR="00DB7C09" w:rsidRDefault="00577DC9" w:rsidP="00F968D4"/>
      </w:tc>
      <w:tc>
        <w:tcPr>
          <w:tcW w:w="4253" w:type="dxa"/>
          <w:gridSpan w:val="2"/>
        </w:tcPr>
        <w:p w14:paraId="5AFD380F" w14:textId="77777777" w:rsidR="00DB7C09" w:rsidRPr="00BD47E4" w:rsidRDefault="0077266D" w:rsidP="002A07BC">
          <w:pPr>
            <w:jc w:val="right"/>
            <w:rPr>
              <w:b/>
              <w:sz w:val="32"/>
              <w:szCs w:val="32"/>
            </w:rPr>
          </w:pPr>
          <w:bookmarkStart w:id="2" w:name="type"/>
          <w:r w:rsidRPr="00BD47E4">
            <w:rPr>
              <w:b/>
              <w:sz w:val="32"/>
              <w:szCs w:val="32"/>
            </w:rPr>
            <w:t>WP</w:t>
          </w:r>
          <w:bookmarkEnd w:id="2"/>
        </w:p>
      </w:tc>
      <w:tc>
        <w:tcPr>
          <w:tcW w:w="1524" w:type="dxa"/>
          <w:gridSpan w:val="2"/>
        </w:tcPr>
        <w:p w14:paraId="3F5C87EB" w14:textId="77777777" w:rsidR="00DB7C09" w:rsidRPr="00BD47E4" w:rsidRDefault="0077266D" w:rsidP="00DB7C09">
          <w:pPr>
            <w:rPr>
              <w:b/>
              <w:sz w:val="32"/>
              <w:szCs w:val="32"/>
            </w:rPr>
          </w:pPr>
          <w:bookmarkStart w:id="3" w:name="number"/>
          <w:r w:rsidRPr="00BD47E4">
            <w:rPr>
              <w:b/>
              <w:sz w:val="32"/>
              <w:szCs w:val="32"/>
            </w:rPr>
            <w:t>49</w:t>
          </w:r>
          <w:bookmarkEnd w:id="3"/>
        </w:p>
      </w:tc>
    </w:tr>
    <w:tr w:rsidR="00A17BFF" w14:paraId="1C5FA38D" w14:textId="77777777" w:rsidTr="00490760">
      <w:trPr>
        <w:trHeight w:val="2165"/>
        <w:jc w:val="center"/>
      </w:trPr>
      <w:tc>
        <w:tcPr>
          <w:tcW w:w="5495" w:type="dxa"/>
        </w:tcPr>
        <w:p w14:paraId="64540CF4" w14:textId="77777777" w:rsidR="00490760" w:rsidRPr="00EE4D48" w:rsidRDefault="0077266D" w:rsidP="002A07BC">
          <w:pPr>
            <w:rPr>
              <w:b/>
              <w:sz w:val="28"/>
              <w:szCs w:val="28"/>
            </w:rPr>
          </w:pPr>
          <w:r>
            <w:rPr>
              <w:b/>
              <w:noProof/>
              <w:sz w:val="28"/>
              <w:szCs w:val="28"/>
            </w:rPr>
            <w:drawing>
              <wp:inline distT="0" distB="0" distL="0" distR="0" wp14:anchorId="48C90648" wp14:editId="6302E2A1">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678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781DF49" w14:textId="77777777" w:rsidR="00490760" w:rsidRPr="00FE5146" w:rsidRDefault="0077266D" w:rsidP="00490760">
          <w:pPr>
            <w:jc w:val="right"/>
            <w:rPr>
              <w:sz w:val="144"/>
              <w:szCs w:val="144"/>
            </w:rPr>
          </w:pPr>
          <w:r w:rsidRPr="00FE5146">
            <w:rPr>
              <w:sz w:val="144"/>
              <w:szCs w:val="144"/>
            </w:rPr>
            <w:t>ENG</w:t>
          </w:r>
        </w:p>
      </w:tc>
    </w:tr>
    <w:tr w:rsidR="00A17BFF" w14:paraId="5D158B0E" w14:textId="77777777" w:rsidTr="00BD47E4">
      <w:trPr>
        <w:trHeight w:val="409"/>
        <w:jc w:val="center"/>
      </w:trPr>
      <w:tc>
        <w:tcPr>
          <w:tcW w:w="9039" w:type="dxa"/>
          <w:gridSpan w:val="2"/>
        </w:tcPr>
        <w:p w14:paraId="1C121C43" w14:textId="77777777" w:rsidR="00BD47E4" w:rsidRDefault="0077266D" w:rsidP="002C30DA">
          <w:pPr>
            <w:jc w:val="right"/>
          </w:pPr>
          <w:r>
            <w:t>Agenda Item:</w:t>
          </w:r>
        </w:p>
      </w:tc>
      <w:tc>
        <w:tcPr>
          <w:tcW w:w="1843" w:type="dxa"/>
          <w:gridSpan w:val="2"/>
        </w:tcPr>
        <w:p w14:paraId="7DD2E71D" w14:textId="38467E87" w:rsidR="00BD47E4" w:rsidRDefault="0077266D" w:rsidP="002C30DA">
          <w:pPr>
            <w:jc w:val="right"/>
          </w:pPr>
          <w:bookmarkStart w:id="4" w:name="agenda"/>
          <w:r>
            <w:t>ATCM 1</w:t>
          </w:r>
          <w:bookmarkEnd w:id="4"/>
          <w:r w:rsidR="00577DC9">
            <w:t>1</w:t>
          </w:r>
        </w:p>
      </w:tc>
      <w:tc>
        <w:tcPr>
          <w:tcW w:w="390" w:type="dxa"/>
        </w:tcPr>
        <w:p w14:paraId="1EF94D41" w14:textId="77777777" w:rsidR="00BD47E4" w:rsidRDefault="00577DC9" w:rsidP="00387A65">
          <w:pPr>
            <w:jc w:val="right"/>
          </w:pPr>
        </w:p>
      </w:tc>
    </w:tr>
    <w:tr w:rsidR="00A17BFF" w14:paraId="175156D6" w14:textId="77777777" w:rsidTr="00BD47E4">
      <w:trPr>
        <w:trHeight w:val="397"/>
        <w:jc w:val="center"/>
      </w:trPr>
      <w:tc>
        <w:tcPr>
          <w:tcW w:w="9039" w:type="dxa"/>
          <w:gridSpan w:val="2"/>
        </w:tcPr>
        <w:p w14:paraId="1E848D20" w14:textId="77777777" w:rsidR="00BD47E4" w:rsidRDefault="0077266D" w:rsidP="002C30DA">
          <w:pPr>
            <w:jc w:val="right"/>
          </w:pPr>
          <w:r>
            <w:t>Presented by:</w:t>
          </w:r>
        </w:p>
      </w:tc>
      <w:tc>
        <w:tcPr>
          <w:tcW w:w="1843" w:type="dxa"/>
          <w:gridSpan w:val="2"/>
        </w:tcPr>
        <w:p w14:paraId="5E26D3D3" w14:textId="77777777" w:rsidR="00BD47E4" w:rsidRDefault="0077266D" w:rsidP="002C30DA">
          <w:pPr>
            <w:jc w:val="right"/>
          </w:pPr>
          <w:bookmarkStart w:id="5" w:name="party"/>
          <w:r>
            <w:t>Spain, Bulgaria, Belgium, Brazil, Chile, Portugal, United Kingdom</w:t>
          </w:r>
          <w:bookmarkEnd w:id="5"/>
        </w:p>
      </w:tc>
      <w:tc>
        <w:tcPr>
          <w:tcW w:w="390" w:type="dxa"/>
        </w:tcPr>
        <w:p w14:paraId="12991F45" w14:textId="77777777" w:rsidR="00BD47E4" w:rsidRDefault="00577DC9" w:rsidP="00387A65">
          <w:pPr>
            <w:jc w:val="right"/>
          </w:pPr>
        </w:p>
      </w:tc>
    </w:tr>
    <w:tr w:rsidR="00A17BFF" w14:paraId="14AFDBF0" w14:textId="77777777" w:rsidTr="00BD47E4">
      <w:trPr>
        <w:trHeight w:val="409"/>
        <w:jc w:val="center"/>
      </w:trPr>
      <w:tc>
        <w:tcPr>
          <w:tcW w:w="9039" w:type="dxa"/>
          <w:gridSpan w:val="2"/>
        </w:tcPr>
        <w:p w14:paraId="267D0F22" w14:textId="77777777" w:rsidR="00BD47E4" w:rsidRDefault="0077266D" w:rsidP="002C30DA">
          <w:pPr>
            <w:jc w:val="right"/>
          </w:pPr>
          <w:r>
            <w:t>Original:</w:t>
          </w:r>
        </w:p>
      </w:tc>
      <w:tc>
        <w:tcPr>
          <w:tcW w:w="1843" w:type="dxa"/>
          <w:gridSpan w:val="2"/>
        </w:tcPr>
        <w:p w14:paraId="26BA5874" w14:textId="77777777" w:rsidR="00BD47E4" w:rsidRDefault="0077266D" w:rsidP="002C30DA">
          <w:pPr>
            <w:jc w:val="right"/>
          </w:pPr>
          <w:bookmarkStart w:id="6" w:name="language"/>
          <w:r>
            <w:t>English</w:t>
          </w:r>
          <w:bookmarkEnd w:id="6"/>
        </w:p>
      </w:tc>
      <w:tc>
        <w:tcPr>
          <w:tcW w:w="390" w:type="dxa"/>
        </w:tcPr>
        <w:p w14:paraId="55E03075" w14:textId="77777777" w:rsidR="00BD47E4" w:rsidRDefault="00577DC9" w:rsidP="00387A65">
          <w:pPr>
            <w:jc w:val="right"/>
          </w:pPr>
        </w:p>
      </w:tc>
    </w:tr>
    <w:tr w:rsidR="00A17BFF" w14:paraId="48EC1FC6" w14:textId="77777777" w:rsidTr="00BD47E4">
      <w:trPr>
        <w:trHeight w:val="409"/>
        <w:jc w:val="center"/>
      </w:trPr>
      <w:tc>
        <w:tcPr>
          <w:tcW w:w="9039" w:type="dxa"/>
          <w:gridSpan w:val="2"/>
        </w:tcPr>
        <w:p w14:paraId="39953B16" w14:textId="77777777" w:rsidR="0097629D" w:rsidRDefault="0077266D" w:rsidP="002C30DA">
          <w:pPr>
            <w:jc w:val="right"/>
          </w:pPr>
          <w:r>
            <w:t>Submitted:</w:t>
          </w:r>
        </w:p>
      </w:tc>
      <w:tc>
        <w:tcPr>
          <w:tcW w:w="1843" w:type="dxa"/>
          <w:gridSpan w:val="2"/>
        </w:tcPr>
        <w:p w14:paraId="2D089DF9" w14:textId="77777777" w:rsidR="0097629D" w:rsidRDefault="0077266D" w:rsidP="0097629D">
          <w:pPr>
            <w:jc w:val="right"/>
          </w:pPr>
          <w:bookmarkStart w:id="7" w:name="date_submission"/>
          <w:r>
            <w:t>30/4/2021</w:t>
          </w:r>
          <w:bookmarkEnd w:id="7"/>
        </w:p>
      </w:tc>
      <w:tc>
        <w:tcPr>
          <w:tcW w:w="390" w:type="dxa"/>
        </w:tcPr>
        <w:p w14:paraId="3EA13146" w14:textId="77777777" w:rsidR="0097629D" w:rsidRDefault="00577DC9" w:rsidP="00387A65">
          <w:pPr>
            <w:jc w:val="right"/>
          </w:pPr>
        </w:p>
      </w:tc>
    </w:tr>
  </w:tbl>
  <w:p w14:paraId="258BC480" w14:textId="77777777" w:rsidR="00AE5DD0" w:rsidRDefault="00577D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2BDE" w14:textId="77777777" w:rsidR="00577DC9" w:rsidRDefault="00577D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17BFF" w14:paraId="7817CD58" w14:textId="77777777">
      <w:trPr>
        <w:trHeight w:val="354"/>
        <w:jc w:val="center"/>
      </w:trPr>
      <w:tc>
        <w:tcPr>
          <w:tcW w:w="9694" w:type="dxa"/>
        </w:tcPr>
        <w:p w14:paraId="1682B313" w14:textId="7084A785" w:rsidR="00AE5DD0" w:rsidRPr="00BD47E4" w:rsidRDefault="0077266D" w:rsidP="00C26F2D">
          <w:pPr>
            <w:jc w:val="right"/>
            <w:rPr>
              <w:b/>
              <w:sz w:val="32"/>
              <w:szCs w:val="32"/>
            </w:rPr>
          </w:pPr>
          <w:r>
            <w:rPr>
              <w:b/>
              <w:sz w:val="32"/>
              <w:szCs w:val="32"/>
            </w:rPr>
            <w:t>WP</w:t>
          </w:r>
        </w:p>
      </w:tc>
      <w:tc>
        <w:tcPr>
          <w:tcW w:w="1332" w:type="dxa"/>
        </w:tcPr>
        <w:p w14:paraId="2F1C9F4B" w14:textId="1D1DE3C1" w:rsidR="00AE5DD0" w:rsidRPr="00BD47E4" w:rsidRDefault="0077266D" w:rsidP="00080F4C">
          <w:pPr>
            <w:rPr>
              <w:b/>
              <w:sz w:val="32"/>
              <w:szCs w:val="32"/>
            </w:rPr>
          </w:pPr>
          <w:r>
            <w:rPr>
              <w:b/>
              <w:sz w:val="32"/>
              <w:szCs w:val="32"/>
            </w:rPr>
            <w:t>49</w:t>
          </w:r>
        </w:p>
      </w:tc>
    </w:tr>
  </w:tbl>
  <w:p w14:paraId="442DA5A6" w14:textId="77777777" w:rsidR="00AE5DD0" w:rsidRDefault="00577D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104EEC8">
      <w:start w:val="1"/>
      <w:numFmt w:val="bullet"/>
      <w:pStyle w:val="ATSBullet1"/>
      <w:lvlText w:val=""/>
      <w:lvlJc w:val="left"/>
      <w:pPr>
        <w:tabs>
          <w:tab w:val="num" w:pos="360"/>
        </w:tabs>
        <w:ind w:left="360" w:hanging="360"/>
      </w:pPr>
      <w:rPr>
        <w:rFonts w:ascii="Symbol" w:hAnsi="Symbol" w:hint="default"/>
        <w:color w:val="auto"/>
      </w:rPr>
    </w:lvl>
    <w:lvl w:ilvl="1" w:tplc="262A6388" w:tentative="1">
      <w:start w:val="1"/>
      <w:numFmt w:val="bullet"/>
      <w:lvlText w:val="o"/>
      <w:lvlJc w:val="left"/>
      <w:pPr>
        <w:tabs>
          <w:tab w:val="num" w:pos="1440"/>
        </w:tabs>
        <w:ind w:left="1440" w:hanging="360"/>
      </w:pPr>
      <w:rPr>
        <w:rFonts w:ascii="Courier New" w:hAnsi="Courier New" w:cs="Courier New" w:hint="default"/>
      </w:rPr>
    </w:lvl>
    <w:lvl w:ilvl="2" w:tplc="C9CC2DCE" w:tentative="1">
      <w:start w:val="1"/>
      <w:numFmt w:val="bullet"/>
      <w:lvlText w:val=""/>
      <w:lvlJc w:val="left"/>
      <w:pPr>
        <w:tabs>
          <w:tab w:val="num" w:pos="2160"/>
        </w:tabs>
        <w:ind w:left="2160" w:hanging="360"/>
      </w:pPr>
      <w:rPr>
        <w:rFonts w:ascii="Wingdings" w:hAnsi="Wingdings" w:hint="default"/>
      </w:rPr>
    </w:lvl>
    <w:lvl w:ilvl="3" w:tplc="B99C14FE" w:tentative="1">
      <w:start w:val="1"/>
      <w:numFmt w:val="bullet"/>
      <w:lvlText w:val=""/>
      <w:lvlJc w:val="left"/>
      <w:pPr>
        <w:tabs>
          <w:tab w:val="num" w:pos="2880"/>
        </w:tabs>
        <w:ind w:left="2880" w:hanging="360"/>
      </w:pPr>
      <w:rPr>
        <w:rFonts w:ascii="Symbol" w:hAnsi="Symbol" w:hint="default"/>
      </w:rPr>
    </w:lvl>
    <w:lvl w:ilvl="4" w:tplc="CB96C556" w:tentative="1">
      <w:start w:val="1"/>
      <w:numFmt w:val="bullet"/>
      <w:lvlText w:val="o"/>
      <w:lvlJc w:val="left"/>
      <w:pPr>
        <w:tabs>
          <w:tab w:val="num" w:pos="3600"/>
        </w:tabs>
        <w:ind w:left="3600" w:hanging="360"/>
      </w:pPr>
      <w:rPr>
        <w:rFonts w:ascii="Courier New" w:hAnsi="Courier New" w:cs="Courier New" w:hint="default"/>
      </w:rPr>
    </w:lvl>
    <w:lvl w:ilvl="5" w:tplc="17C05EC2" w:tentative="1">
      <w:start w:val="1"/>
      <w:numFmt w:val="bullet"/>
      <w:lvlText w:val=""/>
      <w:lvlJc w:val="left"/>
      <w:pPr>
        <w:tabs>
          <w:tab w:val="num" w:pos="4320"/>
        </w:tabs>
        <w:ind w:left="4320" w:hanging="360"/>
      </w:pPr>
      <w:rPr>
        <w:rFonts w:ascii="Wingdings" w:hAnsi="Wingdings" w:hint="default"/>
      </w:rPr>
    </w:lvl>
    <w:lvl w:ilvl="6" w:tplc="B91CD530" w:tentative="1">
      <w:start w:val="1"/>
      <w:numFmt w:val="bullet"/>
      <w:lvlText w:val=""/>
      <w:lvlJc w:val="left"/>
      <w:pPr>
        <w:tabs>
          <w:tab w:val="num" w:pos="5040"/>
        </w:tabs>
        <w:ind w:left="5040" w:hanging="360"/>
      </w:pPr>
      <w:rPr>
        <w:rFonts w:ascii="Symbol" w:hAnsi="Symbol" w:hint="default"/>
      </w:rPr>
    </w:lvl>
    <w:lvl w:ilvl="7" w:tplc="3A702BCE" w:tentative="1">
      <w:start w:val="1"/>
      <w:numFmt w:val="bullet"/>
      <w:lvlText w:val="o"/>
      <w:lvlJc w:val="left"/>
      <w:pPr>
        <w:tabs>
          <w:tab w:val="num" w:pos="5760"/>
        </w:tabs>
        <w:ind w:left="5760" w:hanging="360"/>
      </w:pPr>
      <w:rPr>
        <w:rFonts w:ascii="Courier New" w:hAnsi="Courier New" w:cs="Courier New" w:hint="default"/>
      </w:rPr>
    </w:lvl>
    <w:lvl w:ilvl="8" w:tplc="E188A88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35802DC">
      <w:start w:val="1"/>
      <w:numFmt w:val="decimal"/>
      <w:lvlText w:val="%1)"/>
      <w:lvlJc w:val="left"/>
      <w:pPr>
        <w:tabs>
          <w:tab w:val="num" w:pos="340"/>
        </w:tabs>
        <w:ind w:left="340" w:hanging="340"/>
      </w:pPr>
      <w:rPr>
        <w:rFonts w:hint="default"/>
      </w:rPr>
    </w:lvl>
    <w:lvl w:ilvl="1" w:tplc="F40CF134" w:tentative="1">
      <w:start w:val="1"/>
      <w:numFmt w:val="lowerLetter"/>
      <w:lvlText w:val="%2."/>
      <w:lvlJc w:val="left"/>
      <w:pPr>
        <w:tabs>
          <w:tab w:val="num" w:pos="1440"/>
        </w:tabs>
        <w:ind w:left="1440" w:hanging="360"/>
      </w:pPr>
    </w:lvl>
    <w:lvl w:ilvl="2" w:tplc="F772581A" w:tentative="1">
      <w:start w:val="1"/>
      <w:numFmt w:val="lowerRoman"/>
      <w:lvlText w:val="%3."/>
      <w:lvlJc w:val="right"/>
      <w:pPr>
        <w:tabs>
          <w:tab w:val="num" w:pos="2160"/>
        </w:tabs>
        <w:ind w:left="2160" w:hanging="180"/>
      </w:pPr>
    </w:lvl>
    <w:lvl w:ilvl="3" w:tplc="3D346BBA" w:tentative="1">
      <w:start w:val="1"/>
      <w:numFmt w:val="decimal"/>
      <w:lvlText w:val="%4."/>
      <w:lvlJc w:val="left"/>
      <w:pPr>
        <w:tabs>
          <w:tab w:val="num" w:pos="2880"/>
        </w:tabs>
        <w:ind w:left="2880" w:hanging="360"/>
      </w:pPr>
    </w:lvl>
    <w:lvl w:ilvl="4" w:tplc="5E50862E" w:tentative="1">
      <w:start w:val="1"/>
      <w:numFmt w:val="lowerLetter"/>
      <w:lvlText w:val="%5."/>
      <w:lvlJc w:val="left"/>
      <w:pPr>
        <w:tabs>
          <w:tab w:val="num" w:pos="3600"/>
        </w:tabs>
        <w:ind w:left="3600" w:hanging="360"/>
      </w:pPr>
    </w:lvl>
    <w:lvl w:ilvl="5" w:tplc="FDDA58F6" w:tentative="1">
      <w:start w:val="1"/>
      <w:numFmt w:val="lowerRoman"/>
      <w:lvlText w:val="%6."/>
      <w:lvlJc w:val="right"/>
      <w:pPr>
        <w:tabs>
          <w:tab w:val="num" w:pos="4320"/>
        </w:tabs>
        <w:ind w:left="4320" w:hanging="180"/>
      </w:pPr>
    </w:lvl>
    <w:lvl w:ilvl="6" w:tplc="27F43A5C" w:tentative="1">
      <w:start w:val="1"/>
      <w:numFmt w:val="decimal"/>
      <w:lvlText w:val="%7."/>
      <w:lvlJc w:val="left"/>
      <w:pPr>
        <w:tabs>
          <w:tab w:val="num" w:pos="5040"/>
        </w:tabs>
        <w:ind w:left="5040" w:hanging="360"/>
      </w:pPr>
    </w:lvl>
    <w:lvl w:ilvl="7" w:tplc="37E82EC2" w:tentative="1">
      <w:start w:val="1"/>
      <w:numFmt w:val="lowerLetter"/>
      <w:lvlText w:val="%8."/>
      <w:lvlJc w:val="left"/>
      <w:pPr>
        <w:tabs>
          <w:tab w:val="num" w:pos="5760"/>
        </w:tabs>
        <w:ind w:left="5760" w:hanging="360"/>
      </w:pPr>
    </w:lvl>
    <w:lvl w:ilvl="8" w:tplc="38AA2C08" w:tentative="1">
      <w:start w:val="1"/>
      <w:numFmt w:val="lowerRoman"/>
      <w:lvlText w:val="%9."/>
      <w:lvlJc w:val="right"/>
      <w:pPr>
        <w:tabs>
          <w:tab w:val="num" w:pos="6480"/>
        </w:tabs>
        <w:ind w:left="6480" w:hanging="180"/>
      </w:pPr>
    </w:lvl>
  </w:abstractNum>
  <w:abstractNum w:abstractNumId="13" w15:restartNumberingAfterBreak="0">
    <w:nsid w:val="4F301D9A"/>
    <w:multiLevelType w:val="hybridMultilevel"/>
    <w:tmpl w:val="9CE0D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FDAAE53C">
      <w:start w:val="1"/>
      <w:numFmt w:val="decimal"/>
      <w:lvlText w:val="%1."/>
      <w:lvlJc w:val="left"/>
      <w:pPr>
        <w:tabs>
          <w:tab w:val="num" w:pos="1057"/>
        </w:tabs>
        <w:ind w:left="1057" w:hanging="360"/>
      </w:pPr>
      <w:rPr>
        <w:rFonts w:hint="default"/>
      </w:rPr>
    </w:lvl>
    <w:lvl w:ilvl="1" w:tplc="D9F8B3B8" w:tentative="1">
      <w:start w:val="1"/>
      <w:numFmt w:val="lowerLetter"/>
      <w:lvlText w:val="%2."/>
      <w:lvlJc w:val="left"/>
      <w:pPr>
        <w:tabs>
          <w:tab w:val="num" w:pos="2137"/>
        </w:tabs>
        <w:ind w:left="2137" w:hanging="360"/>
      </w:pPr>
    </w:lvl>
    <w:lvl w:ilvl="2" w:tplc="2E143830" w:tentative="1">
      <w:start w:val="1"/>
      <w:numFmt w:val="lowerRoman"/>
      <w:lvlText w:val="%3."/>
      <w:lvlJc w:val="right"/>
      <w:pPr>
        <w:tabs>
          <w:tab w:val="num" w:pos="2857"/>
        </w:tabs>
        <w:ind w:left="2857" w:hanging="180"/>
      </w:pPr>
    </w:lvl>
    <w:lvl w:ilvl="3" w:tplc="02107E86" w:tentative="1">
      <w:start w:val="1"/>
      <w:numFmt w:val="decimal"/>
      <w:lvlText w:val="%4."/>
      <w:lvlJc w:val="left"/>
      <w:pPr>
        <w:tabs>
          <w:tab w:val="num" w:pos="3577"/>
        </w:tabs>
        <w:ind w:left="3577" w:hanging="360"/>
      </w:pPr>
    </w:lvl>
    <w:lvl w:ilvl="4" w:tplc="651A0F16" w:tentative="1">
      <w:start w:val="1"/>
      <w:numFmt w:val="lowerLetter"/>
      <w:lvlText w:val="%5."/>
      <w:lvlJc w:val="left"/>
      <w:pPr>
        <w:tabs>
          <w:tab w:val="num" w:pos="4297"/>
        </w:tabs>
        <w:ind w:left="4297" w:hanging="360"/>
      </w:pPr>
    </w:lvl>
    <w:lvl w:ilvl="5" w:tplc="1AF0E8E2" w:tentative="1">
      <w:start w:val="1"/>
      <w:numFmt w:val="lowerRoman"/>
      <w:lvlText w:val="%6."/>
      <w:lvlJc w:val="right"/>
      <w:pPr>
        <w:tabs>
          <w:tab w:val="num" w:pos="5017"/>
        </w:tabs>
        <w:ind w:left="5017" w:hanging="180"/>
      </w:pPr>
    </w:lvl>
    <w:lvl w:ilvl="6" w:tplc="C49AFBBC" w:tentative="1">
      <w:start w:val="1"/>
      <w:numFmt w:val="decimal"/>
      <w:lvlText w:val="%7."/>
      <w:lvlJc w:val="left"/>
      <w:pPr>
        <w:tabs>
          <w:tab w:val="num" w:pos="5737"/>
        </w:tabs>
        <w:ind w:left="5737" w:hanging="360"/>
      </w:pPr>
    </w:lvl>
    <w:lvl w:ilvl="7" w:tplc="EC4CDC5E" w:tentative="1">
      <w:start w:val="1"/>
      <w:numFmt w:val="lowerLetter"/>
      <w:lvlText w:val="%8."/>
      <w:lvlJc w:val="left"/>
      <w:pPr>
        <w:tabs>
          <w:tab w:val="num" w:pos="6457"/>
        </w:tabs>
        <w:ind w:left="6457" w:hanging="360"/>
      </w:pPr>
    </w:lvl>
    <w:lvl w:ilvl="8" w:tplc="986E1F5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92E27C1A">
      <w:start w:val="1"/>
      <w:numFmt w:val="decimal"/>
      <w:pStyle w:val="ATSNumber1"/>
      <w:lvlText w:val="%1)"/>
      <w:lvlJc w:val="left"/>
      <w:pPr>
        <w:tabs>
          <w:tab w:val="num" w:pos="720"/>
        </w:tabs>
        <w:ind w:left="720" w:hanging="360"/>
      </w:pPr>
    </w:lvl>
    <w:lvl w:ilvl="1" w:tplc="7EAC2590" w:tentative="1">
      <w:start w:val="1"/>
      <w:numFmt w:val="lowerLetter"/>
      <w:lvlText w:val="%2."/>
      <w:lvlJc w:val="left"/>
      <w:pPr>
        <w:tabs>
          <w:tab w:val="num" w:pos="1440"/>
        </w:tabs>
        <w:ind w:left="1440" w:hanging="360"/>
      </w:pPr>
    </w:lvl>
    <w:lvl w:ilvl="2" w:tplc="6868E794" w:tentative="1">
      <w:start w:val="1"/>
      <w:numFmt w:val="lowerRoman"/>
      <w:lvlText w:val="%3."/>
      <w:lvlJc w:val="right"/>
      <w:pPr>
        <w:tabs>
          <w:tab w:val="num" w:pos="2160"/>
        </w:tabs>
        <w:ind w:left="2160" w:hanging="180"/>
      </w:pPr>
    </w:lvl>
    <w:lvl w:ilvl="3" w:tplc="9982A3FC" w:tentative="1">
      <w:start w:val="1"/>
      <w:numFmt w:val="decimal"/>
      <w:lvlText w:val="%4."/>
      <w:lvlJc w:val="left"/>
      <w:pPr>
        <w:tabs>
          <w:tab w:val="num" w:pos="2880"/>
        </w:tabs>
        <w:ind w:left="2880" w:hanging="360"/>
      </w:pPr>
    </w:lvl>
    <w:lvl w:ilvl="4" w:tplc="97FAFF54" w:tentative="1">
      <w:start w:val="1"/>
      <w:numFmt w:val="lowerLetter"/>
      <w:lvlText w:val="%5."/>
      <w:lvlJc w:val="left"/>
      <w:pPr>
        <w:tabs>
          <w:tab w:val="num" w:pos="3600"/>
        </w:tabs>
        <w:ind w:left="3600" w:hanging="360"/>
      </w:pPr>
    </w:lvl>
    <w:lvl w:ilvl="5" w:tplc="BF384712" w:tentative="1">
      <w:start w:val="1"/>
      <w:numFmt w:val="lowerRoman"/>
      <w:lvlText w:val="%6."/>
      <w:lvlJc w:val="right"/>
      <w:pPr>
        <w:tabs>
          <w:tab w:val="num" w:pos="4320"/>
        </w:tabs>
        <w:ind w:left="4320" w:hanging="180"/>
      </w:pPr>
    </w:lvl>
    <w:lvl w:ilvl="6" w:tplc="E6AC0BDA" w:tentative="1">
      <w:start w:val="1"/>
      <w:numFmt w:val="decimal"/>
      <w:lvlText w:val="%7."/>
      <w:lvlJc w:val="left"/>
      <w:pPr>
        <w:tabs>
          <w:tab w:val="num" w:pos="5040"/>
        </w:tabs>
        <w:ind w:left="5040" w:hanging="360"/>
      </w:pPr>
    </w:lvl>
    <w:lvl w:ilvl="7" w:tplc="EA2675C0" w:tentative="1">
      <w:start w:val="1"/>
      <w:numFmt w:val="lowerLetter"/>
      <w:lvlText w:val="%8."/>
      <w:lvlJc w:val="left"/>
      <w:pPr>
        <w:tabs>
          <w:tab w:val="num" w:pos="5760"/>
        </w:tabs>
        <w:ind w:left="5760" w:hanging="360"/>
      </w:pPr>
    </w:lvl>
    <w:lvl w:ilvl="8" w:tplc="DBBC40F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9D2AC87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4E66FFA" w:tentative="1">
      <w:start w:val="1"/>
      <w:numFmt w:val="bullet"/>
      <w:lvlText w:val="o"/>
      <w:lvlJc w:val="left"/>
      <w:pPr>
        <w:tabs>
          <w:tab w:val="num" w:pos="2517"/>
        </w:tabs>
        <w:ind w:left="2517" w:hanging="360"/>
      </w:pPr>
      <w:rPr>
        <w:rFonts w:ascii="Courier New" w:hAnsi="Courier New" w:cs="Courier New" w:hint="default"/>
      </w:rPr>
    </w:lvl>
    <w:lvl w:ilvl="2" w:tplc="34088A74" w:tentative="1">
      <w:start w:val="1"/>
      <w:numFmt w:val="bullet"/>
      <w:lvlText w:val=""/>
      <w:lvlJc w:val="left"/>
      <w:pPr>
        <w:tabs>
          <w:tab w:val="num" w:pos="3237"/>
        </w:tabs>
        <w:ind w:left="3237" w:hanging="360"/>
      </w:pPr>
      <w:rPr>
        <w:rFonts w:ascii="Wingdings" w:hAnsi="Wingdings" w:hint="default"/>
      </w:rPr>
    </w:lvl>
    <w:lvl w:ilvl="3" w:tplc="E7A4026C" w:tentative="1">
      <w:start w:val="1"/>
      <w:numFmt w:val="bullet"/>
      <w:lvlText w:val=""/>
      <w:lvlJc w:val="left"/>
      <w:pPr>
        <w:tabs>
          <w:tab w:val="num" w:pos="3957"/>
        </w:tabs>
        <w:ind w:left="3957" w:hanging="360"/>
      </w:pPr>
      <w:rPr>
        <w:rFonts w:ascii="Symbol" w:hAnsi="Symbol" w:hint="default"/>
      </w:rPr>
    </w:lvl>
    <w:lvl w:ilvl="4" w:tplc="4DC4A66E" w:tentative="1">
      <w:start w:val="1"/>
      <w:numFmt w:val="bullet"/>
      <w:lvlText w:val="o"/>
      <w:lvlJc w:val="left"/>
      <w:pPr>
        <w:tabs>
          <w:tab w:val="num" w:pos="4677"/>
        </w:tabs>
        <w:ind w:left="4677" w:hanging="360"/>
      </w:pPr>
      <w:rPr>
        <w:rFonts w:ascii="Courier New" w:hAnsi="Courier New" w:cs="Courier New" w:hint="default"/>
      </w:rPr>
    </w:lvl>
    <w:lvl w:ilvl="5" w:tplc="71984BEE" w:tentative="1">
      <w:start w:val="1"/>
      <w:numFmt w:val="bullet"/>
      <w:lvlText w:val=""/>
      <w:lvlJc w:val="left"/>
      <w:pPr>
        <w:tabs>
          <w:tab w:val="num" w:pos="5397"/>
        </w:tabs>
        <w:ind w:left="5397" w:hanging="360"/>
      </w:pPr>
      <w:rPr>
        <w:rFonts w:ascii="Wingdings" w:hAnsi="Wingdings" w:hint="default"/>
      </w:rPr>
    </w:lvl>
    <w:lvl w:ilvl="6" w:tplc="6F021296" w:tentative="1">
      <w:start w:val="1"/>
      <w:numFmt w:val="bullet"/>
      <w:lvlText w:val=""/>
      <w:lvlJc w:val="left"/>
      <w:pPr>
        <w:tabs>
          <w:tab w:val="num" w:pos="6117"/>
        </w:tabs>
        <w:ind w:left="6117" w:hanging="360"/>
      </w:pPr>
      <w:rPr>
        <w:rFonts w:ascii="Symbol" w:hAnsi="Symbol" w:hint="default"/>
      </w:rPr>
    </w:lvl>
    <w:lvl w:ilvl="7" w:tplc="68981C94" w:tentative="1">
      <w:start w:val="1"/>
      <w:numFmt w:val="bullet"/>
      <w:lvlText w:val="o"/>
      <w:lvlJc w:val="left"/>
      <w:pPr>
        <w:tabs>
          <w:tab w:val="num" w:pos="6837"/>
        </w:tabs>
        <w:ind w:left="6837" w:hanging="360"/>
      </w:pPr>
      <w:rPr>
        <w:rFonts w:ascii="Courier New" w:hAnsi="Courier New" w:cs="Courier New" w:hint="default"/>
      </w:rPr>
    </w:lvl>
    <w:lvl w:ilvl="8" w:tplc="C898F76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903CF9D0">
      <w:start w:val="1"/>
      <w:numFmt w:val="decimal"/>
      <w:pStyle w:val="ATSNumber2"/>
      <w:lvlText w:val="%1."/>
      <w:lvlJc w:val="left"/>
      <w:pPr>
        <w:tabs>
          <w:tab w:val="num" w:pos="720"/>
        </w:tabs>
        <w:ind w:left="720" w:hanging="360"/>
      </w:pPr>
      <w:rPr>
        <w:rFonts w:hint="default"/>
      </w:rPr>
    </w:lvl>
    <w:lvl w:ilvl="1" w:tplc="5D421402" w:tentative="1">
      <w:start w:val="1"/>
      <w:numFmt w:val="lowerLetter"/>
      <w:lvlText w:val="%2."/>
      <w:lvlJc w:val="left"/>
      <w:pPr>
        <w:tabs>
          <w:tab w:val="num" w:pos="1440"/>
        </w:tabs>
        <w:ind w:left="1440" w:hanging="360"/>
      </w:pPr>
    </w:lvl>
    <w:lvl w:ilvl="2" w:tplc="D56E7C98" w:tentative="1">
      <w:start w:val="1"/>
      <w:numFmt w:val="lowerRoman"/>
      <w:lvlText w:val="%3."/>
      <w:lvlJc w:val="right"/>
      <w:pPr>
        <w:tabs>
          <w:tab w:val="num" w:pos="2160"/>
        </w:tabs>
        <w:ind w:left="2160" w:hanging="180"/>
      </w:pPr>
    </w:lvl>
    <w:lvl w:ilvl="3" w:tplc="5464FDB8" w:tentative="1">
      <w:start w:val="1"/>
      <w:numFmt w:val="decimal"/>
      <w:lvlText w:val="%4."/>
      <w:lvlJc w:val="left"/>
      <w:pPr>
        <w:tabs>
          <w:tab w:val="num" w:pos="2880"/>
        </w:tabs>
        <w:ind w:left="2880" w:hanging="360"/>
      </w:pPr>
    </w:lvl>
    <w:lvl w:ilvl="4" w:tplc="154E9482" w:tentative="1">
      <w:start w:val="1"/>
      <w:numFmt w:val="lowerLetter"/>
      <w:lvlText w:val="%5."/>
      <w:lvlJc w:val="left"/>
      <w:pPr>
        <w:tabs>
          <w:tab w:val="num" w:pos="3600"/>
        </w:tabs>
        <w:ind w:left="3600" w:hanging="360"/>
      </w:pPr>
    </w:lvl>
    <w:lvl w:ilvl="5" w:tplc="D424E370" w:tentative="1">
      <w:start w:val="1"/>
      <w:numFmt w:val="lowerRoman"/>
      <w:lvlText w:val="%6."/>
      <w:lvlJc w:val="right"/>
      <w:pPr>
        <w:tabs>
          <w:tab w:val="num" w:pos="4320"/>
        </w:tabs>
        <w:ind w:left="4320" w:hanging="180"/>
      </w:pPr>
    </w:lvl>
    <w:lvl w:ilvl="6" w:tplc="C4466072" w:tentative="1">
      <w:start w:val="1"/>
      <w:numFmt w:val="decimal"/>
      <w:lvlText w:val="%7."/>
      <w:lvlJc w:val="left"/>
      <w:pPr>
        <w:tabs>
          <w:tab w:val="num" w:pos="5040"/>
        </w:tabs>
        <w:ind w:left="5040" w:hanging="360"/>
      </w:pPr>
    </w:lvl>
    <w:lvl w:ilvl="7" w:tplc="720003A8" w:tentative="1">
      <w:start w:val="1"/>
      <w:numFmt w:val="lowerLetter"/>
      <w:lvlText w:val="%8."/>
      <w:lvlJc w:val="left"/>
      <w:pPr>
        <w:tabs>
          <w:tab w:val="num" w:pos="5760"/>
        </w:tabs>
        <w:ind w:left="5760" w:hanging="360"/>
      </w:pPr>
    </w:lvl>
    <w:lvl w:ilvl="8" w:tplc="A5BE150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FF"/>
    <w:rsid w:val="00577DC9"/>
    <w:rsid w:val="0077266D"/>
    <w:rsid w:val="00A17BFF"/>
    <w:rsid w:val="00A20C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584D0"/>
  <w15:chartTrackingRefBased/>
  <w15:docId w15:val="{7A17861C-6CC9-447C-9A1D-CBCF2BA5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1">
    <w:name w:val="p1"/>
    <w:basedOn w:val="Normal"/>
    <w:rsid w:val="0077266D"/>
    <w:pPr>
      <w:ind w:left="540" w:hanging="540"/>
    </w:pPr>
    <w:rPr>
      <w:rFonts w:ascii="Helvetica" w:hAnsi="Helvetica"/>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ts.aq/e/link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704</Words>
  <Characters>4071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2021-04-30T18:45:00Z</dcterms:modified>
</cp:coreProperties>
</file>