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D92D" w14:textId="77777777" w:rsidR="00C26F2D" w:rsidRPr="00BF077B" w:rsidRDefault="00B11097" w:rsidP="00BF077B">
      <w:pPr>
        <w:pStyle w:val="ATSNormal"/>
        <w:rPr>
          <w:rStyle w:val="Ttulodellibro"/>
        </w:rPr>
      </w:pPr>
    </w:p>
    <w:p w14:paraId="4328446D" w14:textId="77777777" w:rsidR="002F0A13" w:rsidRDefault="00B11097" w:rsidP="004B4A60">
      <w:pPr>
        <w:rPr>
          <w:b/>
          <w:u w:val="single"/>
          <w:lang w:val="es-ES_tradnl"/>
        </w:rPr>
      </w:pPr>
    </w:p>
    <w:p w14:paraId="7AD5E276" w14:textId="77777777" w:rsidR="002F0A13" w:rsidRDefault="00B11097" w:rsidP="004B4A60">
      <w:pPr>
        <w:rPr>
          <w:b/>
          <w:u w:val="single"/>
          <w:lang w:val="es-ES_tradnl"/>
        </w:rPr>
      </w:pPr>
    </w:p>
    <w:p w14:paraId="7A5DB30A" w14:textId="77777777" w:rsidR="002F0A13" w:rsidRDefault="00B11097" w:rsidP="004B4A60">
      <w:pPr>
        <w:rPr>
          <w:b/>
          <w:u w:val="single"/>
          <w:lang w:val="es-ES_tradnl"/>
        </w:rPr>
      </w:pPr>
    </w:p>
    <w:p w14:paraId="77AA6F4E" w14:textId="77777777" w:rsidR="002F0A13" w:rsidRDefault="00B11097" w:rsidP="004B4A60">
      <w:pPr>
        <w:rPr>
          <w:b/>
          <w:u w:val="single"/>
          <w:lang w:val="es-ES_tradnl"/>
        </w:rPr>
      </w:pPr>
    </w:p>
    <w:p w14:paraId="607CFA18" w14:textId="77777777" w:rsidR="00C26F2D" w:rsidRDefault="00B11097" w:rsidP="004B4A60">
      <w:pPr>
        <w:rPr>
          <w:b/>
          <w:u w:val="single"/>
          <w:lang w:val="es-ES_tradnl"/>
        </w:rPr>
      </w:pPr>
    </w:p>
    <w:p w14:paraId="3593672D" w14:textId="77777777" w:rsidR="004B4A60" w:rsidRPr="0057246E" w:rsidRDefault="00873BA8" w:rsidP="001B789F">
      <w:pPr>
        <w:pStyle w:val="ATSTitle"/>
      </w:pPr>
      <w:bookmarkStart w:id="0" w:name="name"/>
      <w:r>
        <w:t>Revised Management Plan and maps for Antarctic Specially Managed Area No. 7 Southwest Anvers Island and Palmer Basin</w:t>
      </w:r>
      <w:bookmarkEnd w:id="0"/>
    </w:p>
    <w:p w14:paraId="72E9F7DF" w14:textId="77777777" w:rsidR="004B4A60" w:rsidRPr="0057246E" w:rsidRDefault="00B11097" w:rsidP="00F75424">
      <w:pPr>
        <w:jc w:val="center"/>
      </w:pPr>
    </w:p>
    <w:p w14:paraId="14D70DA4" w14:textId="77777777" w:rsidR="004B4A60" w:rsidRPr="002F0A13" w:rsidRDefault="00B11097" w:rsidP="002F0A13"/>
    <w:p w14:paraId="19330826" w14:textId="77777777" w:rsidR="004B4A60" w:rsidRDefault="00B11097" w:rsidP="00F75424">
      <w:pPr>
        <w:jc w:val="center"/>
      </w:pPr>
      <w:bookmarkStart w:id="1" w:name="memo"/>
      <w:bookmarkEnd w:id="1"/>
    </w:p>
    <w:p w14:paraId="55CC5CCA" w14:textId="77777777" w:rsidR="0097629D" w:rsidRDefault="00B11097" w:rsidP="00F75424">
      <w:pPr>
        <w:jc w:val="center"/>
      </w:pPr>
    </w:p>
    <w:p w14:paraId="1C109A0F" w14:textId="77777777" w:rsidR="0097629D" w:rsidRDefault="00B11097" w:rsidP="00F75424">
      <w:pPr>
        <w:jc w:val="center"/>
      </w:pPr>
    </w:p>
    <w:p w14:paraId="43F301C6" w14:textId="77777777" w:rsidR="0097629D" w:rsidRDefault="00B11097" w:rsidP="00F75424">
      <w:pPr>
        <w:jc w:val="center"/>
      </w:pPr>
    </w:p>
    <w:p w14:paraId="5C97D7FA" w14:textId="77777777" w:rsidR="0097629D" w:rsidRPr="00C26F2D" w:rsidRDefault="00B11097" w:rsidP="00F75424">
      <w:pPr>
        <w:jc w:val="center"/>
      </w:pPr>
    </w:p>
    <w:p w14:paraId="484583DC" w14:textId="77777777" w:rsidR="004B4A60" w:rsidRPr="0057246E" w:rsidRDefault="00B11097" w:rsidP="004B4A60"/>
    <w:p w14:paraId="2DE07A4C" w14:textId="77777777" w:rsidR="00C26F2D" w:rsidRDefault="00B11097" w:rsidP="00952E9F">
      <w:pPr>
        <w:sectPr w:rsidR="00C26F2D" w:rsidSect="00BC6B74">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17C07441" w14:textId="2C1E8807" w:rsidR="004B4A60" w:rsidRDefault="00B11097" w:rsidP="00952E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35"/>
        <w:gridCol w:w="3560"/>
      </w:tblGrid>
      <w:tr w:rsidR="003A0E93" w:rsidRPr="00323C65" w14:paraId="5FFE54F5" w14:textId="77777777" w:rsidTr="00B31C7F">
        <w:trPr>
          <w:cantSplit/>
          <w:trHeight w:val="434"/>
        </w:trPr>
        <w:tc>
          <w:tcPr>
            <w:tcW w:w="9855" w:type="dxa"/>
            <w:gridSpan w:val="2"/>
          </w:tcPr>
          <w:p w14:paraId="5A9D4F76" w14:textId="77777777" w:rsidR="003A0E93" w:rsidRPr="009233F3" w:rsidRDefault="003A0E93" w:rsidP="00B31C7F">
            <w:pPr>
              <w:pStyle w:val="ATSTitle"/>
              <w:rPr>
                <w:rFonts w:ascii="Times New Roman" w:hAnsi="Times New Roman"/>
                <w:sz w:val="20"/>
                <w:szCs w:val="20"/>
              </w:rPr>
            </w:pPr>
            <w:r>
              <w:br w:type="page"/>
            </w:r>
            <w:r>
              <w:rPr>
                <w:rFonts w:ascii="Times New Roman" w:hAnsi="Times New Roman"/>
                <w:snapToGrid w:val="0"/>
                <w:sz w:val="20"/>
                <w:szCs w:val="20"/>
              </w:rPr>
              <w:t xml:space="preserve">ASMA No. 7 </w:t>
            </w:r>
            <w:r>
              <w:rPr>
                <w:rFonts w:ascii="Times New Roman" w:hAnsi="Times New Roman"/>
                <w:sz w:val="20"/>
                <w:szCs w:val="20"/>
              </w:rPr>
              <w:t>Southwest Anvers Island and Palmer Basin</w:t>
            </w:r>
          </w:p>
        </w:tc>
      </w:tr>
      <w:tr w:rsidR="003A0E93" w:rsidRPr="00323C65" w14:paraId="5E6E6277" w14:textId="77777777" w:rsidTr="00B31C7F">
        <w:tc>
          <w:tcPr>
            <w:tcW w:w="5875" w:type="dxa"/>
          </w:tcPr>
          <w:p w14:paraId="3B0E14D8" w14:textId="77777777" w:rsidR="003A0E93" w:rsidRPr="00323C65" w:rsidRDefault="003A0E93" w:rsidP="00B31C7F">
            <w:pPr>
              <w:pStyle w:val="ATSNormal"/>
              <w:rPr>
                <w:b/>
                <w:snapToGrid w:val="0"/>
                <w:sz w:val="20"/>
                <w:szCs w:val="20"/>
              </w:rPr>
            </w:pPr>
            <w:r w:rsidRPr="00323C65">
              <w:rPr>
                <w:b/>
                <w:snapToGrid w:val="0"/>
                <w:sz w:val="20"/>
                <w:szCs w:val="20"/>
              </w:rPr>
              <w:t>1. Is a new ASPA proposed?</w:t>
            </w:r>
          </w:p>
        </w:tc>
        <w:tc>
          <w:tcPr>
            <w:tcW w:w="3980" w:type="dxa"/>
          </w:tcPr>
          <w:p w14:paraId="26427424" w14:textId="77777777" w:rsidR="003A0E93" w:rsidRPr="007F6781" w:rsidRDefault="003A0E93" w:rsidP="00B31C7F">
            <w:pPr>
              <w:pStyle w:val="ATSNormal"/>
              <w:rPr>
                <w:snapToGrid w:val="0"/>
                <w:sz w:val="20"/>
                <w:szCs w:val="20"/>
              </w:rPr>
            </w:pPr>
            <w:r w:rsidRPr="007F6781">
              <w:rPr>
                <w:snapToGrid w:val="0"/>
                <w:sz w:val="20"/>
                <w:szCs w:val="20"/>
              </w:rPr>
              <w:t>No</w:t>
            </w:r>
          </w:p>
        </w:tc>
      </w:tr>
      <w:tr w:rsidR="003A0E93" w:rsidRPr="00323C65" w14:paraId="6383E0F9" w14:textId="77777777" w:rsidTr="00B31C7F">
        <w:tc>
          <w:tcPr>
            <w:tcW w:w="5875" w:type="dxa"/>
          </w:tcPr>
          <w:p w14:paraId="4BC463D2" w14:textId="77777777" w:rsidR="003A0E93" w:rsidRPr="00323C65" w:rsidRDefault="003A0E93" w:rsidP="00B31C7F">
            <w:pPr>
              <w:pStyle w:val="ATSNormal"/>
              <w:rPr>
                <w:b/>
                <w:snapToGrid w:val="0"/>
                <w:sz w:val="20"/>
                <w:szCs w:val="20"/>
              </w:rPr>
            </w:pPr>
            <w:r w:rsidRPr="00323C65">
              <w:rPr>
                <w:b/>
                <w:snapToGrid w:val="0"/>
                <w:sz w:val="20"/>
                <w:szCs w:val="20"/>
              </w:rPr>
              <w:t>2. Is a new ASMA proposed?</w:t>
            </w:r>
          </w:p>
        </w:tc>
        <w:tc>
          <w:tcPr>
            <w:tcW w:w="3980" w:type="dxa"/>
          </w:tcPr>
          <w:p w14:paraId="48363B0B" w14:textId="77777777" w:rsidR="003A0E93" w:rsidRPr="007F6781" w:rsidRDefault="003A0E93" w:rsidP="00B31C7F">
            <w:pPr>
              <w:pStyle w:val="ATSNormal"/>
              <w:rPr>
                <w:snapToGrid w:val="0"/>
                <w:sz w:val="20"/>
                <w:szCs w:val="20"/>
              </w:rPr>
            </w:pPr>
            <w:r w:rsidRPr="007F6781">
              <w:rPr>
                <w:snapToGrid w:val="0"/>
                <w:sz w:val="20"/>
                <w:szCs w:val="20"/>
              </w:rPr>
              <w:t>No</w:t>
            </w:r>
          </w:p>
        </w:tc>
      </w:tr>
      <w:tr w:rsidR="003A0E93" w:rsidRPr="00323C65" w14:paraId="5A942044" w14:textId="77777777" w:rsidTr="00B31C7F">
        <w:tc>
          <w:tcPr>
            <w:tcW w:w="5875" w:type="dxa"/>
          </w:tcPr>
          <w:p w14:paraId="555A9157" w14:textId="77777777" w:rsidR="003A0E93" w:rsidRPr="00323C65" w:rsidRDefault="003A0E93" w:rsidP="00B31C7F">
            <w:pPr>
              <w:pStyle w:val="ATSNormal"/>
              <w:rPr>
                <w:b/>
                <w:snapToGrid w:val="0"/>
                <w:sz w:val="20"/>
                <w:szCs w:val="20"/>
              </w:rPr>
            </w:pPr>
            <w:r w:rsidRPr="00323C65">
              <w:rPr>
                <w:b/>
                <w:snapToGrid w:val="0"/>
                <w:sz w:val="20"/>
                <w:szCs w:val="20"/>
              </w:rPr>
              <w:t>3. Does the proposal relate to an existing ASPA or ASMA?</w:t>
            </w:r>
          </w:p>
        </w:tc>
        <w:tc>
          <w:tcPr>
            <w:tcW w:w="3980" w:type="dxa"/>
          </w:tcPr>
          <w:p w14:paraId="0E868B21" w14:textId="77777777" w:rsidR="003A0E93" w:rsidRPr="007F6781" w:rsidRDefault="003A0E93" w:rsidP="00B31C7F">
            <w:pPr>
              <w:pStyle w:val="ATSNormal"/>
              <w:rPr>
                <w:snapToGrid w:val="0"/>
                <w:sz w:val="20"/>
                <w:szCs w:val="20"/>
              </w:rPr>
            </w:pPr>
            <w:r w:rsidRPr="007F6781">
              <w:rPr>
                <w:snapToGrid w:val="0"/>
                <w:sz w:val="20"/>
                <w:szCs w:val="20"/>
              </w:rPr>
              <w:t>Yes</w:t>
            </w:r>
          </w:p>
        </w:tc>
      </w:tr>
      <w:tr w:rsidR="003A0E93" w:rsidRPr="00323C65" w14:paraId="40F25EA5" w14:textId="77777777" w:rsidTr="00B31C7F">
        <w:tc>
          <w:tcPr>
            <w:tcW w:w="5875" w:type="dxa"/>
          </w:tcPr>
          <w:p w14:paraId="7FA6C224" w14:textId="77777777" w:rsidR="003A0E93" w:rsidRPr="00323C65" w:rsidRDefault="003A0E93" w:rsidP="00B31C7F">
            <w:pPr>
              <w:pStyle w:val="ATSNormal"/>
              <w:jc w:val="center"/>
              <w:rPr>
                <w:i/>
                <w:sz w:val="20"/>
                <w:szCs w:val="20"/>
              </w:rPr>
            </w:pPr>
            <w:r w:rsidRPr="00323C65">
              <w:rPr>
                <w:i/>
                <w:sz w:val="20"/>
                <w:szCs w:val="20"/>
              </w:rPr>
              <w:t>First designation:</w:t>
            </w:r>
          </w:p>
        </w:tc>
        <w:tc>
          <w:tcPr>
            <w:tcW w:w="3980" w:type="dxa"/>
          </w:tcPr>
          <w:p w14:paraId="3B72DF6E" w14:textId="77777777" w:rsidR="003A0E93" w:rsidRPr="007F6781" w:rsidRDefault="003A0E93" w:rsidP="00B31C7F">
            <w:pPr>
              <w:pStyle w:val="ATSNormal"/>
              <w:rPr>
                <w:snapToGrid w:val="0"/>
                <w:sz w:val="20"/>
                <w:szCs w:val="20"/>
                <w:lang w:val="en-US" w:eastAsia="en-US"/>
              </w:rPr>
            </w:pPr>
            <w:r>
              <w:rPr>
                <w:snapToGrid w:val="0"/>
                <w:sz w:val="20"/>
                <w:szCs w:val="20"/>
                <w:lang w:val="en-US" w:eastAsia="en-US"/>
              </w:rPr>
              <w:t>Measure 1</w:t>
            </w:r>
            <w:r w:rsidRPr="007F6781">
              <w:rPr>
                <w:snapToGrid w:val="0"/>
                <w:sz w:val="20"/>
                <w:szCs w:val="20"/>
                <w:lang w:val="en-US" w:eastAsia="en-US"/>
              </w:rPr>
              <w:t xml:space="preserve"> (200</w:t>
            </w:r>
            <w:r>
              <w:rPr>
                <w:snapToGrid w:val="0"/>
                <w:sz w:val="20"/>
                <w:szCs w:val="20"/>
                <w:lang w:val="en-US" w:eastAsia="en-US"/>
              </w:rPr>
              <w:t>8</w:t>
            </w:r>
            <w:r w:rsidRPr="007F6781">
              <w:rPr>
                <w:snapToGrid w:val="0"/>
                <w:sz w:val="20"/>
                <w:szCs w:val="20"/>
                <w:lang w:val="en-US" w:eastAsia="en-US"/>
              </w:rPr>
              <w:t xml:space="preserve">) ASMA No. </w:t>
            </w:r>
            <w:r>
              <w:rPr>
                <w:snapToGrid w:val="0"/>
                <w:sz w:val="20"/>
                <w:szCs w:val="20"/>
                <w:lang w:val="en-US" w:eastAsia="en-US"/>
              </w:rPr>
              <w:t xml:space="preserve">7 </w:t>
            </w:r>
          </w:p>
        </w:tc>
      </w:tr>
      <w:tr w:rsidR="003A0E93" w:rsidRPr="00323C65" w14:paraId="3E808F6C" w14:textId="77777777" w:rsidTr="00B31C7F">
        <w:tc>
          <w:tcPr>
            <w:tcW w:w="5875" w:type="dxa"/>
          </w:tcPr>
          <w:p w14:paraId="2D25B80F" w14:textId="77777777" w:rsidR="003A0E93" w:rsidRPr="00323C65" w:rsidRDefault="003A0E93" w:rsidP="00B31C7F">
            <w:pPr>
              <w:pStyle w:val="ATSNormal"/>
              <w:jc w:val="center"/>
              <w:rPr>
                <w:i/>
                <w:sz w:val="20"/>
                <w:szCs w:val="20"/>
              </w:rPr>
            </w:pPr>
            <w:r w:rsidRPr="00323C65">
              <w:rPr>
                <w:i/>
                <w:sz w:val="20"/>
                <w:szCs w:val="20"/>
              </w:rPr>
              <w:t>First adoption of management plan:</w:t>
            </w:r>
          </w:p>
        </w:tc>
        <w:tc>
          <w:tcPr>
            <w:tcW w:w="3980" w:type="dxa"/>
          </w:tcPr>
          <w:p w14:paraId="1B12E24E" w14:textId="77777777" w:rsidR="003A0E93" w:rsidRPr="007F6781" w:rsidRDefault="003A0E93" w:rsidP="00B31C7F">
            <w:pPr>
              <w:pStyle w:val="ATSNormal"/>
              <w:rPr>
                <w:snapToGrid w:val="0"/>
                <w:sz w:val="20"/>
                <w:szCs w:val="20"/>
                <w:lang w:val="en-US" w:eastAsia="en-US"/>
              </w:rPr>
            </w:pPr>
            <w:r w:rsidRPr="007F6781">
              <w:rPr>
                <w:snapToGrid w:val="0"/>
                <w:sz w:val="20"/>
                <w:szCs w:val="20"/>
                <w:lang w:val="en-US" w:eastAsia="en-US"/>
              </w:rPr>
              <w:t xml:space="preserve">Measure </w:t>
            </w:r>
            <w:r>
              <w:rPr>
                <w:snapToGrid w:val="0"/>
                <w:sz w:val="20"/>
                <w:szCs w:val="20"/>
                <w:lang w:val="en-US" w:eastAsia="en-US"/>
              </w:rPr>
              <w:t>1</w:t>
            </w:r>
            <w:r w:rsidRPr="007F6781">
              <w:rPr>
                <w:snapToGrid w:val="0"/>
                <w:sz w:val="20"/>
                <w:szCs w:val="20"/>
                <w:lang w:val="en-US" w:eastAsia="en-US"/>
              </w:rPr>
              <w:t xml:space="preserve"> (200</w:t>
            </w:r>
            <w:r>
              <w:rPr>
                <w:snapToGrid w:val="0"/>
                <w:sz w:val="20"/>
                <w:szCs w:val="20"/>
                <w:lang w:val="en-US" w:eastAsia="en-US"/>
              </w:rPr>
              <w:t>8</w:t>
            </w:r>
            <w:r w:rsidRPr="007F6781">
              <w:rPr>
                <w:snapToGrid w:val="0"/>
                <w:sz w:val="20"/>
                <w:szCs w:val="20"/>
                <w:lang w:val="en-US" w:eastAsia="en-US"/>
              </w:rPr>
              <w:t xml:space="preserve">) ASMA No. </w:t>
            </w:r>
            <w:r>
              <w:rPr>
                <w:snapToGrid w:val="0"/>
                <w:sz w:val="20"/>
                <w:szCs w:val="20"/>
                <w:lang w:val="en-US" w:eastAsia="en-US"/>
              </w:rPr>
              <w:t>7</w:t>
            </w:r>
          </w:p>
        </w:tc>
      </w:tr>
      <w:tr w:rsidR="003A0E93" w:rsidRPr="00323C65" w14:paraId="6A77D04F" w14:textId="77777777" w:rsidTr="00B31C7F">
        <w:tc>
          <w:tcPr>
            <w:tcW w:w="5875" w:type="dxa"/>
          </w:tcPr>
          <w:p w14:paraId="650AE7D7" w14:textId="77777777" w:rsidR="003A0E93" w:rsidRPr="00323C65" w:rsidRDefault="003A0E93" w:rsidP="00B31C7F">
            <w:pPr>
              <w:pStyle w:val="ATSNormal"/>
              <w:jc w:val="center"/>
              <w:rPr>
                <w:i/>
                <w:sz w:val="20"/>
                <w:szCs w:val="20"/>
              </w:rPr>
            </w:pPr>
            <w:r w:rsidRPr="00323C65">
              <w:rPr>
                <w:i/>
                <w:sz w:val="20"/>
                <w:szCs w:val="20"/>
              </w:rPr>
              <w:t>Any revisions to management plan:</w:t>
            </w:r>
          </w:p>
        </w:tc>
        <w:tc>
          <w:tcPr>
            <w:tcW w:w="3980" w:type="dxa"/>
          </w:tcPr>
          <w:p w14:paraId="6E6D197D" w14:textId="77777777" w:rsidR="003A0E93" w:rsidRPr="007F6781" w:rsidRDefault="003A0E93" w:rsidP="00B31C7F">
            <w:pPr>
              <w:pStyle w:val="ATSNormal"/>
              <w:rPr>
                <w:sz w:val="20"/>
                <w:szCs w:val="20"/>
              </w:rPr>
            </w:pPr>
            <w:r w:rsidRPr="00E133B3">
              <w:rPr>
                <w:color w:val="000000" w:themeColor="text1"/>
                <w:sz w:val="20"/>
                <w:szCs w:val="20"/>
              </w:rPr>
              <w:t xml:space="preserve">Measure 2 (2009), </w:t>
            </w:r>
            <w:r w:rsidRPr="007F6781">
              <w:rPr>
                <w:sz w:val="20"/>
                <w:szCs w:val="20"/>
              </w:rPr>
              <w:t xml:space="preserve">Measure </w:t>
            </w:r>
            <w:r>
              <w:rPr>
                <w:sz w:val="20"/>
                <w:szCs w:val="20"/>
              </w:rPr>
              <w:t>14</w:t>
            </w:r>
            <w:r w:rsidRPr="007F6781">
              <w:rPr>
                <w:sz w:val="20"/>
                <w:szCs w:val="20"/>
              </w:rPr>
              <w:t xml:space="preserve"> (20</w:t>
            </w:r>
            <w:r>
              <w:rPr>
                <w:sz w:val="20"/>
                <w:szCs w:val="20"/>
              </w:rPr>
              <w:t>10</w:t>
            </w:r>
            <w:r w:rsidRPr="007F6781">
              <w:rPr>
                <w:sz w:val="20"/>
                <w:szCs w:val="20"/>
              </w:rPr>
              <w:t>)</w:t>
            </w:r>
            <w:r>
              <w:rPr>
                <w:sz w:val="20"/>
                <w:szCs w:val="20"/>
              </w:rPr>
              <w:t xml:space="preserve">, </w:t>
            </w:r>
            <w:r w:rsidRPr="007F6781">
              <w:rPr>
                <w:sz w:val="20"/>
                <w:szCs w:val="20"/>
              </w:rPr>
              <w:t xml:space="preserve">Measure </w:t>
            </w:r>
            <w:r>
              <w:rPr>
                <w:sz w:val="20"/>
                <w:szCs w:val="20"/>
              </w:rPr>
              <w:t>14</w:t>
            </w:r>
            <w:r w:rsidRPr="007F6781">
              <w:rPr>
                <w:sz w:val="20"/>
                <w:szCs w:val="20"/>
              </w:rPr>
              <w:t xml:space="preserve"> (20</w:t>
            </w:r>
            <w:r>
              <w:rPr>
                <w:sz w:val="20"/>
                <w:szCs w:val="20"/>
              </w:rPr>
              <w:t>10</w:t>
            </w:r>
            <w:r w:rsidRPr="007F6781">
              <w:rPr>
                <w:sz w:val="20"/>
                <w:szCs w:val="20"/>
              </w:rPr>
              <w:t>)</w:t>
            </w:r>
          </w:p>
        </w:tc>
      </w:tr>
      <w:tr w:rsidR="003A0E93" w:rsidRPr="00323C65" w14:paraId="33FB1FBF" w14:textId="77777777" w:rsidTr="00B31C7F">
        <w:tc>
          <w:tcPr>
            <w:tcW w:w="5875" w:type="dxa"/>
          </w:tcPr>
          <w:p w14:paraId="117F694D" w14:textId="77777777" w:rsidR="003A0E93" w:rsidRPr="00323C65" w:rsidRDefault="003A0E93" w:rsidP="00B31C7F">
            <w:pPr>
              <w:pStyle w:val="ATSNormal"/>
              <w:jc w:val="center"/>
              <w:rPr>
                <w:i/>
                <w:sz w:val="20"/>
                <w:szCs w:val="20"/>
              </w:rPr>
            </w:pPr>
            <w:r w:rsidRPr="00323C65">
              <w:rPr>
                <w:i/>
                <w:sz w:val="20"/>
                <w:szCs w:val="20"/>
              </w:rPr>
              <w:t>Current management plan:</w:t>
            </w:r>
          </w:p>
        </w:tc>
        <w:tc>
          <w:tcPr>
            <w:tcW w:w="3980" w:type="dxa"/>
          </w:tcPr>
          <w:p w14:paraId="5FF77973" w14:textId="77777777" w:rsidR="003A0E93" w:rsidRPr="007F6781" w:rsidRDefault="003A0E93" w:rsidP="00B31C7F">
            <w:pPr>
              <w:pStyle w:val="ATSNormal"/>
              <w:rPr>
                <w:snapToGrid w:val="0"/>
                <w:sz w:val="20"/>
                <w:szCs w:val="20"/>
              </w:rPr>
            </w:pPr>
            <w:r w:rsidRPr="007F6781">
              <w:rPr>
                <w:sz w:val="20"/>
                <w:szCs w:val="20"/>
              </w:rPr>
              <w:t xml:space="preserve">Measure </w:t>
            </w:r>
            <w:r>
              <w:rPr>
                <w:sz w:val="20"/>
                <w:szCs w:val="20"/>
              </w:rPr>
              <w:t>11</w:t>
            </w:r>
            <w:r w:rsidRPr="007F6781">
              <w:rPr>
                <w:sz w:val="20"/>
                <w:szCs w:val="20"/>
              </w:rPr>
              <w:t xml:space="preserve"> (20</w:t>
            </w:r>
            <w:r>
              <w:rPr>
                <w:sz w:val="20"/>
                <w:szCs w:val="20"/>
              </w:rPr>
              <w:t>19</w:t>
            </w:r>
            <w:r w:rsidRPr="007F6781">
              <w:rPr>
                <w:sz w:val="20"/>
                <w:szCs w:val="20"/>
              </w:rPr>
              <w:t>)</w:t>
            </w:r>
          </w:p>
        </w:tc>
      </w:tr>
      <w:tr w:rsidR="003A0E93" w:rsidRPr="00323C65" w14:paraId="44AA39DE" w14:textId="77777777" w:rsidTr="00B31C7F">
        <w:tc>
          <w:tcPr>
            <w:tcW w:w="5875" w:type="dxa"/>
          </w:tcPr>
          <w:p w14:paraId="43FDBC9A" w14:textId="77777777" w:rsidR="003A0E93" w:rsidRPr="00323C65" w:rsidRDefault="003A0E93" w:rsidP="00B31C7F">
            <w:pPr>
              <w:pStyle w:val="ATSNormal"/>
              <w:jc w:val="center"/>
              <w:rPr>
                <w:i/>
                <w:sz w:val="20"/>
                <w:szCs w:val="20"/>
              </w:rPr>
            </w:pPr>
            <w:r w:rsidRPr="00323C65">
              <w:rPr>
                <w:i/>
                <w:sz w:val="20"/>
                <w:szCs w:val="20"/>
              </w:rPr>
              <w:t>Any extensions of expiry dates of management plan:</w:t>
            </w:r>
          </w:p>
        </w:tc>
        <w:tc>
          <w:tcPr>
            <w:tcW w:w="3980" w:type="dxa"/>
          </w:tcPr>
          <w:p w14:paraId="78392E18" w14:textId="77777777" w:rsidR="003A0E93" w:rsidRPr="007F6781" w:rsidRDefault="003A0E93" w:rsidP="00B31C7F">
            <w:pPr>
              <w:pStyle w:val="ATSNormal"/>
              <w:rPr>
                <w:snapToGrid w:val="0"/>
                <w:sz w:val="20"/>
                <w:szCs w:val="20"/>
                <w:highlight w:val="yellow"/>
                <w:lang w:val="en-US" w:eastAsia="en-US"/>
              </w:rPr>
            </w:pPr>
            <w:r w:rsidRPr="007F6781">
              <w:rPr>
                <w:snapToGrid w:val="0"/>
                <w:sz w:val="20"/>
                <w:szCs w:val="20"/>
                <w:lang w:val="en-US" w:eastAsia="en-US"/>
              </w:rPr>
              <w:t>N/A</w:t>
            </w:r>
          </w:p>
        </w:tc>
      </w:tr>
      <w:tr w:rsidR="003A0E93" w:rsidRPr="00323C65" w14:paraId="1575F104" w14:textId="77777777" w:rsidTr="00B31C7F">
        <w:tc>
          <w:tcPr>
            <w:tcW w:w="5875" w:type="dxa"/>
          </w:tcPr>
          <w:p w14:paraId="517AC9E5" w14:textId="77777777" w:rsidR="003A0E93" w:rsidRPr="00323C65" w:rsidRDefault="003A0E93" w:rsidP="00B31C7F">
            <w:pPr>
              <w:pStyle w:val="ATSNormal"/>
              <w:jc w:val="center"/>
              <w:rPr>
                <w:i/>
                <w:sz w:val="20"/>
                <w:szCs w:val="20"/>
              </w:rPr>
            </w:pPr>
            <w:r w:rsidRPr="00323C65">
              <w:rPr>
                <w:i/>
                <w:sz w:val="20"/>
                <w:szCs w:val="20"/>
              </w:rPr>
              <w:t>Renamed and renumbered by Decision 1 (2002) as:</w:t>
            </w:r>
          </w:p>
        </w:tc>
        <w:tc>
          <w:tcPr>
            <w:tcW w:w="3980" w:type="dxa"/>
          </w:tcPr>
          <w:p w14:paraId="6EA044A2" w14:textId="77777777" w:rsidR="003A0E93" w:rsidRPr="007F6781" w:rsidRDefault="003A0E93" w:rsidP="00B31C7F">
            <w:pPr>
              <w:pStyle w:val="ATSNormal"/>
              <w:rPr>
                <w:snapToGrid w:val="0"/>
                <w:sz w:val="20"/>
                <w:szCs w:val="20"/>
                <w:highlight w:val="yellow"/>
                <w:lang w:val="en-US" w:eastAsia="en-US"/>
              </w:rPr>
            </w:pPr>
            <w:r w:rsidRPr="007F6781">
              <w:rPr>
                <w:snapToGrid w:val="0"/>
                <w:sz w:val="20"/>
                <w:szCs w:val="20"/>
                <w:lang w:val="en-US" w:eastAsia="en-US"/>
              </w:rPr>
              <w:t>N/A</w:t>
            </w:r>
          </w:p>
        </w:tc>
      </w:tr>
      <w:tr w:rsidR="003A0E93" w:rsidRPr="00323C65" w14:paraId="367C8198" w14:textId="77777777" w:rsidTr="00B31C7F">
        <w:tc>
          <w:tcPr>
            <w:tcW w:w="5875" w:type="dxa"/>
          </w:tcPr>
          <w:p w14:paraId="68ABEB29" w14:textId="77777777" w:rsidR="003A0E93" w:rsidRPr="00323C65" w:rsidRDefault="003A0E93" w:rsidP="00B31C7F">
            <w:pPr>
              <w:pStyle w:val="ATSNormal"/>
              <w:jc w:val="center"/>
              <w:rPr>
                <w:i/>
                <w:sz w:val="20"/>
                <w:szCs w:val="20"/>
              </w:rPr>
            </w:pPr>
            <w:r w:rsidRPr="00323C65">
              <w:rPr>
                <w:i/>
                <w:sz w:val="20"/>
                <w:szCs w:val="20"/>
              </w:rPr>
              <w:t>Other relevant measures:</w:t>
            </w:r>
          </w:p>
        </w:tc>
        <w:tc>
          <w:tcPr>
            <w:tcW w:w="3980" w:type="dxa"/>
          </w:tcPr>
          <w:p w14:paraId="26697364" w14:textId="77777777" w:rsidR="003A0E93" w:rsidRPr="007F6781" w:rsidRDefault="003A0E93" w:rsidP="00B31C7F">
            <w:pPr>
              <w:pStyle w:val="ATSNormal"/>
              <w:rPr>
                <w:snapToGrid w:val="0"/>
                <w:sz w:val="20"/>
                <w:szCs w:val="20"/>
                <w:highlight w:val="yellow"/>
                <w:lang w:val="en-US" w:eastAsia="en-US"/>
              </w:rPr>
            </w:pPr>
            <w:r>
              <w:rPr>
                <w:sz w:val="20"/>
                <w:szCs w:val="20"/>
                <w:lang w:val="en-US" w:eastAsia="en-US"/>
              </w:rPr>
              <w:t>Measure 19 (2021)</w:t>
            </w:r>
          </w:p>
        </w:tc>
      </w:tr>
      <w:tr w:rsidR="003A0E93" w:rsidRPr="00323C65" w14:paraId="32917ADF" w14:textId="77777777" w:rsidTr="00B31C7F">
        <w:trPr>
          <w:cantSplit/>
        </w:trPr>
        <w:tc>
          <w:tcPr>
            <w:tcW w:w="9855" w:type="dxa"/>
            <w:gridSpan w:val="2"/>
          </w:tcPr>
          <w:p w14:paraId="61847BE2" w14:textId="77777777" w:rsidR="003A0E93" w:rsidRPr="00323C65" w:rsidRDefault="003A0E93" w:rsidP="00B31C7F">
            <w:pPr>
              <w:pStyle w:val="ATSNormal"/>
              <w:rPr>
                <w:b/>
                <w:snapToGrid w:val="0"/>
                <w:sz w:val="20"/>
                <w:szCs w:val="20"/>
              </w:rPr>
            </w:pPr>
            <w:r w:rsidRPr="00323C65">
              <w:rPr>
                <w:b/>
                <w:snapToGrid w:val="0"/>
                <w:sz w:val="20"/>
                <w:szCs w:val="20"/>
              </w:rPr>
              <w:t>4. If the proposal contains a revision of an existing management plan, please indicate the types of amendment:</w:t>
            </w:r>
          </w:p>
        </w:tc>
      </w:tr>
      <w:tr w:rsidR="003A0E93" w:rsidRPr="00323C65" w14:paraId="7D5EDC3D" w14:textId="77777777" w:rsidTr="00B31C7F">
        <w:tc>
          <w:tcPr>
            <w:tcW w:w="5875" w:type="dxa"/>
          </w:tcPr>
          <w:p w14:paraId="12239AD3" w14:textId="77777777" w:rsidR="003A0E93" w:rsidRPr="00323C65" w:rsidRDefault="003A0E93" w:rsidP="00B31C7F">
            <w:pPr>
              <w:pStyle w:val="ATSNormal"/>
              <w:jc w:val="center"/>
              <w:rPr>
                <w:i/>
                <w:sz w:val="20"/>
                <w:szCs w:val="20"/>
              </w:rPr>
            </w:pPr>
            <w:r w:rsidRPr="00323C65">
              <w:rPr>
                <w:i/>
                <w:sz w:val="20"/>
                <w:szCs w:val="20"/>
              </w:rPr>
              <w:t>(i) major or minor?</w:t>
            </w:r>
          </w:p>
        </w:tc>
        <w:tc>
          <w:tcPr>
            <w:tcW w:w="3980" w:type="dxa"/>
          </w:tcPr>
          <w:p w14:paraId="7AF75402" w14:textId="77777777" w:rsidR="003A0E93" w:rsidRPr="00323C65" w:rsidRDefault="003A0E93" w:rsidP="00B31C7F">
            <w:pPr>
              <w:pStyle w:val="ATSNormal"/>
              <w:rPr>
                <w:snapToGrid w:val="0"/>
                <w:sz w:val="20"/>
                <w:szCs w:val="20"/>
              </w:rPr>
            </w:pPr>
            <w:r>
              <w:rPr>
                <w:snapToGrid w:val="0"/>
                <w:sz w:val="20"/>
                <w:szCs w:val="20"/>
              </w:rPr>
              <w:t>Minor.</w:t>
            </w:r>
          </w:p>
        </w:tc>
      </w:tr>
      <w:tr w:rsidR="003A0E93" w:rsidRPr="00323C65" w14:paraId="06FE4286" w14:textId="77777777" w:rsidTr="00B31C7F">
        <w:tc>
          <w:tcPr>
            <w:tcW w:w="5875" w:type="dxa"/>
          </w:tcPr>
          <w:p w14:paraId="3B3418C1" w14:textId="77777777" w:rsidR="003A0E93" w:rsidRPr="00323C65" w:rsidRDefault="003A0E93" w:rsidP="00B31C7F">
            <w:pPr>
              <w:pStyle w:val="ATSNormal"/>
              <w:jc w:val="center"/>
              <w:rPr>
                <w:i/>
                <w:sz w:val="20"/>
                <w:szCs w:val="20"/>
              </w:rPr>
            </w:pPr>
            <w:r w:rsidRPr="00323C65">
              <w:rPr>
                <w:i/>
                <w:sz w:val="20"/>
                <w:szCs w:val="20"/>
              </w:rPr>
              <w:t>(ii) any changes to the boundaries or co-ordinates?</w:t>
            </w:r>
          </w:p>
        </w:tc>
        <w:tc>
          <w:tcPr>
            <w:tcW w:w="3980" w:type="dxa"/>
            <w:shd w:val="clear" w:color="auto" w:fill="auto"/>
          </w:tcPr>
          <w:p w14:paraId="58A6830C" w14:textId="77777777" w:rsidR="003A0E93" w:rsidRPr="005902BD" w:rsidRDefault="003A0E93" w:rsidP="00B31C7F">
            <w:pPr>
              <w:pStyle w:val="ATSNormal"/>
              <w:rPr>
                <w:sz w:val="20"/>
                <w:highlight w:val="yellow"/>
              </w:rPr>
            </w:pPr>
            <w:r>
              <w:rPr>
                <w:sz w:val="20"/>
                <w:szCs w:val="20"/>
              </w:rPr>
              <w:t>None</w:t>
            </w:r>
            <w:r w:rsidRPr="00A314CB">
              <w:rPr>
                <w:sz w:val="20"/>
                <w:szCs w:val="20"/>
              </w:rPr>
              <w:t>.</w:t>
            </w:r>
          </w:p>
        </w:tc>
      </w:tr>
      <w:tr w:rsidR="003A0E93" w:rsidRPr="00323C65" w14:paraId="582783FE" w14:textId="77777777" w:rsidTr="00B31C7F">
        <w:tc>
          <w:tcPr>
            <w:tcW w:w="5875" w:type="dxa"/>
          </w:tcPr>
          <w:p w14:paraId="634AB604" w14:textId="77777777" w:rsidR="003A0E93" w:rsidRPr="00323C65" w:rsidRDefault="003A0E93" w:rsidP="00B31C7F">
            <w:pPr>
              <w:pStyle w:val="ATSNormal"/>
              <w:jc w:val="center"/>
              <w:rPr>
                <w:i/>
                <w:sz w:val="20"/>
                <w:szCs w:val="20"/>
              </w:rPr>
            </w:pPr>
            <w:r w:rsidRPr="00323C65">
              <w:rPr>
                <w:i/>
                <w:sz w:val="20"/>
                <w:szCs w:val="20"/>
              </w:rPr>
              <w:t>(iii) any changes to the maps? If yes, are the changes in the captions only or also in the graphics?</w:t>
            </w:r>
          </w:p>
        </w:tc>
        <w:tc>
          <w:tcPr>
            <w:tcW w:w="3980" w:type="dxa"/>
          </w:tcPr>
          <w:p w14:paraId="44359F27" w14:textId="77777777" w:rsidR="003A0E93" w:rsidRPr="00323C65" w:rsidRDefault="003A0E93" w:rsidP="00B31C7F">
            <w:pPr>
              <w:pStyle w:val="ATSNormal"/>
              <w:rPr>
                <w:sz w:val="20"/>
                <w:szCs w:val="20"/>
              </w:rPr>
            </w:pPr>
            <w:r>
              <w:rPr>
                <w:sz w:val="20"/>
                <w:szCs w:val="20"/>
              </w:rPr>
              <w:t>Map updates reflect adoption of ASPA No. 176 Rosenthal Islands (Measure 19 (2021). Map 19 covering the former Rosenthal Islands Restricted Zone has been removed because maps for this site are available from the ASPA management plan. Maps showing Torgersen Island have been updated to reflect de-designation of the Visitor Zone and inclusion of the whole island as a Restricted Zone. A 50 m buffer has been added to the boundary of the Joubin Islands Restricted Zone. Important Bird Areas have been added to relevant maps.</w:t>
            </w:r>
          </w:p>
        </w:tc>
      </w:tr>
      <w:tr w:rsidR="003A0E93" w:rsidRPr="00323C65" w14:paraId="7EA0BD44" w14:textId="77777777" w:rsidTr="00B31C7F">
        <w:tc>
          <w:tcPr>
            <w:tcW w:w="5875" w:type="dxa"/>
          </w:tcPr>
          <w:p w14:paraId="7EFF8588" w14:textId="77777777" w:rsidR="003A0E93" w:rsidRPr="00323C65" w:rsidRDefault="003A0E93" w:rsidP="00B31C7F">
            <w:pPr>
              <w:pStyle w:val="ATSNormal"/>
              <w:jc w:val="center"/>
              <w:rPr>
                <w:i/>
                <w:sz w:val="20"/>
                <w:szCs w:val="20"/>
              </w:rPr>
            </w:pPr>
            <w:r w:rsidRPr="00323C65">
              <w:rPr>
                <w:i/>
                <w:sz w:val="20"/>
                <w:szCs w:val="20"/>
              </w:rPr>
              <w:t>(iv) any change to the description of the area that is relevant to identifying its location or its boundaries?</w:t>
            </w:r>
          </w:p>
        </w:tc>
        <w:tc>
          <w:tcPr>
            <w:tcW w:w="3980" w:type="dxa"/>
          </w:tcPr>
          <w:p w14:paraId="2BB29F94" w14:textId="77777777" w:rsidR="003A0E93" w:rsidRPr="00323C65" w:rsidRDefault="003A0E93" w:rsidP="00B31C7F">
            <w:pPr>
              <w:pStyle w:val="ATSNormal"/>
              <w:rPr>
                <w:snapToGrid w:val="0"/>
                <w:sz w:val="20"/>
                <w:szCs w:val="20"/>
              </w:rPr>
            </w:pPr>
            <w:r>
              <w:rPr>
                <w:snapToGrid w:val="0"/>
                <w:sz w:val="20"/>
                <w:szCs w:val="20"/>
              </w:rPr>
              <w:t>Changes to internal boundaries of the Torgersen Island Restricted Zone and Visitor Zone, as noted above.</w:t>
            </w:r>
          </w:p>
        </w:tc>
      </w:tr>
      <w:tr w:rsidR="003A0E93" w:rsidRPr="00323C65" w14:paraId="644B849C" w14:textId="77777777" w:rsidTr="00B31C7F">
        <w:tc>
          <w:tcPr>
            <w:tcW w:w="5875" w:type="dxa"/>
          </w:tcPr>
          <w:p w14:paraId="7789C4FF" w14:textId="77777777" w:rsidR="003A0E93" w:rsidRPr="00323C65" w:rsidRDefault="003A0E93" w:rsidP="00B31C7F">
            <w:pPr>
              <w:pStyle w:val="ATSNormal"/>
              <w:jc w:val="center"/>
              <w:rPr>
                <w:i/>
                <w:sz w:val="20"/>
                <w:szCs w:val="20"/>
              </w:rPr>
            </w:pPr>
            <w:r w:rsidRPr="00323C65">
              <w:rPr>
                <w:i/>
                <w:sz w:val="20"/>
                <w:szCs w:val="20"/>
              </w:rPr>
              <w:t>(v) any changes that affect any other ASPA, ASMA or HSM within this area or adjacent to it? In particular, please explain any merger with, incorporation of or abolition of any existing area or site.</w:t>
            </w:r>
          </w:p>
        </w:tc>
        <w:tc>
          <w:tcPr>
            <w:tcW w:w="3980" w:type="dxa"/>
          </w:tcPr>
          <w:p w14:paraId="7B576F08" w14:textId="77777777" w:rsidR="003A0E93" w:rsidRPr="00055A9A" w:rsidRDefault="003A0E93" w:rsidP="00B31C7F">
            <w:pPr>
              <w:pStyle w:val="ATSNormal"/>
              <w:rPr>
                <w:snapToGrid w:val="0"/>
                <w:sz w:val="20"/>
                <w:szCs w:val="20"/>
              </w:rPr>
            </w:pPr>
            <w:r>
              <w:rPr>
                <w:sz w:val="20"/>
                <w:szCs w:val="20"/>
              </w:rPr>
              <w:t>Updates reflect adoption of ASPA No. 176 Rosenthal Islands (Measure 19 (2021) and changes to zoning at Torgersen Island</w:t>
            </w:r>
            <w:r>
              <w:rPr>
                <w:snapToGrid w:val="0"/>
                <w:sz w:val="20"/>
                <w:szCs w:val="20"/>
              </w:rPr>
              <w:t>.</w:t>
            </w:r>
          </w:p>
        </w:tc>
      </w:tr>
      <w:tr w:rsidR="003A0E93" w:rsidRPr="00323C65" w14:paraId="319FD843" w14:textId="77777777" w:rsidTr="00B31C7F">
        <w:tc>
          <w:tcPr>
            <w:tcW w:w="5875" w:type="dxa"/>
          </w:tcPr>
          <w:p w14:paraId="402B3481" w14:textId="77777777" w:rsidR="003A0E93" w:rsidRPr="00323C65" w:rsidRDefault="003A0E93" w:rsidP="00B31C7F">
            <w:pPr>
              <w:pStyle w:val="ATSNormal"/>
              <w:jc w:val="center"/>
              <w:rPr>
                <w:i/>
                <w:sz w:val="20"/>
                <w:szCs w:val="20"/>
              </w:rPr>
            </w:pPr>
            <w:r w:rsidRPr="00323C65">
              <w:rPr>
                <w:i/>
                <w:sz w:val="20"/>
                <w:szCs w:val="20"/>
              </w:rPr>
              <w:lastRenderedPageBreak/>
              <w:t>(vi) Other - brief summary of other types of changes, indicating the paragraphs of the management plan in which these are located.</w:t>
            </w:r>
          </w:p>
        </w:tc>
        <w:tc>
          <w:tcPr>
            <w:tcW w:w="3980" w:type="dxa"/>
          </w:tcPr>
          <w:p w14:paraId="548A1EEA" w14:textId="77777777" w:rsidR="003A0E93" w:rsidRDefault="003A0E93" w:rsidP="00B31C7F">
            <w:pPr>
              <w:pStyle w:val="ATSNormal"/>
              <w:rPr>
                <w:sz w:val="20"/>
                <w:szCs w:val="20"/>
              </w:rPr>
            </w:pPr>
            <w:r>
              <w:rPr>
                <w:sz w:val="20"/>
                <w:szCs w:val="20"/>
              </w:rPr>
              <w:t>Revisions to Appendix D Restricted Zones and Appendix E Visitor Zones reflecting:</w:t>
            </w:r>
          </w:p>
          <w:p w14:paraId="51D0DFFB" w14:textId="77777777" w:rsidR="003A0E93" w:rsidRDefault="003A0E93" w:rsidP="003A0E93">
            <w:pPr>
              <w:pStyle w:val="ATSNormal"/>
              <w:numPr>
                <w:ilvl w:val="0"/>
                <w:numId w:val="21"/>
              </w:numPr>
              <w:rPr>
                <w:sz w:val="20"/>
                <w:szCs w:val="20"/>
              </w:rPr>
            </w:pPr>
            <w:r>
              <w:rPr>
                <w:sz w:val="20"/>
                <w:szCs w:val="20"/>
              </w:rPr>
              <w:t>de-designation of the Rosenthal Islands Restricted Zone;</w:t>
            </w:r>
          </w:p>
          <w:p w14:paraId="552D8C61" w14:textId="77777777" w:rsidR="003A0E93" w:rsidRDefault="003A0E93" w:rsidP="003A0E93">
            <w:pPr>
              <w:pStyle w:val="ATSNormal"/>
              <w:numPr>
                <w:ilvl w:val="0"/>
                <w:numId w:val="21"/>
              </w:numPr>
              <w:rPr>
                <w:sz w:val="20"/>
                <w:szCs w:val="20"/>
              </w:rPr>
            </w:pPr>
            <w:r>
              <w:rPr>
                <w:sz w:val="20"/>
                <w:szCs w:val="20"/>
              </w:rPr>
              <w:t xml:space="preserve">de-designation of the Torgersen Island Visitor Zone. Accordingly Visitor Zones have been removed from Section 6(ii) and Appendix E has been deleted because there are no longer any Visitor Zones within the Area. This is in accordance with the provision in Section 6(ii) that a zone </w:t>
            </w:r>
            <w:r w:rsidRPr="00876D5B">
              <w:rPr>
                <w:sz w:val="20"/>
                <w:szCs w:val="20"/>
              </w:rPr>
              <w:t>no longer needed may be delisted</w:t>
            </w:r>
            <w:r>
              <w:rPr>
                <w:sz w:val="20"/>
                <w:szCs w:val="20"/>
              </w:rPr>
              <w:t>;</w:t>
            </w:r>
          </w:p>
          <w:p w14:paraId="4F6F4A2B" w14:textId="77777777" w:rsidR="003A0E93" w:rsidRDefault="003A0E93" w:rsidP="003A0E93">
            <w:pPr>
              <w:pStyle w:val="ATSNormal"/>
              <w:numPr>
                <w:ilvl w:val="0"/>
                <w:numId w:val="21"/>
              </w:numPr>
              <w:rPr>
                <w:sz w:val="20"/>
                <w:szCs w:val="20"/>
              </w:rPr>
            </w:pPr>
            <w:r>
              <w:rPr>
                <w:sz w:val="20"/>
                <w:szCs w:val="20"/>
              </w:rPr>
              <w:t>Extension of the Torgersen Island Restricted Zone to include the full island including a 50 m buffer around its coastline;</w:t>
            </w:r>
          </w:p>
          <w:p w14:paraId="7B7D20CB" w14:textId="77777777" w:rsidR="003A0E93" w:rsidRDefault="003A0E93" w:rsidP="003A0E93">
            <w:pPr>
              <w:pStyle w:val="ATSNormal"/>
              <w:numPr>
                <w:ilvl w:val="0"/>
                <w:numId w:val="21"/>
              </w:numPr>
              <w:rPr>
                <w:sz w:val="20"/>
                <w:szCs w:val="20"/>
              </w:rPr>
            </w:pPr>
            <w:r>
              <w:rPr>
                <w:sz w:val="20"/>
                <w:szCs w:val="20"/>
              </w:rPr>
              <w:t>Extension of the Joubin Islands Restricted Zone to include a 50 m buffer in the zone boundary around the outermost islands in the group.</w:t>
            </w:r>
          </w:p>
          <w:p w14:paraId="0A600F66" w14:textId="77777777" w:rsidR="003A0E93" w:rsidRDefault="003A0E93" w:rsidP="00B31C7F">
            <w:pPr>
              <w:pStyle w:val="ATSNormal"/>
              <w:rPr>
                <w:snapToGrid w:val="0"/>
                <w:sz w:val="20"/>
                <w:szCs w:val="20"/>
              </w:rPr>
            </w:pPr>
            <w:r>
              <w:rPr>
                <w:snapToGrid w:val="0"/>
                <w:sz w:val="20"/>
                <w:szCs w:val="20"/>
              </w:rPr>
              <w:t>Updates have been made to reflect changes in bird species taxonomy accepted by BirdLife International since the plan was last adopted. The changes are:</w:t>
            </w:r>
          </w:p>
          <w:p w14:paraId="223B7514" w14:textId="77777777" w:rsidR="003A0E93" w:rsidRDefault="003A0E93" w:rsidP="003A0E93">
            <w:pPr>
              <w:pStyle w:val="ATSNormal"/>
              <w:numPr>
                <w:ilvl w:val="0"/>
                <w:numId w:val="22"/>
              </w:numPr>
              <w:rPr>
                <w:snapToGrid w:val="0"/>
                <w:sz w:val="20"/>
                <w:szCs w:val="20"/>
              </w:rPr>
            </w:pPr>
            <w:r>
              <w:rPr>
                <w:snapToGrid w:val="0"/>
                <w:sz w:val="20"/>
                <w:szCs w:val="20"/>
              </w:rPr>
              <w:t xml:space="preserve">Chinstrap penguin – </w:t>
            </w:r>
            <w:r w:rsidRPr="00AE6ED9">
              <w:rPr>
                <w:i/>
                <w:snapToGrid w:val="0"/>
                <w:sz w:val="20"/>
                <w:szCs w:val="20"/>
              </w:rPr>
              <w:t>Pygoscelis antarctica</w:t>
            </w:r>
            <w:r>
              <w:rPr>
                <w:snapToGrid w:val="0"/>
                <w:sz w:val="20"/>
                <w:szCs w:val="20"/>
              </w:rPr>
              <w:t xml:space="preserve"> changed to </w:t>
            </w:r>
            <w:r w:rsidRPr="00AE6ED9">
              <w:rPr>
                <w:i/>
                <w:snapToGrid w:val="0"/>
                <w:sz w:val="20"/>
                <w:szCs w:val="20"/>
              </w:rPr>
              <w:t>Pygoscelis antarcticus</w:t>
            </w:r>
            <w:r>
              <w:rPr>
                <w:snapToGrid w:val="0"/>
                <w:sz w:val="20"/>
                <w:szCs w:val="20"/>
              </w:rPr>
              <w:t>;</w:t>
            </w:r>
          </w:p>
          <w:p w14:paraId="5E073C82" w14:textId="77777777" w:rsidR="003A0E93" w:rsidRDefault="003A0E93" w:rsidP="003A0E93">
            <w:pPr>
              <w:pStyle w:val="ATSNormal"/>
              <w:numPr>
                <w:ilvl w:val="0"/>
                <w:numId w:val="22"/>
              </w:numPr>
              <w:rPr>
                <w:snapToGrid w:val="0"/>
                <w:sz w:val="20"/>
                <w:szCs w:val="20"/>
              </w:rPr>
            </w:pPr>
            <w:r>
              <w:rPr>
                <w:snapToGrid w:val="0"/>
                <w:sz w:val="20"/>
                <w:szCs w:val="20"/>
              </w:rPr>
              <w:t>Brown skua –</w:t>
            </w:r>
            <w:r w:rsidRPr="00DD7BA6">
              <w:rPr>
                <w:i/>
                <w:snapToGrid w:val="0"/>
                <w:sz w:val="20"/>
                <w:szCs w:val="20"/>
              </w:rPr>
              <w:t>Stercorarius lonnbergi</w:t>
            </w:r>
            <w:r>
              <w:rPr>
                <w:snapToGrid w:val="0"/>
                <w:sz w:val="20"/>
                <w:szCs w:val="20"/>
              </w:rPr>
              <w:t xml:space="preserve"> changed to </w:t>
            </w:r>
            <w:r>
              <w:rPr>
                <w:i/>
                <w:snapToGrid w:val="0"/>
                <w:sz w:val="20"/>
                <w:szCs w:val="20"/>
              </w:rPr>
              <w:t>Catharacta</w:t>
            </w:r>
            <w:r>
              <w:rPr>
                <w:snapToGrid w:val="0"/>
                <w:sz w:val="20"/>
                <w:szCs w:val="20"/>
              </w:rPr>
              <w:t xml:space="preserve"> </w:t>
            </w:r>
            <w:r>
              <w:rPr>
                <w:i/>
                <w:snapToGrid w:val="0"/>
                <w:sz w:val="20"/>
                <w:szCs w:val="20"/>
              </w:rPr>
              <w:t>antarctica</w:t>
            </w:r>
            <w:r>
              <w:rPr>
                <w:snapToGrid w:val="0"/>
                <w:sz w:val="20"/>
                <w:szCs w:val="20"/>
              </w:rPr>
              <w:t>;</w:t>
            </w:r>
          </w:p>
          <w:p w14:paraId="56A92290" w14:textId="77777777" w:rsidR="003A0E93" w:rsidRPr="00132708" w:rsidRDefault="003A0E93" w:rsidP="003A0E93">
            <w:pPr>
              <w:pStyle w:val="ATSNormal"/>
              <w:numPr>
                <w:ilvl w:val="0"/>
                <w:numId w:val="22"/>
              </w:numPr>
              <w:rPr>
                <w:snapToGrid w:val="0"/>
                <w:sz w:val="20"/>
                <w:szCs w:val="20"/>
              </w:rPr>
            </w:pPr>
            <w:r>
              <w:rPr>
                <w:snapToGrid w:val="0"/>
                <w:sz w:val="20"/>
                <w:szCs w:val="20"/>
              </w:rPr>
              <w:t>South polar skua –</w:t>
            </w:r>
            <w:r w:rsidRPr="00AE6ED9">
              <w:rPr>
                <w:i/>
                <w:snapToGrid w:val="0"/>
                <w:sz w:val="20"/>
                <w:szCs w:val="20"/>
              </w:rPr>
              <w:t>Stercorarius maccormicki</w:t>
            </w:r>
            <w:r>
              <w:rPr>
                <w:snapToGrid w:val="0"/>
                <w:sz w:val="20"/>
                <w:szCs w:val="20"/>
              </w:rPr>
              <w:t xml:space="preserve"> changed to </w:t>
            </w:r>
            <w:r>
              <w:rPr>
                <w:i/>
                <w:snapToGrid w:val="0"/>
                <w:sz w:val="20"/>
                <w:szCs w:val="20"/>
              </w:rPr>
              <w:t>Catharacta</w:t>
            </w:r>
            <w:r>
              <w:rPr>
                <w:snapToGrid w:val="0"/>
                <w:sz w:val="20"/>
                <w:szCs w:val="20"/>
              </w:rPr>
              <w:t xml:space="preserve"> </w:t>
            </w:r>
            <w:r w:rsidRPr="00AE6ED9">
              <w:rPr>
                <w:i/>
                <w:snapToGrid w:val="0"/>
                <w:sz w:val="20"/>
                <w:szCs w:val="20"/>
              </w:rPr>
              <w:t>maccormicki</w:t>
            </w:r>
            <w:r>
              <w:rPr>
                <w:snapToGrid w:val="0"/>
                <w:sz w:val="20"/>
                <w:szCs w:val="20"/>
              </w:rPr>
              <w:t>.</w:t>
            </w:r>
          </w:p>
        </w:tc>
      </w:tr>
      <w:tr w:rsidR="003A0E93" w:rsidRPr="00323C65" w14:paraId="33E6F7F5" w14:textId="77777777" w:rsidTr="00B31C7F">
        <w:tc>
          <w:tcPr>
            <w:tcW w:w="5875" w:type="dxa"/>
          </w:tcPr>
          <w:p w14:paraId="5C385609" w14:textId="77777777" w:rsidR="003A0E93" w:rsidRPr="00323C65" w:rsidRDefault="003A0E93" w:rsidP="00B31C7F">
            <w:pPr>
              <w:pStyle w:val="ATSNormal"/>
              <w:rPr>
                <w:b/>
                <w:snapToGrid w:val="0"/>
                <w:sz w:val="20"/>
                <w:szCs w:val="20"/>
              </w:rPr>
            </w:pPr>
            <w:r w:rsidRPr="00323C65">
              <w:rPr>
                <w:b/>
                <w:snapToGrid w:val="0"/>
                <w:sz w:val="20"/>
                <w:szCs w:val="20"/>
              </w:rPr>
              <w:t>5. If a new ASPA or ASMA is proposed, does it contain any marine area?</w:t>
            </w:r>
          </w:p>
        </w:tc>
        <w:tc>
          <w:tcPr>
            <w:tcW w:w="3980" w:type="dxa"/>
          </w:tcPr>
          <w:p w14:paraId="78496CFC" w14:textId="77777777" w:rsidR="003A0E93" w:rsidRPr="00323C65" w:rsidRDefault="003A0E93" w:rsidP="00B31C7F">
            <w:pPr>
              <w:pStyle w:val="ATSNormal"/>
              <w:rPr>
                <w:snapToGrid w:val="0"/>
                <w:sz w:val="20"/>
                <w:szCs w:val="20"/>
              </w:rPr>
            </w:pPr>
            <w:r>
              <w:rPr>
                <w:snapToGrid w:val="0"/>
                <w:sz w:val="20"/>
                <w:szCs w:val="20"/>
              </w:rPr>
              <w:t>N/A</w:t>
            </w:r>
          </w:p>
        </w:tc>
      </w:tr>
      <w:tr w:rsidR="003A0E93" w:rsidRPr="00323C65" w14:paraId="34040F27" w14:textId="77777777" w:rsidTr="00B31C7F">
        <w:tc>
          <w:tcPr>
            <w:tcW w:w="5875" w:type="dxa"/>
          </w:tcPr>
          <w:p w14:paraId="3EC347F2" w14:textId="77777777" w:rsidR="003A0E93" w:rsidRPr="00323C65" w:rsidRDefault="003A0E93" w:rsidP="00B31C7F">
            <w:pPr>
              <w:pStyle w:val="ATSNormal"/>
              <w:rPr>
                <w:b/>
                <w:snapToGrid w:val="0"/>
                <w:sz w:val="20"/>
                <w:szCs w:val="20"/>
              </w:rPr>
            </w:pPr>
            <w:r w:rsidRPr="00323C65">
              <w:rPr>
                <w:b/>
                <w:snapToGrid w:val="0"/>
                <w:sz w:val="20"/>
                <w:szCs w:val="20"/>
              </w:rPr>
              <w:t>6. If yes, does the proposal require the prior approval of CCAMLR in accordance with Decision 9 (2005)?</w:t>
            </w:r>
          </w:p>
        </w:tc>
        <w:tc>
          <w:tcPr>
            <w:tcW w:w="3980" w:type="dxa"/>
          </w:tcPr>
          <w:p w14:paraId="64ABF5DD" w14:textId="77777777" w:rsidR="003A0E93" w:rsidRPr="00323C65" w:rsidRDefault="003A0E93" w:rsidP="00B31C7F">
            <w:pPr>
              <w:pStyle w:val="ATSNormal"/>
              <w:rPr>
                <w:snapToGrid w:val="0"/>
                <w:sz w:val="20"/>
                <w:szCs w:val="20"/>
              </w:rPr>
            </w:pPr>
            <w:r>
              <w:rPr>
                <w:snapToGrid w:val="0"/>
                <w:sz w:val="20"/>
                <w:szCs w:val="20"/>
              </w:rPr>
              <w:t>N/A</w:t>
            </w:r>
          </w:p>
        </w:tc>
      </w:tr>
      <w:tr w:rsidR="003A0E93" w:rsidRPr="00323C65" w14:paraId="13E634D7" w14:textId="77777777" w:rsidTr="00B31C7F">
        <w:tc>
          <w:tcPr>
            <w:tcW w:w="5875" w:type="dxa"/>
          </w:tcPr>
          <w:p w14:paraId="1AC62C47" w14:textId="77777777" w:rsidR="003A0E93" w:rsidRPr="00323C65" w:rsidRDefault="003A0E93" w:rsidP="00B31C7F">
            <w:pPr>
              <w:pStyle w:val="ATSNormal"/>
              <w:rPr>
                <w:b/>
                <w:sz w:val="20"/>
                <w:szCs w:val="20"/>
              </w:rPr>
            </w:pPr>
            <w:r w:rsidRPr="00323C65">
              <w:rPr>
                <w:b/>
                <w:sz w:val="20"/>
                <w:szCs w:val="20"/>
              </w:rPr>
              <w:t xml:space="preserve">7. If yes, has the prior approval of CCAMLR been obtained? </w:t>
            </w:r>
          </w:p>
        </w:tc>
        <w:tc>
          <w:tcPr>
            <w:tcW w:w="3980" w:type="dxa"/>
          </w:tcPr>
          <w:p w14:paraId="3F9D62DB" w14:textId="77777777" w:rsidR="003A0E93" w:rsidRPr="00323C65" w:rsidRDefault="003A0E93" w:rsidP="00B31C7F">
            <w:pPr>
              <w:pStyle w:val="ATSNormal"/>
              <w:rPr>
                <w:snapToGrid w:val="0"/>
                <w:sz w:val="20"/>
                <w:szCs w:val="20"/>
              </w:rPr>
            </w:pPr>
            <w:r>
              <w:rPr>
                <w:snapToGrid w:val="0"/>
                <w:sz w:val="20"/>
                <w:szCs w:val="20"/>
              </w:rPr>
              <w:t>N/A</w:t>
            </w:r>
          </w:p>
        </w:tc>
      </w:tr>
      <w:tr w:rsidR="003A0E93" w:rsidRPr="00323C65" w14:paraId="421509C8" w14:textId="77777777" w:rsidTr="00B31C7F">
        <w:tc>
          <w:tcPr>
            <w:tcW w:w="5875" w:type="dxa"/>
          </w:tcPr>
          <w:p w14:paraId="0185E850" w14:textId="77777777" w:rsidR="003A0E93" w:rsidRPr="00323C65" w:rsidRDefault="003A0E93" w:rsidP="00B31C7F">
            <w:pPr>
              <w:pStyle w:val="ATSNormal"/>
              <w:jc w:val="center"/>
              <w:rPr>
                <w:i/>
                <w:sz w:val="20"/>
                <w:szCs w:val="20"/>
              </w:rPr>
            </w:pPr>
            <w:r w:rsidRPr="00323C65">
              <w:rPr>
                <w:i/>
                <w:sz w:val="20"/>
                <w:szCs w:val="20"/>
              </w:rPr>
              <w:t>If yes, please list the CCAMLR Final Report and Paragraph No.</w:t>
            </w:r>
          </w:p>
        </w:tc>
        <w:tc>
          <w:tcPr>
            <w:tcW w:w="3980" w:type="dxa"/>
          </w:tcPr>
          <w:p w14:paraId="092DEE20" w14:textId="77777777" w:rsidR="003A0E93" w:rsidRPr="00323C65" w:rsidRDefault="003A0E93" w:rsidP="00B31C7F">
            <w:pPr>
              <w:pStyle w:val="ATSNormal"/>
              <w:rPr>
                <w:snapToGrid w:val="0"/>
                <w:sz w:val="20"/>
                <w:szCs w:val="20"/>
              </w:rPr>
            </w:pPr>
            <w:r>
              <w:rPr>
                <w:snapToGrid w:val="0"/>
                <w:sz w:val="20"/>
                <w:szCs w:val="20"/>
              </w:rPr>
              <w:t>N/A</w:t>
            </w:r>
          </w:p>
        </w:tc>
      </w:tr>
      <w:tr w:rsidR="003A0E93" w:rsidRPr="000C3FC4" w14:paraId="69FDDB5A" w14:textId="77777777" w:rsidTr="00B31C7F">
        <w:tc>
          <w:tcPr>
            <w:tcW w:w="5875" w:type="dxa"/>
            <w:tcBorders>
              <w:top w:val="single" w:sz="4" w:space="0" w:color="auto"/>
              <w:left w:val="single" w:sz="4" w:space="0" w:color="auto"/>
              <w:bottom w:val="single" w:sz="4" w:space="0" w:color="auto"/>
              <w:right w:val="single" w:sz="4" w:space="0" w:color="auto"/>
            </w:tcBorders>
          </w:tcPr>
          <w:p w14:paraId="3C251FED" w14:textId="77777777" w:rsidR="003A0E93" w:rsidRPr="004B5826" w:rsidRDefault="003A0E93" w:rsidP="00B31C7F">
            <w:pPr>
              <w:pStyle w:val="ATSNormal"/>
              <w:rPr>
                <w:b/>
                <w:sz w:val="20"/>
                <w:szCs w:val="20"/>
              </w:rPr>
            </w:pPr>
            <w:r w:rsidRPr="004B5826">
              <w:rPr>
                <w:b/>
                <w:sz w:val="20"/>
                <w:szCs w:val="20"/>
              </w:rPr>
              <w:t xml:space="preserve">8. If the proposal relates to an ASPA, what is the primary reason for designation (i.e. which part under Article 3.2 of Annex V)? </w:t>
            </w:r>
          </w:p>
        </w:tc>
        <w:tc>
          <w:tcPr>
            <w:tcW w:w="3980" w:type="dxa"/>
            <w:tcBorders>
              <w:top w:val="single" w:sz="4" w:space="0" w:color="auto"/>
              <w:left w:val="single" w:sz="4" w:space="0" w:color="auto"/>
              <w:bottom w:val="single" w:sz="4" w:space="0" w:color="auto"/>
              <w:right w:val="single" w:sz="4" w:space="0" w:color="auto"/>
            </w:tcBorders>
          </w:tcPr>
          <w:p w14:paraId="77469638" w14:textId="77777777" w:rsidR="003A0E93" w:rsidRPr="003A295B" w:rsidRDefault="003A0E93" w:rsidP="00B31C7F">
            <w:pPr>
              <w:pStyle w:val="ATSNormal"/>
              <w:rPr>
                <w:snapToGrid w:val="0"/>
                <w:sz w:val="20"/>
                <w:szCs w:val="20"/>
              </w:rPr>
            </w:pPr>
            <w:r>
              <w:rPr>
                <w:snapToGrid w:val="0"/>
                <w:sz w:val="20"/>
                <w:szCs w:val="20"/>
              </w:rPr>
              <w:t>N/A</w:t>
            </w:r>
          </w:p>
        </w:tc>
      </w:tr>
      <w:tr w:rsidR="003A0E93" w:rsidRPr="000C3FC4" w14:paraId="3C2C5EC3" w14:textId="77777777" w:rsidTr="00B31C7F">
        <w:tc>
          <w:tcPr>
            <w:tcW w:w="5875" w:type="dxa"/>
            <w:tcBorders>
              <w:top w:val="single" w:sz="4" w:space="0" w:color="auto"/>
              <w:left w:val="single" w:sz="4" w:space="0" w:color="auto"/>
              <w:bottom w:val="single" w:sz="4" w:space="0" w:color="auto"/>
              <w:right w:val="single" w:sz="4" w:space="0" w:color="auto"/>
            </w:tcBorders>
          </w:tcPr>
          <w:p w14:paraId="4AD4F305" w14:textId="77777777" w:rsidR="003A0E93" w:rsidRPr="00D64255" w:rsidRDefault="003A0E93" w:rsidP="00B31C7F">
            <w:pPr>
              <w:pStyle w:val="Default"/>
              <w:autoSpaceDE/>
              <w:autoSpaceDN/>
              <w:adjustRightInd/>
              <w:spacing w:before="120" w:after="120"/>
              <w:rPr>
                <w:b/>
                <w:sz w:val="20"/>
                <w:szCs w:val="23"/>
              </w:rPr>
            </w:pPr>
            <w:r w:rsidRPr="00D64255">
              <w:rPr>
                <w:b/>
                <w:sz w:val="20"/>
                <w:szCs w:val="23"/>
              </w:rPr>
              <w:lastRenderedPageBreak/>
              <w:t xml:space="preserve">9. </w:t>
            </w:r>
            <w:r>
              <w:rPr>
                <w:b/>
                <w:sz w:val="20"/>
                <w:szCs w:val="23"/>
              </w:rPr>
              <w:t>H</w:t>
            </w:r>
            <w:r w:rsidRPr="00D64255">
              <w:rPr>
                <w:b/>
                <w:sz w:val="20"/>
                <w:szCs w:val="23"/>
              </w:rPr>
              <w:t>ave you identified the main Environmental Domain represented by the ASPA/ASMA (</w:t>
            </w:r>
            <w:r>
              <w:rPr>
                <w:b/>
                <w:sz w:val="20"/>
                <w:szCs w:val="23"/>
              </w:rPr>
              <w:t>Resolution 3 (2008))?</w:t>
            </w:r>
          </w:p>
        </w:tc>
        <w:tc>
          <w:tcPr>
            <w:tcW w:w="3980" w:type="dxa"/>
            <w:tcBorders>
              <w:top w:val="single" w:sz="4" w:space="0" w:color="auto"/>
              <w:left w:val="single" w:sz="4" w:space="0" w:color="auto"/>
              <w:bottom w:val="single" w:sz="4" w:space="0" w:color="auto"/>
              <w:right w:val="single" w:sz="4" w:space="0" w:color="auto"/>
            </w:tcBorders>
          </w:tcPr>
          <w:p w14:paraId="667BF329" w14:textId="77777777" w:rsidR="003A0E93" w:rsidRPr="001D116C" w:rsidRDefault="003A0E93" w:rsidP="00B31C7F">
            <w:pPr>
              <w:pStyle w:val="ATSNormal"/>
              <w:rPr>
                <w:snapToGrid w:val="0"/>
                <w:sz w:val="20"/>
                <w:szCs w:val="20"/>
              </w:rPr>
            </w:pPr>
            <w:r>
              <w:rPr>
                <w:sz w:val="20"/>
                <w:szCs w:val="20"/>
              </w:rPr>
              <w:t>No changes.</w:t>
            </w:r>
          </w:p>
        </w:tc>
      </w:tr>
      <w:tr w:rsidR="003A0E93" w:rsidRPr="000C3FC4" w14:paraId="310A1BFF" w14:textId="77777777" w:rsidTr="00B31C7F">
        <w:tc>
          <w:tcPr>
            <w:tcW w:w="5875" w:type="dxa"/>
            <w:tcBorders>
              <w:top w:val="single" w:sz="4" w:space="0" w:color="auto"/>
              <w:left w:val="single" w:sz="4" w:space="0" w:color="auto"/>
              <w:bottom w:val="single" w:sz="4" w:space="0" w:color="auto"/>
              <w:right w:val="single" w:sz="4" w:space="0" w:color="auto"/>
            </w:tcBorders>
          </w:tcPr>
          <w:p w14:paraId="0D3C23C7" w14:textId="77777777" w:rsidR="003A0E93" w:rsidRPr="00D64255" w:rsidRDefault="003A0E93" w:rsidP="00B31C7F">
            <w:pPr>
              <w:pStyle w:val="Default"/>
              <w:autoSpaceDE/>
              <w:autoSpaceDN/>
              <w:adjustRightInd/>
              <w:spacing w:before="120" w:after="120"/>
              <w:rPr>
                <w:b/>
                <w:sz w:val="20"/>
                <w:szCs w:val="23"/>
              </w:rPr>
            </w:pPr>
            <w:r w:rsidRPr="00D64255">
              <w:rPr>
                <w:b/>
                <w:sz w:val="20"/>
                <w:szCs w:val="23"/>
              </w:rPr>
              <w:t xml:space="preserve">10. </w:t>
            </w:r>
            <w:r>
              <w:rPr>
                <w:b/>
                <w:sz w:val="20"/>
                <w:szCs w:val="23"/>
              </w:rPr>
              <w:t>H</w:t>
            </w:r>
            <w:r w:rsidRPr="00D64255">
              <w:rPr>
                <w:b/>
                <w:sz w:val="20"/>
                <w:szCs w:val="23"/>
              </w:rPr>
              <w:t xml:space="preserve">ave you identified the main Antarctic Conservation Biogeographic Region represented by the ASPA/ASMA (Resolution </w:t>
            </w:r>
            <w:r>
              <w:rPr>
                <w:b/>
                <w:sz w:val="20"/>
                <w:szCs w:val="23"/>
              </w:rPr>
              <w:t>3</w:t>
            </w:r>
            <w:r w:rsidRPr="00D64255">
              <w:rPr>
                <w:b/>
                <w:sz w:val="20"/>
                <w:szCs w:val="23"/>
              </w:rPr>
              <w:t xml:space="preserve"> (201</w:t>
            </w:r>
            <w:r>
              <w:rPr>
                <w:b/>
                <w:sz w:val="20"/>
                <w:szCs w:val="23"/>
              </w:rPr>
              <w:t>7))?</w:t>
            </w:r>
          </w:p>
        </w:tc>
        <w:tc>
          <w:tcPr>
            <w:tcW w:w="3980" w:type="dxa"/>
            <w:tcBorders>
              <w:top w:val="single" w:sz="4" w:space="0" w:color="auto"/>
              <w:left w:val="single" w:sz="4" w:space="0" w:color="auto"/>
              <w:bottom w:val="single" w:sz="4" w:space="0" w:color="auto"/>
              <w:right w:val="single" w:sz="4" w:space="0" w:color="auto"/>
            </w:tcBorders>
          </w:tcPr>
          <w:p w14:paraId="573540F7" w14:textId="77777777" w:rsidR="003A0E93" w:rsidRPr="00EC21A4" w:rsidRDefault="003A0E93" w:rsidP="00B31C7F">
            <w:pPr>
              <w:pStyle w:val="ATSNormal"/>
              <w:rPr>
                <w:snapToGrid w:val="0"/>
                <w:sz w:val="20"/>
                <w:szCs w:val="20"/>
              </w:rPr>
            </w:pPr>
            <w:r>
              <w:rPr>
                <w:sz w:val="20"/>
                <w:szCs w:val="20"/>
              </w:rPr>
              <w:t>No changes.</w:t>
            </w:r>
          </w:p>
        </w:tc>
      </w:tr>
      <w:tr w:rsidR="003A0E93" w:rsidRPr="000C3FC4" w14:paraId="248D4B32" w14:textId="77777777" w:rsidTr="00B31C7F">
        <w:tc>
          <w:tcPr>
            <w:tcW w:w="5875" w:type="dxa"/>
            <w:tcBorders>
              <w:top w:val="single" w:sz="4" w:space="0" w:color="auto"/>
              <w:left w:val="single" w:sz="4" w:space="0" w:color="auto"/>
              <w:bottom w:val="single" w:sz="4" w:space="0" w:color="auto"/>
              <w:right w:val="single" w:sz="4" w:space="0" w:color="auto"/>
            </w:tcBorders>
          </w:tcPr>
          <w:p w14:paraId="6BE0DE6D" w14:textId="77777777" w:rsidR="003A0E93" w:rsidRPr="00D64255" w:rsidRDefault="003A0E93" w:rsidP="00B31C7F">
            <w:pPr>
              <w:pStyle w:val="Default"/>
              <w:autoSpaceDE/>
              <w:autoSpaceDN/>
              <w:adjustRightInd/>
              <w:spacing w:before="120" w:after="120"/>
              <w:rPr>
                <w:b/>
                <w:sz w:val="20"/>
                <w:szCs w:val="23"/>
              </w:rPr>
            </w:pPr>
            <w:r w:rsidRPr="00D64255">
              <w:rPr>
                <w:b/>
                <w:sz w:val="20"/>
                <w:szCs w:val="23"/>
              </w:rPr>
              <w:t xml:space="preserve">11) </w:t>
            </w:r>
            <w:r>
              <w:rPr>
                <w:b/>
                <w:sz w:val="20"/>
                <w:szCs w:val="23"/>
              </w:rPr>
              <w:t>H</w:t>
            </w:r>
            <w:r w:rsidRPr="00D64255">
              <w:rPr>
                <w:b/>
                <w:sz w:val="20"/>
                <w:szCs w:val="23"/>
              </w:rPr>
              <w:t xml:space="preserve">ave you identified any Antarctic Important Bird Areas </w:t>
            </w:r>
            <w:r>
              <w:rPr>
                <w:b/>
                <w:sz w:val="20"/>
                <w:szCs w:val="23"/>
              </w:rPr>
              <w:t xml:space="preserve">represented by the ASPA/ASMA </w:t>
            </w:r>
            <w:r w:rsidRPr="00D64255">
              <w:rPr>
                <w:b/>
                <w:sz w:val="20"/>
                <w:szCs w:val="23"/>
              </w:rPr>
              <w:t>(Resolution 5 (2015)</w:t>
            </w:r>
            <w:r>
              <w:rPr>
                <w:b/>
                <w:sz w:val="20"/>
                <w:szCs w:val="23"/>
              </w:rPr>
              <w:t>)?</w:t>
            </w:r>
            <w:r w:rsidRPr="00D64255">
              <w:rPr>
                <w:b/>
                <w:sz w:val="20"/>
                <w:szCs w:val="23"/>
              </w:rPr>
              <w:t xml:space="preserve"> </w:t>
            </w:r>
          </w:p>
        </w:tc>
        <w:tc>
          <w:tcPr>
            <w:tcW w:w="3980" w:type="dxa"/>
            <w:tcBorders>
              <w:top w:val="single" w:sz="4" w:space="0" w:color="auto"/>
              <w:left w:val="single" w:sz="4" w:space="0" w:color="auto"/>
              <w:bottom w:val="single" w:sz="4" w:space="0" w:color="auto"/>
              <w:right w:val="single" w:sz="4" w:space="0" w:color="auto"/>
            </w:tcBorders>
          </w:tcPr>
          <w:p w14:paraId="2CC1DECE" w14:textId="77777777" w:rsidR="003A0E93" w:rsidRPr="00EC21A4" w:rsidRDefault="003A0E93" w:rsidP="00B31C7F">
            <w:pPr>
              <w:pStyle w:val="ATSNormal"/>
              <w:rPr>
                <w:snapToGrid w:val="0"/>
                <w:sz w:val="20"/>
                <w:szCs w:val="20"/>
              </w:rPr>
            </w:pPr>
            <w:r>
              <w:rPr>
                <w:sz w:val="20"/>
                <w:szCs w:val="20"/>
              </w:rPr>
              <w:t>No changes.</w:t>
            </w:r>
          </w:p>
        </w:tc>
      </w:tr>
    </w:tbl>
    <w:p w14:paraId="2A55368E" w14:textId="64B74B40" w:rsidR="003A0E93" w:rsidRDefault="003A0E93" w:rsidP="00952E9F"/>
    <w:p w14:paraId="66CEB7E1" w14:textId="46E1CE90" w:rsidR="003A0E93" w:rsidRDefault="003A0E93" w:rsidP="00952E9F">
      <w:r>
        <w:br w:type="page"/>
      </w:r>
    </w:p>
    <w:p w14:paraId="1FA2D0DA" w14:textId="77777777" w:rsidR="003A0E93" w:rsidRDefault="003A0E93" w:rsidP="003A0E93">
      <w:pPr>
        <w:pStyle w:val="ATSHeading1"/>
        <w:rPr>
          <w:sz w:val="24"/>
        </w:rPr>
      </w:pPr>
      <w:r>
        <w:lastRenderedPageBreak/>
        <w:t>Revised Management Plan and maps for</w:t>
      </w:r>
      <w:r w:rsidRPr="001B4892">
        <w:t xml:space="preserve"> AS</w:t>
      </w:r>
      <w:r>
        <w:t>M</w:t>
      </w:r>
      <w:r w:rsidRPr="001B4892">
        <w:t>A No.</w:t>
      </w:r>
      <w:r>
        <w:t>7 Southwest Anvers Island and Palmer Basin</w:t>
      </w:r>
      <w:r>
        <w:rPr>
          <w:sz w:val="24"/>
        </w:rPr>
        <w:t xml:space="preserve"> </w:t>
      </w:r>
    </w:p>
    <w:p w14:paraId="44330C91" w14:textId="77777777" w:rsidR="003A0E93" w:rsidRPr="009A0846" w:rsidRDefault="003A0E93" w:rsidP="003A0E93">
      <w:pPr>
        <w:pStyle w:val="ATSHeading1"/>
        <w:rPr>
          <w:sz w:val="24"/>
        </w:rPr>
      </w:pPr>
      <w:r>
        <w:rPr>
          <w:sz w:val="24"/>
        </w:rPr>
        <w:t xml:space="preserve">Working Paper submitted by the </w:t>
      </w:r>
      <w:r w:rsidRPr="009A0846">
        <w:rPr>
          <w:sz w:val="24"/>
        </w:rPr>
        <w:t>United States</w:t>
      </w:r>
    </w:p>
    <w:p w14:paraId="7575FA8D" w14:textId="77777777" w:rsidR="003A0E93" w:rsidRDefault="003A0E93" w:rsidP="003A0E93">
      <w:pPr>
        <w:pStyle w:val="ATSHeading2"/>
      </w:pPr>
      <w:r>
        <w:t>Summary</w:t>
      </w:r>
    </w:p>
    <w:p w14:paraId="4A19F84C" w14:textId="77777777" w:rsidR="003A0E93" w:rsidRDefault="003A0E93" w:rsidP="003A0E93">
      <w:pPr>
        <w:pStyle w:val="ATSNormal"/>
        <w:rPr>
          <w:color w:val="000000" w:themeColor="text1"/>
        </w:rPr>
      </w:pPr>
      <w:r w:rsidRPr="005C40E8">
        <w:rPr>
          <w:color w:val="000000" w:themeColor="text1"/>
        </w:rPr>
        <w:t xml:space="preserve">The area surrounding </w:t>
      </w:r>
      <w:r>
        <w:rPr>
          <w:color w:val="000000" w:themeColor="text1"/>
        </w:rPr>
        <w:t xml:space="preserve">Palmer </w:t>
      </w:r>
      <w:r w:rsidRPr="005C40E8">
        <w:rPr>
          <w:color w:val="000000" w:themeColor="text1"/>
        </w:rPr>
        <w:t>Station was originally designated as Antarctic Spe</w:t>
      </w:r>
      <w:r>
        <w:rPr>
          <w:color w:val="000000" w:themeColor="text1"/>
        </w:rPr>
        <w:t>cially Managed Area (ASMA) No.7</w:t>
      </w:r>
      <w:r w:rsidRPr="005C40E8">
        <w:rPr>
          <w:color w:val="000000" w:themeColor="text1"/>
        </w:rPr>
        <w:t xml:space="preserve"> through Measure </w:t>
      </w:r>
      <w:r>
        <w:rPr>
          <w:color w:val="000000" w:themeColor="text1"/>
        </w:rPr>
        <w:t>1</w:t>
      </w:r>
      <w:r w:rsidRPr="005C40E8">
        <w:rPr>
          <w:color w:val="000000" w:themeColor="text1"/>
        </w:rPr>
        <w:t xml:space="preserve"> (200</w:t>
      </w:r>
      <w:r>
        <w:rPr>
          <w:color w:val="000000" w:themeColor="text1"/>
        </w:rPr>
        <w:t>8</w:t>
      </w:r>
      <w:r w:rsidRPr="005C40E8">
        <w:rPr>
          <w:color w:val="000000" w:themeColor="text1"/>
        </w:rPr>
        <w:t xml:space="preserve">) in order to </w:t>
      </w:r>
      <w:r>
        <w:rPr>
          <w:color w:val="000000" w:themeColor="text1"/>
        </w:rPr>
        <w:t>protect</w:t>
      </w:r>
      <w:r w:rsidRPr="005C40E8">
        <w:rPr>
          <w:color w:val="000000" w:themeColor="text1"/>
        </w:rPr>
        <w:t xml:space="preserve"> its </w:t>
      </w:r>
      <w:r>
        <w:rPr>
          <w:color w:val="000000" w:themeColor="text1"/>
        </w:rPr>
        <w:t>scientific</w:t>
      </w:r>
      <w:r w:rsidRPr="002E5CD6">
        <w:rPr>
          <w:color w:val="000000" w:themeColor="text1"/>
        </w:rPr>
        <w:t xml:space="preserve"> </w:t>
      </w:r>
      <w:r>
        <w:rPr>
          <w:color w:val="000000" w:themeColor="text1"/>
        </w:rPr>
        <w:t xml:space="preserve">and environmental </w:t>
      </w:r>
      <w:r w:rsidRPr="005C40E8">
        <w:rPr>
          <w:color w:val="000000" w:themeColor="text1"/>
        </w:rPr>
        <w:t>values</w:t>
      </w:r>
      <w:r>
        <w:rPr>
          <w:color w:val="000000" w:themeColor="text1"/>
        </w:rPr>
        <w:t>,</w:t>
      </w:r>
      <w:r w:rsidRPr="005C40E8">
        <w:rPr>
          <w:color w:val="000000" w:themeColor="text1"/>
        </w:rPr>
        <w:t xml:space="preserve"> and</w:t>
      </w:r>
      <w:r>
        <w:rPr>
          <w:color w:val="000000" w:themeColor="text1"/>
        </w:rPr>
        <w:t xml:space="preserve"> in view of</w:t>
      </w:r>
      <w:r w:rsidRPr="005C40E8">
        <w:rPr>
          <w:color w:val="000000" w:themeColor="text1"/>
        </w:rPr>
        <w:t xml:space="preserve"> the need to coordinate management of activities to ensure that these values can be sustained for the long-term. Since adoption</w:t>
      </w:r>
      <w:r>
        <w:rPr>
          <w:color w:val="000000" w:themeColor="text1"/>
        </w:rPr>
        <w:t xml:space="preserve">, the </w:t>
      </w:r>
      <w:r w:rsidRPr="005C40E8">
        <w:rPr>
          <w:color w:val="000000" w:themeColor="text1"/>
        </w:rPr>
        <w:t xml:space="preserve">Management </w:t>
      </w:r>
      <w:r>
        <w:rPr>
          <w:color w:val="000000" w:themeColor="text1"/>
        </w:rPr>
        <w:t>Plan was revised and adopted through Measure 2 (2009</w:t>
      </w:r>
      <w:r w:rsidRPr="005C40E8">
        <w:rPr>
          <w:color w:val="000000" w:themeColor="text1"/>
        </w:rPr>
        <w:t>)</w:t>
      </w:r>
      <w:r>
        <w:rPr>
          <w:color w:val="000000" w:themeColor="text1"/>
        </w:rPr>
        <w:t>, Measure 14 (2010</w:t>
      </w:r>
      <w:r w:rsidRPr="005C40E8">
        <w:rPr>
          <w:color w:val="000000" w:themeColor="text1"/>
        </w:rPr>
        <w:t>)</w:t>
      </w:r>
      <w:r>
        <w:rPr>
          <w:color w:val="000000" w:themeColor="text1"/>
        </w:rPr>
        <w:t>, and Measure 11 (2019). Recently the Rosenthal Islands Restricted Zone was adopted as ASPA No. 176 Rosenthal Islands through Measure 19 (2021).</w:t>
      </w:r>
    </w:p>
    <w:p w14:paraId="615745DD" w14:textId="77777777" w:rsidR="003A0E93" w:rsidRDefault="003A0E93" w:rsidP="003A0E93">
      <w:pPr>
        <w:pStyle w:val="ATSNormal"/>
        <w:rPr>
          <w:color w:val="000000" w:themeColor="text1"/>
        </w:rPr>
      </w:pPr>
      <w:r>
        <w:rPr>
          <w:color w:val="000000" w:themeColor="text1"/>
        </w:rPr>
        <w:t>The adoption of ASPA No.176 required de-designation of the Rosenthal Islands Restricted Zone and a number of changes to maps of the Area to reflect the changes in status. As such, the Rosenthal Islands have been removed from the list of Restricted Zones within the Area, and the maps have been updated to reflect designation of ASPA No.176. The former Map 19 of the Rosenthal Islands Restricted Zone has been deleted, and maps for the Rosenthal Islands are now available from the ASPA No.176 Rosenthal Islands management plan. This approach is consistent with the maps available for ASPA No.113 Litchfield Island and ASPA No.139 Biscoe Point, which also lie within the Area.</w:t>
      </w:r>
    </w:p>
    <w:p w14:paraId="6C200959" w14:textId="77777777" w:rsidR="003A0E93" w:rsidRDefault="003A0E93" w:rsidP="003A0E93">
      <w:pPr>
        <w:pStyle w:val="ATSNormal"/>
      </w:pPr>
      <w:r>
        <w:rPr>
          <w:spacing w:val="-3"/>
        </w:rPr>
        <w:t xml:space="preserve">For a number of years Torgersen Island has been divided into a Restricted Zone </w:t>
      </w:r>
      <w:r>
        <w:t xml:space="preserve">(researchers only) </w:t>
      </w:r>
      <w:r>
        <w:rPr>
          <w:spacing w:val="-3"/>
        </w:rPr>
        <w:t xml:space="preserve">and Visitor Zone </w:t>
      </w:r>
      <w:r>
        <w:t xml:space="preserve">(tourist and station personnel visitors plus researchers) </w:t>
      </w:r>
      <w:r>
        <w:rPr>
          <w:spacing w:val="-3"/>
        </w:rPr>
        <w:t>to enable comparisons of</w:t>
      </w:r>
      <w:r>
        <w:t xml:space="preserve"> Adélie penguin population trends between the two sides of the island.</w:t>
      </w:r>
      <w:r>
        <w:rPr>
          <w:spacing w:val="-3"/>
        </w:rPr>
        <w:t xml:space="preserve"> Studies suggested that the impacts of visits by tourists, station personnel, and scientists on breeding performance have been small compared to longer-term climate-related forcing factors (Fraser &amp; Patterson 1997, Emslie </w:t>
      </w:r>
      <w:r>
        <w:rPr>
          <w:i/>
          <w:spacing w:val="-3"/>
        </w:rPr>
        <w:t>et al.</w:t>
      </w:r>
      <w:r>
        <w:rPr>
          <w:spacing w:val="-3"/>
        </w:rPr>
        <w:t xml:space="preserve"> 1998, Patterson 2001). However, in recent years the number of </w:t>
      </w:r>
      <w:r>
        <w:t>breeding Adélie penguins within the Visitor Zone decreased more rapidly than within the Restricted Zone. The causes and mechanisms of this trend are complex and cannot necessarily be attributed to visitor impacts. Breeding groups are now so small that the site is no longer considered suitable for conducting population trend comparisons. However, the bird colonies on Torgersen Island remain the subject of on-going scientific study. Following consultations within the scientific community working at Palmer Station, it was decided to close the Visitor Zone and to extend the existing Torgersen Island Restricted Zone to cover the whole island.</w:t>
      </w:r>
      <w:r w:rsidRPr="00A87CC1">
        <w:t xml:space="preserve"> </w:t>
      </w:r>
    </w:p>
    <w:p w14:paraId="241381E9" w14:textId="77777777" w:rsidR="003A0E93" w:rsidRDefault="003A0E93" w:rsidP="003A0E93">
      <w:pPr>
        <w:pStyle w:val="ATSNormal"/>
        <w:rPr>
          <w:color w:val="000000" w:themeColor="text1"/>
        </w:rPr>
      </w:pPr>
      <w:r>
        <w:t xml:space="preserve">Because Torgersen Island was the only Visitor Zone within the Area and the United States has no intention of designating another Visitor Zone within the foreseeable future, the Visitor Zone is now considered redundant in Management Plan. As such, the Visitor Zone has </w:t>
      </w:r>
      <w:r w:rsidRPr="00A87CC1">
        <w:t>been removed from Section 6(ii) and Appendix E has been deleted</w:t>
      </w:r>
      <w:r>
        <w:t xml:space="preserve">, which </w:t>
      </w:r>
      <w:r w:rsidRPr="00A87CC1">
        <w:t xml:space="preserve">is in accordance with Section 6(ii) </w:t>
      </w:r>
      <w:r>
        <w:t xml:space="preserve">where it provides </w:t>
      </w:r>
      <w:r w:rsidRPr="00A87CC1">
        <w:t xml:space="preserve">that a zone </w:t>
      </w:r>
      <w:r>
        <w:t xml:space="preserve">type </w:t>
      </w:r>
      <w:r w:rsidRPr="00A87CC1">
        <w:t>no longer needed may be delisted</w:t>
      </w:r>
      <w:r>
        <w:t xml:space="preserve"> from the Management Plan.</w:t>
      </w:r>
    </w:p>
    <w:p w14:paraId="1B6B94C0" w14:textId="77777777" w:rsidR="003A0E93" w:rsidRDefault="003A0E93" w:rsidP="003A0E93">
      <w:pPr>
        <w:pStyle w:val="ATSNormal"/>
      </w:pPr>
      <w:r>
        <w:t>Recognizing that de-designation of the Torgersen Island Visitor Zone has implications for Non-Governmental Visitor groups, the United States consulted with IAATO on the changes proposed. IAATO recognized the importance of on-going scientific studies and supported the proposal to extend the Restricted Zone to apply to the whole island. Consistent with the scientific results, IAATO drew attention to the fact that the reasons for closure of the Visitor Zone were not related to impacts resulting from visits by tourists or station personnel. Rather, the zoning changes are based on a precautionary approach to site management because of population changes occurring more generally as a result of changes to climate and in local precipitation patterns.</w:t>
      </w:r>
    </w:p>
    <w:p w14:paraId="093639B5" w14:textId="77777777" w:rsidR="003A0E93" w:rsidRDefault="003A0E93" w:rsidP="003A0E93">
      <w:pPr>
        <w:pStyle w:val="ATSNormal"/>
      </w:pPr>
      <w:r>
        <w:t xml:space="preserve">A minor adjustment to the boundary of the Joubin Islands Restricted Zone has been made to include a 50 m buffer around the outermost islands in the group (see Map 18). Inclusion of the </w:t>
      </w:r>
      <w:r>
        <w:lastRenderedPageBreak/>
        <w:t>marine buffer has been made to be consistent with the boundaries of other Restricted Zones within the Area.</w:t>
      </w:r>
    </w:p>
    <w:p w14:paraId="005091D3" w14:textId="77777777" w:rsidR="003A0E93" w:rsidRDefault="003A0E93" w:rsidP="003A0E93">
      <w:pPr>
        <w:pStyle w:val="ATSNormal"/>
      </w:pPr>
      <w:r>
        <w:rPr>
          <w:color w:val="000000" w:themeColor="text1"/>
        </w:rPr>
        <w:t xml:space="preserve">These revisions have necessitated changes to the text and maps of the ASMA management plan, such that it was considered necessary to make a formal update to the ASMA in advance of the </w:t>
      </w:r>
      <w:r w:rsidRPr="00146ADB">
        <w:rPr>
          <w:color w:val="000000" w:themeColor="text1"/>
        </w:rPr>
        <w:t xml:space="preserve">next </w:t>
      </w:r>
      <w:r>
        <w:rPr>
          <w:color w:val="000000" w:themeColor="text1"/>
        </w:rPr>
        <w:t>formal management plan review, which falls due in 2024. The opportunity has been taken to include minor editorial corrections to the text of the plan and supporting materials. These</w:t>
      </w:r>
      <w:r w:rsidRPr="005C40E8">
        <w:rPr>
          <w:color w:val="000000" w:themeColor="text1"/>
        </w:rPr>
        <w:t xml:space="preserve"> updates </w:t>
      </w:r>
      <w:r>
        <w:rPr>
          <w:color w:val="000000" w:themeColor="text1"/>
        </w:rPr>
        <w:t xml:space="preserve">will </w:t>
      </w:r>
      <w:r w:rsidRPr="005C40E8">
        <w:rPr>
          <w:color w:val="000000" w:themeColor="text1"/>
        </w:rPr>
        <w:t xml:space="preserve">ensure that the latest policies agreed </w:t>
      </w:r>
      <w:r>
        <w:rPr>
          <w:color w:val="000000" w:themeColor="text1"/>
        </w:rPr>
        <w:t xml:space="preserve">are clear for those working within or visiting the Area. </w:t>
      </w:r>
      <w:r>
        <w:t>The proposed changes are considered minor.</w:t>
      </w:r>
    </w:p>
    <w:p w14:paraId="2DF7008E" w14:textId="77777777" w:rsidR="003A0E93" w:rsidRDefault="003A0E93" w:rsidP="003A0E93">
      <w:pPr>
        <w:pStyle w:val="ATSNormal"/>
      </w:pPr>
      <w:r>
        <w:t>With de-designation of the Torgersen Island Visitor Zone, and re-designation of the whole of Torgersen Island as a Restricted Zone, it is no longer appropriate that Visitor Site Guidelines apply at Torgersen Island. The United States therefore proposes that Visitor Site Guidelines No.26 Torgersen Island, Arthur Harbor, be de-designated and removed from the list of Visitor Site Guidelines maintained by the Antarctic Treaty Secretariat.</w:t>
      </w:r>
    </w:p>
    <w:p w14:paraId="77DD0434" w14:textId="77777777" w:rsidR="003A0E93" w:rsidRDefault="003A0E93" w:rsidP="003A0E93">
      <w:pPr>
        <w:pStyle w:val="ATSHeading2"/>
      </w:pPr>
      <w:r>
        <w:t>Recommendations</w:t>
      </w:r>
    </w:p>
    <w:p w14:paraId="74F72517" w14:textId="77777777" w:rsidR="003A0E93" w:rsidRDefault="003A0E93" w:rsidP="003A0E93">
      <w:pPr>
        <w:pStyle w:val="ATSNormal"/>
        <w:numPr>
          <w:ilvl w:val="0"/>
          <w:numId w:val="23"/>
        </w:numPr>
      </w:pPr>
      <w:r w:rsidRPr="002453EC">
        <w:t xml:space="preserve">The revised Management Plan </w:t>
      </w:r>
      <w:r>
        <w:t>and maps for ASMA No.7 Southwest Anvers Island and Palmer Basin are</w:t>
      </w:r>
      <w:r w:rsidRPr="002453EC">
        <w:t xml:space="preserve"> attached for consideration by the Committee for Environmental Protection</w:t>
      </w:r>
      <w:r>
        <w:t xml:space="preserve"> (CEP) for recommendation for adoption by the Antarctic Treaty Consultative Meeting (ATCM)</w:t>
      </w:r>
      <w:r w:rsidRPr="002453EC">
        <w:t>.</w:t>
      </w:r>
    </w:p>
    <w:p w14:paraId="4856DA44" w14:textId="77777777" w:rsidR="003A0E93" w:rsidRDefault="003A0E93" w:rsidP="003A0E93">
      <w:pPr>
        <w:pStyle w:val="ATSNormal"/>
        <w:numPr>
          <w:ilvl w:val="0"/>
          <w:numId w:val="23"/>
        </w:numPr>
      </w:pPr>
      <w:r>
        <w:t>Visitor Site Guidelines No.26 Torgersen Island, Arthur Harbor, be considered by the CEP for recommendation for de-designation by the ATCM, and that this site be removed from the list of Visitor Site Guidelines maintained by the Antarctic Treaty Secretariat.</w:t>
      </w:r>
    </w:p>
    <w:p w14:paraId="5FBE3923" w14:textId="77777777" w:rsidR="003A0E93" w:rsidRDefault="003A0E93" w:rsidP="00952E9F"/>
    <w:sectPr w:rsidR="003A0E93" w:rsidSect="00BC6B74">
      <w:headerReference w:type="default" r:id="rId14"/>
      <w:footerReference w:type="default" r:id="rId15"/>
      <w:type w:val="oddPage"/>
      <w:pgSz w:w="11907" w:h="16840" w:code="9"/>
      <w:pgMar w:top="773"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2576E" w14:textId="77777777" w:rsidR="00895FF7" w:rsidRDefault="00873BA8">
      <w:r>
        <w:separator/>
      </w:r>
    </w:p>
  </w:endnote>
  <w:endnote w:type="continuationSeparator" w:id="0">
    <w:p w14:paraId="6E463BC0" w14:textId="77777777" w:rsidR="00895FF7" w:rsidRDefault="0087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F2444" w14:textId="77777777" w:rsidR="00FA0B9F" w:rsidRDefault="00873BA8" w:rsidP="00CF5C82">
    <w:pPr>
      <w:framePr w:wrap="around" w:vAnchor="text" w:hAnchor="margin" w:xAlign="right" w:y="1"/>
    </w:pPr>
    <w:r>
      <w:fldChar w:fldCharType="begin"/>
    </w:r>
    <w:r>
      <w:instrText xml:space="preserve">PAGE  </w:instrText>
    </w:r>
    <w:r w:rsidR="00B11097">
      <w:fldChar w:fldCharType="separate"/>
    </w:r>
    <w:r>
      <w:fldChar w:fldCharType="end"/>
    </w:r>
  </w:p>
  <w:p w14:paraId="553F262F" w14:textId="77777777" w:rsidR="00FA0B9F" w:rsidRDefault="00B1109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6AE7A" w14:textId="77777777" w:rsidR="001249C4" w:rsidRDefault="00873BA8" w:rsidP="00FA0B9F">
    <w:pPr>
      <w:ind w:right="360"/>
    </w:pPr>
    <w:r>
      <w:t xml:space="preserve">Attachments: </w:t>
    </w:r>
    <w:r w:rsidR="001249C4">
      <w:t>atcm44_att002_e: ASMA 7 Revised Management Plan</w:t>
    </w:r>
  </w:p>
  <w:p w14:paraId="513E6112" w14:textId="587B9CC5" w:rsidR="00FA0B9F" w:rsidRDefault="001249C4" w:rsidP="00FA0B9F">
    <w:pPr>
      <w:ind w:right="360"/>
    </w:pPr>
    <w:r>
      <w:t>Atcm44_att003_e to atcm44_att02</w:t>
    </w:r>
    <w:r w:rsidR="00B11097">
      <w:t>0</w:t>
    </w:r>
    <w:r>
      <w:t xml:space="preserve">_e: </w:t>
    </w:r>
    <w:r w:rsidR="003A0E93">
      <w:t>ASMA 7 Map 1 to 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86EF" w14:textId="77777777" w:rsidR="003A0E93" w:rsidRDefault="003A0E9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0732" w14:textId="77777777" w:rsidR="00E311C9" w:rsidRDefault="00873BA8" w:rsidP="009F01E8">
    <w:pPr>
      <w:framePr w:wrap="around" w:vAnchor="text" w:hAnchor="margin" w:xAlign="center" w:y="1"/>
    </w:pPr>
    <w:r>
      <w:fldChar w:fldCharType="begin"/>
    </w:r>
    <w:r>
      <w:instrText xml:space="preserve">PAGE  </w:instrText>
    </w:r>
    <w:r>
      <w:fldChar w:fldCharType="separate"/>
    </w:r>
    <w:r>
      <w:rPr>
        <w:noProof/>
      </w:rPr>
      <w:t>3</w:t>
    </w:r>
    <w:r>
      <w:fldChar w:fldCharType="end"/>
    </w:r>
  </w:p>
  <w:p w14:paraId="27B9DE96" w14:textId="77777777" w:rsidR="00E311C9" w:rsidRDefault="00B1109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88F65" w14:textId="77777777" w:rsidR="00895FF7" w:rsidRDefault="00873BA8">
      <w:r>
        <w:separator/>
      </w:r>
    </w:p>
  </w:footnote>
  <w:footnote w:type="continuationSeparator" w:id="0">
    <w:p w14:paraId="2F95273E" w14:textId="77777777" w:rsidR="00895FF7" w:rsidRDefault="00873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57C8F" w14:textId="77777777" w:rsidR="003A0E93" w:rsidRDefault="003A0E9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2869"/>
      <w:gridCol w:w="1384"/>
      <w:gridCol w:w="1134"/>
      <w:gridCol w:w="390"/>
    </w:tblGrid>
    <w:tr w:rsidR="00636568" w14:paraId="47DB1FD7" w14:textId="77777777" w:rsidTr="00490760">
      <w:trPr>
        <w:trHeight w:val="344"/>
        <w:jc w:val="center"/>
      </w:trPr>
      <w:tc>
        <w:tcPr>
          <w:tcW w:w="5495" w:type="dxa"/>
        </w:tcPr>
        <w:p w14:paraId="11C6D9CE" w14:textId="77777777" w:rsidR="00DB7C09" w:rsidRDefault="00B11097" w:rsidP="00F968D4"/>
      </w:tc>
      <w:tc>
        <w:tcPr>
          <w:tcW w:w="4253" w:type="dxa"/>
          <w:gridSpan w:val="2"/>
        </w:tcPr>
        <w:p w14:paraId="149E8091" w14:textId="77777777" w:rsidR="00DB7C09" w:rsidRPr="00BD47E4" w:rsidRDefault="00873BA8" w:rsidP="002A07BC">
          <w:pPr>
            <w:jc w:val="right"/>
            <w:rPr>
              <w:b/>
              <w:sz w:val="32"/>
              <w:szCs w:val="32"/>
            </w:rPr>
          </w:pPr>
          <w:bookmarkStart w:id="2" w:name="type"/>
          <w:r w:rsidRPr="00BD47E4">
            <w:rPr>
              <w:b/>
              <w:sz w:val="32"/>
              <w:szCs w:val="32"/>
            </w:rPr>
            <w:t>WP</w:t>
          </w:r>
          <w:bookmarkEnd w:id="2"/>
        </w:p>
      </w:tc>
      <w:tc>
        <w:tcPr>
          <w:tcW w:w="1524" w:type="dxa"/>
          <w:gridSpan w:val="2"/>
        </w:tcPr>
        <w:p w14:paraId="1FB6EE27" w14:textId="77777777" w:rsidR="00DB7C09" w:rsidRPr="00BD47E4" w:rsidRDefault="00873BA8" w:rsidP="00DB7C09">
          <w:pPr>
            <w:rPr>
              <w:b/>
              <w:sz w:val="32"/>
              <w:szCs w:val="32"/>
            </w:rPr>
          </w:pPr>
          <w:bookmarkStart w:id="3" w:name="number"/>
          <w:r w:rsidRPr="00BD47E4">
            <w:rPr>
              <w:b/>
              <w:sz w:val="32"/>
              <w:szCs w:val="32"/>
            </w:rPr>
            <w:t>1</w:t>
          </w:r>
          <w:bookmarkEnd w:id="3"/>
        </w:p>
      </w:tc>
    </w:tr>
    <w:tr w:rsidR="00636568" w14:paraId="1EDE6D8A" w14:textId="77777777" w:rsidTr="00490760">
      <w:trPr>
        <w:trHeight w:val="2165"/>
        <w:jc w:val="center"/>
      </w:trPr>
      <w:tc>
        <w:tcPr>
          <w:tcW w:w="5495" w:type="dxa"/>
        </w:tcPr>
        <w:p w14:paraId="3C61547F" w14:textId="77777777" w:rsidR="00490760" w:rsidRPr="00EE4D48" w:rsidRDefault="00873BA8" w:rsidP="002A07BC">
          <w:pPr>
            <w:rPr>
              <w:b/>
              <w:sz w:val="28"/>
              <w:szCs w:val="28"/>
            </w:rPr>
          </w:pPr>
          <w:r>
            <w:rPr>
              <w:b/>
              <w:noProof/>
              <w:sz w:val="28"/>
              <w:szCs w:val="28"/>
            </w:rPr>
            <w:drawing>
              <wp:inline distT="0" distB="0" distL="0" distR="0" wp14:anchorId="3963F6A8" wp14:editId="4AFA66BE">
                <wp:extent cx="2519916" cy="1439952"/>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566903" cy="1466802"/>
                        </a:xfrm>
                        <a:prstGeom prst="rect">
                          <a:avLst/>
                        </a:prstGeom>
                      </pic:spPr>
                    </pic:pic>
                  </a:graphicData>
                </a:graphic>
              </wp:inline>
            </w:drawing>
          </w:r>
        </w:p>
      </w:tc>
      <w:tc>
        <w:tcPr>
          <w:tcW w:w="5777" w:type="dxa"/>
          <w:gridSpan w:val="4"/>
          <w:vAlign w:val="center"/>
        </w:tcPr>
        <w:p w14:paraId="7CF35A5C" w14:textId="77777777" w:rsidR="00490760" w:rsidRPr="00FE5146" w:rsidRDefault="00873BA8" w:rsidP="00490760">
          <w:pPr>
            <w:jc w:val="right"/>
            <w:rPr>
              <w:sz w:val="144"/>
              <w:szCs w:val="144"/>
            </w:rPr>
          </w:pPr>
          <w:r w:rsidRPr="00FE5146">
            <w:rPr>
              <w:sz w:val="144"/>
              <w:szCs w:val="144"/>
            </w:rPr>
            <w:t>ENG</w:t>
          </w:r>
        </w:p>
      </w:tc>
    </w:tr>
    <w:tr w:rsidR="00636568" w14:paraId="40E2C328" w14:textId="77777777" w:rsidTr="00B95965">
      <w:trPr>
        <w:trHeight w:val="409"/>
        <w:jc w:val="center"/>
      </w:trPr>
      <w:tc>
        <w:tcPr>
          <w:tcW w:w="8364" w:type="dxa"/>
          <w:gridSpan w:val="2"/>
        </w:tcPr>
        <w:p w14:paraId="561D132F" w14:textId="77777777" w:rsidR="00BD47E4" w:rsidRDefault="00873BA8" w:rsidP="002C30DA">
          <w:pPr>
            <w:jc w:val="right"/>
          </w:pPr>
          <w:r>
            <w:t>Agenda Item:</w:t>
          </w:r>
        </w:p>
      </w:tc>
      <w:tc>
        <w:tcPr>
          <w:tcW w:w="2518" w:type="dxa"/>
          <w:gridSpan w:val="2"/>
        </w:tcPr>
        <w:p w14:paraId="3475D9ED" w14:textId="77777777" w:rsidR="00BD47E4" w:rsidRDefault="00873BA8" w:rsidP="002C30DA">
          <w:pPr>
            <w:jc w:val="right"/>
          </w:pPr>
          <w:bookmarkStart w:id="4" w:name="agenda"/>
          <w:r>
            <w:t>CEP 9a</w:t>
          </w:r>
          <w:bookmarkEnd w:id="4"/>
        </w:p>
      </w:tc>
      <w:tc>
        <w:tcPr>
          <w:tcW w:w="390" w:type="dxa"/>
        </w:tcPr>
        <w:p w14:paraId="2836297F" w14:textId="77777777" w:rsidR="00BD47E4" w:rsidRDefault="00B11097" w:rsidP="00387A65">
          <w:pPr>
            <w:jc w:val="right"/>
          </w:pPr>
        </w:p>
      </w:tc>
    </w:tr>
    <w:tr w:rsidR="00636568" w14:paraId="51BC6EFB" w14:textId="77777777" w:rsidTr="00B95965">
      <w:trPr>
        <w:trHeight w:val="397"/>
        <w:jc w:val="center"/>
      </w:trPr>
      <w:tc>
        <w:tcPr>
          <w:tcW w:w="8364" w:type="dxa"/>
          <w:gridSpan w:val="2"/>
        </w:tcPr>
        <w:p w14:paraId="56659D16" w14:textId="77777777" w:rsidR="00BD47E4" w:rsidRDefault="00873BA8" w:rsidP="002C30DA">
          <w:pPr>
            <w:jc w:val="right"/>
          </w:pPr>
          <w:r>
            <w:t>Presented by:</w:t>
          </w:r>
        </w:p>
      </w:tc>
      <w:tc>
        <w:tcPr>
          <w:tcW w:w="2518" w:type="dxa"/>
          <w:gridSpan w:val="2"/>
        </w:tcPr>
        <w:p w14:paraId="134840BE" w14:textId="77777777" w:rsidR="00BD47E4" w:rsidRDefault="00873BA8" w:rsidP="002C30DA">
          <w:pPr>
            <w:jc w:val="right"/>
          </w:pPr>
          <w:bookmarkStart w:id="5" w:name="party"/>
          <w:r>
            <w:t>United States</w:t>
          </w:r>
          <w:bookmarkEnd w:id="5"/>
        </w:p>
      </w:tc>
      <w:tc>
        <w:tcPr>
          <w:tcW w:w="390" w:type="dxa"/>
        </w:tcPr>
        <w:p w14:paraId="55E87424" w14:textId="77777777" w:rsidR="00BD47E4" w:rsidRDefault="00B11097" w:rsidP="00387A65">
          <w:pPr>
            <w:jc w:val="right"/>
          </w:pPr>
        </w:p>
      </w:tc>
    </w:tr>
    <w:tr w:rsidR="00636568" w14:paraId="2CF50FF7" w14:textId="77777777" w:rsidTr="00B95965">
      <w:trPr>
        <w:trHeight w:val="409"/>
        <w:jc w:val="center"/>
      </w:trPr>
      <w:tc>
        <w:tcPr>
          <w:tcW w:w="8364" w:type="dxa"/>
          <w:gridSpan w:val="2"/>
        </w:tcPr>
        <w:p w14:paraId="44FA6E39" w14:textId="77777777" w:rsidR="00BD47E4" w:rsidRDefault="00873BA8" w:rsidP="002C30DA">
          <w:pPr>
            <w:jc w:val="right"/>
          </w:pPr>
          <w:r>
            <w:t>Original:</w:t>
          </w:r>
        </w:p>
      </w:tc>
      <w:tc>
        <w:tcPr>
          <w:tcW w:w="2518" w:type="dxa"/>
          <w:gridSpan w:val="2"/>
        </w:tcPr>
        <w:p w14:paraId="56634EC8" w14:textId="77777777" w:rsidR="00BD47E4" w:rsidRDefault="00873BA8" w:rsidP="002C30DA">
          <w:pPr>
            <w:jc w:val="right"/>
          </w:pPr>
          <w:bookmarkStart w:id="6" w:name="language"/>
          <w:r>
            <w:t>English</w:t>
          </w:r>
          <w:bookmarkEnd w:id="6"/>
        </w:p>
      </w:tc>
      <w:tc>
        <w:tcPr>
          <w:tcW w:w="390" w:type="dxa"/>
        </w:tcPr>
        <w:p w14:paraId="3AD232D6" w14:textId="77777777" w:rsidR="00BD47E4" w:rsidRDefault="00B11097" w:rsidP="00387A65">
          <w:pPr>
            <w:jc w:val="right"/>
          </w:pPr>
        </w:p>
      </w:tc>
    </w:tr>
    <w:tr w:rsidR="00636568" w14:paraId="741AC7AA" w14:textId="77777777" w:rsidTr="00B95965">
      <w:trPr>
        <w:trHeight w:val="409"/>
        <w:jc w:val="center"/>
      </w:trPr>
      <w:tc>
        <w:tcPr>
          <w:tcW w:w="8364" w:type="dxa"/>
          <w:gridSpan w:val="2"/>
        </w:tcPr>
        <w:p w14:paraId="50723080" w14:textId="77777777" w:rsidR="0097629D" w:rsidRDefault="00873BA8" w:rsidP="002C30DA">
          <w:pPr>
            <w:jc w:val="right"/>
          </w:pPr>
          <w:r>
            <w:t>Submitted:</w:t>
          </w:r>
        </w:p>
      </w:tc>
      <w:tc>
        <w:tcPr>
          <w:tcW w:w="2518" w:type="dxa"/>
          <w:gridSpan w:val="2"/>
        </w:tcPr>
        <w:p w14:paraId="47BB7A10" w14:textId="77777777" w:rsidR="0097629D" w:rsidRDefault="00873BA8" w:rsidP="0097629D">
          <w:pPr>
            <w:jc w:val="right"/>
          </w:pPr>
          <w:bookmarkStart w:id="7" w:name="date_submission"/>
          <w:r>
            <w:t>1/4/2022</w:t>
          </w:r>
          <w:bookmarkEnd w:id="7"/>
        </w:p>
      </w:tc>
      <w:tc>
        <w:tcPr>
          <w:tcW w:w="390" w:type="dxa"/>
        </w:tcPr>
        <w:p w14:paraId="7E46904D" w14:textId="77777777" w:rsidR="0097629D" w:rsidRDefault="00B11097" w:rsidP="00387A65">
          <w:pPr>
            <w:jc w:val="right"/>
          </w:pPr>
        </w:p>
      </w:tc>
    </w:tr>
  </w:tbl>
  <w:p w14:paraId="426AC1F7" w14:textId="77777777" w:rsidR="00AE5DD0" w:rsidRDefault="00B110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56FE3" w14:textId="77777777" w:rsidR="003A0E93" w:rsidRDefault="003A0E9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658" w:type="dxa"/>
      <w:tblInd w:w="7366" w:type="dxa"/>
      <w:tblLayout w:type="fixed"/>
      <w:tblLook w:val="01E0" w:firstRow="1" w:lastRow="1" w:firstColumn="1" w:lastColumn="1" w:noHBand="0" w:noVBand="0"/>
    </w:tblPr>
    <w:tblGrid>
      <w:gridCol w:w="993"/>
      <w:gridCol w:w="665"/>
    </w:tblGrid>
    <w:tr w:rsidR="00636568" w14:paraId="498CFACD" w14:textId="77777777" w:rsidTr="003A0E93">
      <w:trPr>
        <w:trHeight w:val="354"/>
      </w:trPr>
      <w:tc>
        <w:tcPr>
          <w:tcW w:w="993" w:type="dxa"/>
        </w:tcPr>
        <w:p w14:paraId="37F6DF11" w14:textId="56689B05" w:rsidR="00AE5DD0" w:rsidRPr="00BD47E4" w:rsidRDefault="003A0E93" w:rsidP="003A0E93">
          <w:pPr>
            <w:tabs>
              <w:tab w:val="left" w:pos="1453"/>
            </w:tabs>
            <w:jc w:val="right"/>
            <w:rPr>
              <w:b/>
              <w:sz w:val="32"/>
              <w:szCs w:val="32"/>
            </w:rPr>
          </w:pPr>
          <w:r>
            <w:rPr>
              <w:b/>
              <w:sz w:val="32"/>
              <w:szCs w:val="32"/>
            </w:rPr>
            <w:t>WP</w:t>
          </w:r>
        </w:p>
      </w:tc>
      <w:tc>
        <w:tcPr>
          <w:tcW w:w="665" w:type="dxa"/>
        </w:tcPr>
        <w:p w14:paraId="14D8504B" w14:textId="6B169B0F" w:rsidR="00AE5DD0" w:rsidRPr="00BD47E4" w:rsidRDefault="003A0E93" w:rsidP="00080F4C">
          <w:pPr>
            <w:rPr>
              <w:b/>
              <w:sz w:val="32"/>
              <w:szCs w:val="32"/>
            </w:rPr>
          </w:pPr>
          <w:r>
            <w:rPr>
              <w:b/>
              <w:sz w:val="32"/>
              <w:szCs w:val="32"/>
            </w:rPr>
            <w:t>1</w:t>
          </w:r>
        </w:p>
      </w:tc>
    </w:tr>
  </w:tbl>
  <w:p w14:paraId="407E7519" w14:textId="77777777" w:rsidR="00AE5DD0" w:rsidRDefault="00B110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58A71AA">
      <w:start w:val="1"/>
      <w:numFmt w:val="bullet"/>
      <w:pStyle w:val="ATSBullet1"/>
      <w:lvlText w:val=""/>
      <w:lvlJc w:val="left"/>
      <w:pPr>
        <w:tabs>
          <w:tab w:val="num" w:pos="360"/>
        </w:tabs>
        <w:ind w:left="360" w:hanging="360"/>
      </w:pPr>
      <w:rPr>
        <w:rFonts w:ascii="Symbol" w:hAnsi="Symbol" w:hint="default"/>
        <w:color w:val="auto"/>
      </w:rPr>
    </w:lvl>
    <w:lvl w:ilvl="1" w:tplc="F154D506" w:tentative="1">
      <w:start w:val="1"/>
      <w:numFmt w:val="bullet"/>
      <w:lvlText w:val="o"/>
      <w:lvlJc w:val="left"/>
      <w:pPr>
        <w:tabs>
          <w:tab w:val="num" w:pos="1440"/>
        </w:tabs>
        <w:ind w:left="1440" w:hanging="360"/>
      </w:pPr>
      <w:rPr>
        <w:rFonts w:ascii="Courier New" w:hAnsi="Courier New" w:cs="Courier New" w:hint="default"/>
      </w:rPr>
    </w:lvl>
    <w:lvl w:ilvl="2" w:tplc="EAC2D6D6" w:tentative="1">
      <w:start w:val="1"/>
      <w:numFmt w:val="bullet"/>
      <w:lvlText w:val=""/>
      <w:lvlJc w:val="left"/>
      <w:pPr>
        <w:tabs>
          <w:tab w:val="num" w:pos="2160"/>
        </w:tabs>
        <w:ind w:left="2160" w:hanging="360"/>
      </w:pPr>
      <w:rPr>
        <w:rFonts w:ascii="Wingdings" w:hAnsi="Wingdings" w:hint="default"/>
      </w:rPr>
    </w:lvl>
    <w:lvl w:ilvl="3" w:tplc="591A9C64" w:tentative="1">
      <w:start w:val="1"/>
      <w:numFmt w:val="bullet"/>
      <w:lvlText w:val=""/>
      <w:lvlJc w:val="left"/>
      <w:pPr>
        <w:tabs>
          <w:tab w:val="num" w:pos="2880"/>
        </w:tabs>
        <w:ind w:left="2880" w:hanging="360"/>
      </w:pPr>
      <w:rPr>
        <w:rFonts w:ascii="Symbol" w:hAnsi="Symbol" w:hint="default"/>
      </w:rPr>
    </w:lvl>
    <w:lvl w:ilvl="4" w:tplc="3A16A870" w:tentative="1">
      <w:start w:val="1"/>
      <w:numFmt w:val="bullet"/>
      <w:lvlText w:val="o"/>
      <w:lvlJc w:val="left"/>
      <w:pPr>
        <w:tabs>
          <w:tab w:val="num" w:pos="3600"/>
        </w:tabs>
        <w:ind w:left="3600" w:hanging="360"/>
      </w:pPr>
      <w:rPr>
        <w:rFonts w:ascii="Courier New" w:hAnsi="Courier New" w:cs="Courier New" w:hint="default"/>
      </w:rPr>
    </w:lvl>
    <w:lvl w:ilvl="5" w:tplc="726E3E8E" w:tentative="1">
      <w:start w:val="1"/>
      <w:numFmt w:val="bullet"/>
      <w:lvlText w:val=""/>
      <w:lvlJc w:val="left"/>
      <w:pPr>
        <w:tabs>
          <w:tab w:val="num" w:pos="4320"/>
        </w:tabs>
        <w:ind w:left="4320" w:hanging="360"/>
      </w:pPr>
      <w:rPr>
        <w:rFonts w:ascii="Wingdings" w:hAnsi="Wingdings" w:hint="default"/>
      </w:rPr>
    </w:lvl>
    <w:lvl w:ilvl="6" w:tplc="2616A226" w:tentative="1">
      <w:start w:val="1"/>
      <w:numFmt w:val="bullet"/>
      <w:lvlText w:val=""/>
      <w:lvlJc w:val="left"/>
      <w:pPr>
        <w:tabs>
          <w:tab w:val="num" w:pos="5040"/>
        </w:tabs>
        <w:ind w:left="5040" w:hanging="360"/>
      </w:pPr>
      <w:rPr>
        <w:rFonts w:ascii="Symbol" w:hAnsi="Symbol" w:hint="default"/>
      </w:rPr>
    </w:lvl>
    <w:lvl w:ilvl="7" w:tplc="284AF608" w:tentative="1">
      <w:start w:val="1"/>
      <w:numFmt w:val="bullet"/>
      <w:lvlText w:val="o"/>
      <w:lvlJc w:val="left"/>
      <w:pPr>
        <w:tabs>
          <w:tab w:val="num" w:pos="5760"/>
        </w:tabs>
        <w:ind w:left="5760" w:hanging="360"/>
      </w:pPr>
      <w:rPr>
        <w:rFonts w:ascii="Courier New" w:hAnsi="Courier New" w:cs="Courier New" w:hint="default"/>
      </w:rPr>
    </w:lvl>
    <w:lvl w:ilvl="8" w:tplc="3FE48B8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ED6199"/>
    <w:multiLevelType w:val="hybridMultilevel"/>
    <w:tmpl w:val="EC8C5B6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49D35C15"/>
    <w:multiLevelType w:val="hybridMultilevel"/>
    <w:tmpl w:val="A8A2E45C"/>
    <w:lvl w:ilvl="0" w:tplc="880A79C6">
      <w:start w:val="1"/>
      <w:numFmt w:val="decimal"/>
      <w:lvlText w:val="%1)"/>
      <w:lvlJc w:val="left"/>
      <w:pPr>
        <w:tabs>
          <w:tab w:val="num" w:pos="340"/>
        </w:tabs>
        <w:ind w:left="340" w:hanging="340"/>
      </w:pPr>
      <w:rPr>
        <w:rFonts w:hint="default"/>
      </w:rPr>
    </w:lvl>
    <w:lvl w:ilvl="1" w:tplc="1FD48CB4" w:tentative="1">
      <w:start w:val="1"/>
      <w:numFmt w:val="lowerLetter"/>
      <w:lvlText w:val="%2."/>
      <w:lvlJc w:val="left"/>
      <w:pPr>
        <w:tabs>
          <w:tab w:val="num" w:pos="1440"/>
        </w:tabs>
        <w:ind w:left="1440" w:hanging="360"/>
      </w:pPr>
    </w:lvl>
    <w:lvl w:ilvl="2" w:tplc="3D0668B2" w:tentative="1">
      <w:start w:val="1"/>
      <w:numFmt w:val="lowerRoman"/>
      <w:lvlText w:val="%3."/>
      <w:lvlJc w:val="right"/>
      <w:pPr>
        <w:tabs>
          <w:tab w:val="num" w:pos="2160"/>
        </w:tabs>
        <w:ind w:left="2160" w:hanging="180"/>
      </w:pPr>
    </w:lvl>
    <w:lvl w:ilvl="3" w:tplc="14B2639C" w:tentative="1">
      <w:start w:val="1"/>
      <w:numFmt w:val="decimal"/>
      <w:lvlText w:val="%4."/>
      <w:lvlJc w:val="left"/>
      <w:pPr>
        <w:tabs>
          <w:tab w:val="num" w:pos="2880"/>
        </w:tabs>
        <w:ind w:left="2880" w:hanging="360"/>
      </w:pPr>
    </w:lvl>
    <w:lvl w:ilvl="4" w:tplc="BBB20D78" w:tentative="1">
      <w:start w:val="1"/>
      <w:numFmt w:val="lowerLetter"/>
      <w:lvlText w:val="%5."/>
      <w:lvlJc w:val="left"/>
      <w:pPr>
        <w:tabs>
          <w:tab w:val="num" w:pos="3600"/>
        </w:tabs>
        <w:ind w:left="3600" w:hanging="360"/>
      </w:pPr>
    </w:lvl>
    <w:lvl w:ilvl="5" w:tplc="23CC9414" w:tentative="1">
      <w:start w:val="1"/>
      <w:numFmt w:val="lowerRoman"/>
      <w:lvlText w:val="%6."/>
      <w:lvlJc w:val="right"/>
      <w:pPr>
        <w:tabs>
          <w:tab w:val="num" w:pos="4320"/>
        </w:tabs>
        <w:ind w:left="4320" w:hanging="180"/>
      </w:pPr>
    </w:lvl>
    <w:lvl w:ilvl="6" w:tplc="6A082052" w:tentative="1">
      <w:start w:val="1"/>
      <w:numFmt w:val="decimal"/>
      <w:lvlText w:val="%7."/>
      <w:lvlJc w:val="left"/>
      <w:pPr>
        <w:tabs>
          <w:tab w:val="num" w:pos="5040"/>
        </w:tabs>
        <w:ind w:left="5040" w:hanging="360"/>
      </w:pPr>
    </w:lvl>
    <w:lvl w:ilvl="7" w:tplc="30021DA6" w:tentative="1">
      <w:start w:val="1"/>
      <w:numFmt w:val="lowerLetter"/>
      <w:lvlText w:val="%8."/>
      <w:lvlJc w:val="left"/>
      <w:pPr>
        <w:tabs>
          <w:tab w:val="num" w:pos="5760"/>
        </w:tabs>
        <w:ind w:left="5760" w:hanging="360"/>
      </w:pPr>
    </w:lvl>
    <w:lvl w:ilvl="8" w:tplc="EFA8C624" w:tentative="1">
      <w:start w:val="1"/>
      <w:numFmt w:val="lowerRoman"/>
      <w:lvlText w:val="%9."/>
      <w:lvlJc w:val="right"/>
      <w:pPr>
        <w:tabs>
          <w:tab w:val="num" w:pos="6480"/>
        </w:tabs>
        <w:ind w:left="6480" w:hanging="180"/>
      </w:pPr>
    </w:lvl>
  </w:abstractNum>
  <w:abstractNum w:abstractNumId="14" w15:restartNumberingAfterBreak="0">
    <w:nsid w:val="52CF216B"/>
    <w:multiLevelType w:val="hybridMultilevel"/>
    <w:tmpl w:val="9B767F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2F3AFA"/>
    <w:multiLevelType w:val="hybridMultilevel"/>
    <w:tmpl w:val="9DF09BE6"/>
    <w:lvl w:ilvl="0" w:tplc="030C5560">
      <w:start w:val="1"/>
      <w:numFmt w:val="decimal"/>
      <w:lvlText w:val="%1."/>
      <w:lvlJc w:val="left"/>
      <w:pPr>
        <w:tabs>
          <w:tab w:val="num" w:pos="1057"/>
        </w:tabs>
        <w:ind w:left="1057" w:hanging="360"/>
      </w:pPr>
      <w:rPr>
        <w:rFonts w:hint="default"/>
      </w:rPr>
    </w:lvl>
    <w:lvl w:ilvl="1" w:tplc="B73884D6" w:tentative="1">
      <w:start w:val="1"/>
      <w:numFmt w:val="lowerLetter"/>
      <w:lvlText w:val="%2."/>
      <w:lvlJc w:val="left"/>
      <w:pPr>
        <w:tabs>
          <w:tab w:val="num" w:pos="2137"/>
        </w:tabs>
        <w:ind w:left="2137" w:hanging="360"/>
      </w:pPr>
    </w:lvl>
    <w:lvl w:ilvl="2" w:tplc="8E4805D6" w:tentative="1">
      <w:start w:val="1"/>
      <w:numFmt w:val="lowerRoman"/>
      <w:lvlText w:val="%3."/>
      <w:lvlJc w:val="right"/>
      <w:pPr>
        <w:tabs>
          <w:tab w:val="num" w:pos="2857"/>
        </w:tabs>
        <w:ind w:left="2857" w:hanging="180"/>
      </w:pPr>
    </w:lvl>
    <w:lvl w:ilvl="3" w:tplc="54500C50" w:tentative="1">
      <w:start w:val="1"/>
      <w:numFmt w:val="decimal"/>
      <w:lvlText w:val="%4."/>
      <w:lvlJc w:val="left"/>
      <w:pPr>
        <w:tabs>
          <w:tab w:val="num" w:pos="3577"/>
        </w:tabs>
        <w:ind w:left="3577" w:hanging="360"/>
      </w:pPr>
    </w:lvl>
    <w:lvl w:ilvl="4" w:tplc="B90CA1E8" w:tentative="1">
      <w:start w:val="1"/>
      <w:numFmt w:val="lowerLetter"/>
      <w:lvlText w:val="%5."/>
      <w:lvlJc w:val="left"/>
      <w:pPr>
        <w:tabs>
          <w:tab w:val="num" w:pos="4297"/>
        </w:tabs>
        <w:ind w:left="4297" w:hanging="360"/>
      </w:pPr>
    </w:lvl>
    <w:lvl w:ilvl="5" w:tplc="A9D00D06" w:tentative="1">
      <w:start w:val="1"/>
      <w:numFmt w:val="lowerRoman"/>
      <w:lvlText w:val="%6."/>
      <w:lvlJc w:val="right"/>
      <w:pPr>
        <w:tabs>
          <w:tab w:val="num" w:pos="5017"/>
        </w:tabs>
        <w:ind w:left="5017" w:hanging="180"/>
      </w:pPr>
    </w:lvl>
    <w:lvl w:ilvl="6" w:tplc="207C9024" w:tentative="1">
      <w:start w:val="1"/>
      <w:numFmt w:val="decimal"/>
      <w:lvlText w:val="%7."/>
      <w:lvlJc w:val="left"/>
      <w:pPr>
        <w:tabs>
          <w:tab w:val="num" w:pos="5737"/>
        </w:tabs>
        <w:ind w:left="5737" w:hanging="360"/>
      </w:pPr>
    </w:lvl>
    <w:lvl w:ilvl="7" w:tplc="52B8F844" w:tentative="1">
      <w:start w:val="1"/>
      <w:numFmt w:val="lowerLetter"/>
      <w:lvlText w:val="%8."/>
      <w:lvlJc w:val="left"/>
      <w:pPr>
        <w:tabs>
          <w:tab w:val="num" w:pos="6457"/>
        </w:tabs>
        <w:ind w:left="6457" w:hanging="360"/>
      </w:pPr>
    </w:lvl>
    <w:lvl w:ilvl="8" w:tplc="EF6453D2"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6EC86F48">
      <w:start w:val="1"/>
      <w:numFmt w:val="decimal"/>
      <w:pStyle w:val="ATSNumber1"/>
      <w:lvlText w:val="%1)"/>
      <w:lvlJc w:val="left"/>
      <w:pPr>
        <w:tabs>
          <w:tab w:val="num" w:pos="720"/>
        </w:tabs>
        <w:ind w:left="720" w:hanging="360"/>
      </w:pPr>
    </w:lvl>
    <w:lvl w:ilvl="1" w:tplc="7AB4E79A" w:tentative="1">
      <w:start w:val="1"/>
      <w:numFmt w:val="lowerLetter"/>
      <w:lvlText w:val="%2."/>
      <w:lvlJc w:val="left"/>
      <w:pPr>
        <w:tabs>
          <w:tab w:val="num" w:pos="1440"/>
        </w:tabs>
        <w:ind w:left="1440" w:hanging="360"/>
      </w:pPr>
    </w:lvl>
    <w:lvl w:ilvl="2" w:tplc="BC7A3850" w:tentative="1">
      <w:start w:val="1"/>
      <w:numFmt w:val="lowerRoman"/>
      <w:lvlText w:val="%3."/>
      <w:lvlJc w:val="right"/>
      <w:pPr>
        <w:tabs>
          <w:tab w:val="num" w:pos="2160"/>
        </w:tabs>
        <w:ind w:left="2160" w:hanging="180"/>
      </w:pPr>
    </w:lvl>
    <w:lvl w:ilvl="3" w:tplc="C5A2902A" w:tentative="1">
      <w:start w:val="1"/>
      <w:numFmt w:val="decimal"/>
      <w:lvlText w:val="%4."/>
      <w:lvlJc w:val="left"/>
      <w:pPr>
        <w:tabs>
          <w:tab w:val="num" w:pos="2880"/>
        </w:tabs>
        <w:ind w:left="2880" w:hanging="360"/>
      </w:pPr>
    </w:lvl>
    <w:lvl w:ilvl="4" w:tplc="2E2A5312" w:tentative="1">
      <w:start w:val="1"/>
      <w:numFmt w:val="lowerLetter"/>
      <w:lvlText w:val="%5."/>
      <w:lvlJc w:val="left"/>
      <w:pPr>
        <w:tabs>
          <w:tab w:val="num" w:pos="3600"/>
        </w:tabs>
        <w:ind w:left="3600" w:hanging="360"/>
      </w:pPr>
    </w:lvl>
    <w:lvl w:ilvl="5" w:tplc="373C4B08" w:tentative="1">
      <w:start w:val="1"/>
      <w:numFmt w:val="lowerRoman"/>
      <w:lvlText w:val="%6."/>
      <w:lvlJc w:val="right"/>
      <w:pPr>
        <w:tabs>
          <w:tab w:val="num" w:pos="4320"/>
        </w:tabs>
        <w:ind w:left="4320" w:hanging="180"/>
      </w:pPr>
    </w:lvl>
    <w:lvl w:ilvl="6" w:tplc="F58A3684" w:tentative="1">
      <w:start w:val="1"/>
      <w:numFmt w:val="decimal"/>
      <w:lvlText w:val="%7."/>
      <w:lvlJc w:val="left"/>
      <w:pPr>
        <w:tabs>
          <w:tab w:val="num" w:pos="5040"/>
        </w:tabs>
        <w:ind w:left="5040" w:hanging="360"/>
      </w:pPr>
    </w:lvl>
    <w:lvl w:ilvl="7" w:tplc="F2E0306C" w:tentative="1">
      <w:start w:val="1"/>
      <w:numFmt w:val="lowerLetter"/>
      <w:lvlText w:val="%8."/>
      <w:lvlJc w:val="left"/>
      <w:pPr>
        <w:tabs>
          <w:tab w:val="num" w:pos="5760"/>
        </w:tabs>
        <w:ind w:left="5760" w:hanging="360"/>
      </w:pPr>
    </w:lvl>
    <w:lvl w:ilvl="8" w:tplc="FD5086D8"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0E60CB0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EC4908E" w:tentative="1">
      <w:start w:val="1"/>
      <w:numFmt w:val="bullet"/>
      <w:lvlText w:val="o"/>
      <w:lvlJc w:val="left"/>
      <w:pPr>
        <w:tabs>
          <w:tab w:val="num" w:pos="2517"/>
        </w:tabs>
        <w:ind w:left="2517" w:hanging="360"/>
      </w:pPr>
      <w:rPr>
        <w:rFonts w:ascii="Courier New" w:hAnsi="Courier New" w:cs="Courier New" w:hint="default"/>
      </w:rPr>
    </w:lvl>
    <w:lvl w:ilvl="2" w:tplc="4306ACE0" w:tentative="1">
      <w:start w:val="1"/>
      <w:numFmt w:val="bullet"/>
      <w:lvlText w:val=""/>
      <w:lvlJc w:val="left"/>
      <w:pPr>
        <w:tabs>
          <w:tab w:val="num" w:pos="3237"/>
        </w:tabs>
        <w:ind w:left="3237" w:hanging="360"/>
      </w:pPr>
      <w:rPr>
        <w:rFonts w:ascii="Wingdings" w:hAnsi="Wingdings" w:hint="default"/>
      </w:rPr>
    </w:lvl>
    <w:lvl w:ilvl="3" w:tplc="A0F44488" w:tentative="1">
      <w:start w:val="1"/>
      <w:numFmt w:val="bullet"/>
      <w:lvlText w:val=""/>
      <w:lvlJc w:val="left"/>
      <w:pPr>
        <w:tabs>
          <w:tab w:val="num" w:pos="3957"/>
        </w:tabs>
        <w:ind w:left="3957" w:hanging="360"/>
      </w:pPr>
      <w:rPr>
        <w:rFonts w:ascii="Symbol" w:hAnsi="Symbol" w:hint="default"/>
      </w:rPr>
    </w:lvl>
    <w:lvl w:ilvl="4" w:tplc="65E6A72E" w:tentative="1">
      <w:start w:val="1"/>
      <w:numFmt w:val="bullet"/>
      <w:lvlText w:val="o"/>
      <w:lvlJc w:val="left"/>
      <w:pPr>
        <w:tabs>
          <w:tab w:val="num" w:pos="4677"/>
        </w:tabs>
        <w:ind w:left="4677" w:hanging="360"/>
      </w:pPr>
      <w:rPr>
        <w:rFonts w:ascii="Courier New" w:hAnsi="Courier New" w:cs="Courier New" w:hint="default"/>
      </w:rPr>
    </w:lvl>
    <w:lvl w:ilvl="5" w:tplc="FB102AD6" w:tentative="1">
      <w:start w:val="1"/>
      <w:numFmt w:val="bullet"/>
      <w:lvlText w:val=""/>
      <w:lvlJc w:val="left"/>
      <w:pPr>
        <w:tabs>
          <w:tab w:val="num" w:pos="5397"/>
        </w:tabs>
        <w:ind w:left="5397" w:hanging="360"/>
      </w:pPr>
      <w:rPr>
        <w:rFonts w:ascii="Wingdings" w:hAnsi="Wingdings" w:hint="default"/>
      </w:rPr>
    </w:lvl>
    <w:lvl w:ilvl="6" w:tplc="D26872BA" w:tentative="1">
      <w:start w:val="1"/>
      <w:numFmt w:val="bullet"/>
      <w:lvlText w:val=""/>
      <w:lvlJc w:val="left"/>
      <w:pPr>
        <w:tabs>
          <w:tab w:val="num" w:pos="6117"/>
        </w:tabs>
        <w:ind w:left="6117" w:hanging="360"/>
      </w:pPr>
      <w:rPr>
        <w:rFonts w:ascii="Symbol" w:hAnsi="Symbol" w:hint="default"/>
      </w:rPr>
    </w:lvl>
    <w:lvl w:ilvl="7" w:tplc="CAD4C248" w:tentative="1">
      <w:start w:val="1"/>
      <w:numFmt w:val="bullet"/>
      <w:lvlText w:val="o"/>
      <w:lvlJc w:val="left"/>
      <w:pPr>
        <w:tabs>
          <w:tab w:val="num" w:pos="6837"/>
        </w:tabs>
        <w:ind w:left="6837" w:hanging="360"/>
      </w:pPr>
      <w:rPr>
        <w:rFonts w:ascii="Courier New" w:hAnsi="Courier New" w:cs="Courier New" w:hint="default"/>
      </w:rPr>
    </w:lvl>
    <w:lvl w:ilvl="8" w:tplc="EE42DA1A"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8193897"/>
    <w:multiLevelType w:val="hybridMultilevel"/>
    <w:tmpl w:val="949C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866FC0"/>
    <w:multiLevelType w:val="hybridMultilevel"/>
    <w:tmpl w:val="57EA2900"/>
    <w:lvl w:ilvl="0" w:tplc="B958DE86">
      <w:start w:val="1"/>
      <w:numFmt w:val="decimal"/>
      <w:pStyle w:val="ATSNumber2"/>
      <w:lvlText w:val="%1."/>
      <w:lvlJc w:val="left"/>
      <w:pPr>
        <w:tabs>
          <w:tab w:val="num" w:pos="720"/>
        </w:tabs>
        <w:ind w:left="720" w:hanging="360"/>
      </w:pPr>
      <w:rPr>
        <w:rFonts w:hint="default"/>
      </w:rPr>
    </w:lvl>
    <w:lvl w:ilvl="1" w:tplc="51BACAA8" w:tentative="1">
      <w:start w:val="1"/>
      <w:numFmt w:val="lowerLetter"/>
      <w:lvlText w:val="%2."/>
      <w:lvlJc w:val="left"/>
      <w:pPr>
        <w:tabs>
          <w:tab w:val="num" w:pos="1440"/>
        </w:tabs>
        <w:ind w:left="1440" w:hanging="360"/>
      </w:pPr>
    </w:lvl>
    <w:lvl w:ilvl="2" w:tplc="37A2D540" w:tentative="1">
      <w:start w:val="1"/>
      <w:numFmt w:val="lowerRoman"/>
      <w:lvlText w:val="%3."/>
      <w:lvlJc w:val="right"/>
      <w:pPr>
        <w:tabs>
          <w:tab w:val="num" w:pos="2160"/>
        </w:tabs>
        <w:ind w:left="2160" w:hanging="180"/>
      </w:pPr>
    </w:lvl>
    <w:lvl w:ilvl="3" w:tplc="9DB6F9F2" w:tentative="1">
      <w:start w:val="1"/>
      <w:numFmt w:val="decimal"/>
      <w:lvlText w:val="%4."/>
      <w:lvlJc w:val="left"/>
      <w:pPr>
        <w:tabs>
          <w:tab w:val="num" w:pos="2880"/>
        </w:tabs>
        <w:ind w:left="2880" w:hanging="360"/>
      </w:pPr>
    </w:lvl>
    <w:lvl w:ilvl="4" w:tplc="63FC3494" w:tentative="1">
      <w:start w:val="1"/>
      <w:numFmt w:val="lowerLetter"/>
      <w:lvlText w:val="%5."/>
      <w:lvlJc w:val="left"/>
      <w:pPr>
        <w:tabs>
          <w:tab w:val="num" w:pos="3600"/>
        </w:tabs>
        <w:ind w:left="3600" w:hanging="360"/>
      </w:pPr>
    </w:lvl>
    <w:lvl w:ilvl="5" w:tplc="9CE68D1C" w:tentative="1">
      <w:start w:val="1"/>
      <w:numFmt w:val="lowerRoman"/>
      <w:lvlText w:val="%6."/>
      <w:lvlJc w:val="right"/>
      <w:pPr>
        <w:tabs>
          <w:tab w:val="num" w:pos="4320"/>
        </w:tabs>
        <w:ind w:left="4320" w:hanging="180"/>
      </w:pPr>
    </w:lvl>
    <w:lvl w:ilvl="6" w:tplc="E24619E6" w:tentative="1">
      <w:start w:val="1"/>
      <w:numFmt w:val="decimal"/>
      <w:lvlText w:val="%7."/>
      <w:lvlJc w:val="left"/>
      <w:pPr>
        <w:tabs>
          <w:tab w:val="num" w:pos="5040"/>
        </w:tabs>
        <w:ind w:left="5040" w:hanging="360"/>
      </w:pPr>
    </w:lvl>
    <w:lvl w:ilvl="7" w:tplc="E828D606" w:tentative="1">
      <w:start w:val="1"/>
      <w:numFmt w:val="lowerLetter"/>
      <w:lvlText w:val="%8."/>
      <w:lvlJc w:val="left"/>
      <w:pPr>
        <w:tabs>
          <w:tab w:val="num" w:pos="5760"/>
        </w:tabs>
        <w:ind w:left="5760" w:hanging="360"/>
      </w:pPr>
    </w:lvl>
    <w:lvl w:ilvl="8" w:tplc="3FE2265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16"/>
  </w:num>
  <w:num w:numId="14">
    <w:abstractNumId w:val="13"/>
  </w:num>
  <w:num w:numId="15">
    <w:abstractNumId w:val="15"/>
  </w:num>
  <w:num w:numId="16">
    <w:abstractNumId w:val="10"/>
  </w:num>
  <w:num w:numId="17">
    <w:abstractNumId w:val="11"/>
  </w:num>
  <w:num w:numId="18">
    <w:abstractNumId w:val="17"/>
  </w:num>
  <w:num w:numId="19">
    <w:abstractNumId w:val="16"/>
  </w:num>
  <w:num w:numId="20">
    <w:abstractNumId w:val="19"/>
  </w:num>
  <w:num w:numId="21">
    <w:abstractNumId w:val="12"/>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NDAyMjY3NDMxNDdW0lEKTi0uzszPAykwrAUAPIzCLSwAAAA="/>
  </w:docVars>
  <w:rsids>
    <w:rsidRoot w:val="00636568"/>
    <w:rsid w:val="001249C4"/>
    <w:rsid w:val="003A0E93"/>
    <w:rsid w:val="00636568"/>
    <w:rsid w:val="00873BA8"/>
    <w:rsid w:val="00895FF7"/>
    <w:rsid w:val="00B110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27BA3A"/>
  <w15:chartTrackingRefBased/>
  <w15:docId w15:val="{33B1DA8B-F619-4B1A-8FB1-2D8F392C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Default">
    <w:name w:val="Default"/>
    <w:rsid w:val="003A0E93"/>
    <w:pPr>
      <w:autoSpaceDE w:val="0"/>
      <w:autoSpaceDN w:val="0"/>
      <w:adjustRightInd w:val="0"/>
    </w:pPr>
    <w:rPr>
      <w:color w:val="000000"/>
      <w:sz w:val="24"/>
      <w:szCs w:val="24"/>
      <w:lang w:val="en-GB" w:eastAsia="en-GB"/>
    </w:rPr>
  </w:style>
  <w:style w:type="character" w:customStyle="1" w:styleId="ATSNormalChar">
    <w:name w:val="ATS Normal Char"/>
    <w:link w:val="ATSNormal"/>
    <w:locked/>
    <w:rsid w:val="003A0E93"/>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1542</Words>
  <Characters>8198</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6</cp:revision>
  <cp:lastPrinted>2008-01-22T18:20:00Z</cp:lastPrinted>
  <dcterms:created xsi:type="dcterms:W3CDTF">2022-03-03T14:10:00Z</dcterms:created>
  <dcterms:modified xsi:type="dcterms:W3CDTF">2022-04-01T12:56:00Z</dcterms:modified>
</cp:coreProperties>
</file>