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35D59" w14:textId="77777777" w:rsidR="00C26F2D" w:rsidRPr="00BF077B" w:rsidRDefault="00E1703C" w:rsidP="00BF077B">
      <w:pPr>
        <w:pStyle w:val="ATSNormal"/>
        <w:rPr>
          <w:rStyle w:val="Ttulodellibro"/>
        </w:rPr>
      </w:pPr>
    </w:p>
    <w:p w14:paraId="2220ED56" w14:textId="77777777" w:rsidR="002F0A13" w:rsidRDefault="00E1703C" w:rsidP="004B4A60">
      <w:pPr>
        <w:rPr>
          <w:b/>
          <w:u w:val="single"/>
          <w:lang w:val="es-ES_tradnl"/>
        </w:rPr>
      </w:pPr>
    </w:p>
    <w:p w14:paraId="643DB316" w14:textId="77777777" w:rsidR="002F0A13" w:rsidRDefault="00E1703C" w:rsidP="004B4A60">
      <w:pPr>
        <w:rPr>
          <w:b/>
          <w:u w:val="single"/>
          <w:lang w:val="es-ES_tradnl"/>
        </w:rPr>
      </w:pPr>
    </w:p>
    <w:p w14:paraId="2E0C51B3" w14:textId="77777777" w:rsidR="002F0A13" w:rsidRDefault="00E1703C" w:rsidP="004B4A60">
      <w:pPr>
        <w:rPr>
          <w:b/>
          <w:u w:val="single"/>
          <w:lang w:val="es-ES_tradnl"/>
        </w:rPr>
      </w:pPr>
    </w:p>
    <w:p w14:paraId="29A6F96D" w14:textId="77777777" w:rsidR="002F0A13" w:rsidRDefault="00E1703C" w:rsidP="004B4A60">
      <w:pPr>
        <w:rPr>
          <w:b/>
          <w:u w:val="single"/>
          <w:lang w:val="es-ES_tradnl"/>
        </w:rPr>
      </w:pPr>
    </w:p>
    <w:p w14:paraId="05BB8352" w14:textId="77777777" w:rsidR="00C26F2D" w:rsidRDefault="00E1703C" w:rsidP="004B4A60">
      <w:pPr>
        <w:rPr>
          <w:b/>
          <w:u w:val="single"/>
          <w:lang w:val="es-ES_tradnl"/>
        </w:rPr>
      </w:pPr>
    </w:p>
    <w:p w14:paraId="05A9A786" w14:textId="77777777" w:rsidR="004B4A60" w:rsidRPr="0057246E" w:rsidRDefault="00E1703C" w:rsidP="001B789F">
      <w:pPr>
        <w:pStyle w:val="ATSTitle"/>
      </w:pPr>
      <w:bookmarkStart w:id="0" w:name="name"/>
      <w:r>
        <w:t>Revision and merger of the Management Plans for Antarctic Specially Protected Areas No. 152 Western Bransfield Strait and No. 153 Eastern Dallmann Bay</w:t>
      </w:r>
      <w:bookmarkEnd w:id="0"/>
    </w:p>
    <w:p w14:paraId="588C8523" w14:textId="77777777" w:rsidR="004B4A60" w:rsidRPr="0057246E" w:rsidRDefault="00E1703C" w:rsidP="00F75424">
      <w:pPr>
        <w:jc w:val="center"/>
      </w:pPr>
    </w:p>
    <w:p w14:paraId="21DC782B" w14:textId="77777777" w:rsidR="004B4A60" w:rsidRPr="002F0A13" w:rsidRDefault="00E1703C" w:rsidP="002F0A13"/>
    <w:p w14:paraId="21FAC50B" w14:textId="77777777" w:rsidR="004B4A60" w:rsidRDefault="00E1703C" w:rsidP="00F75424">
      <w:pPr>
        <w:jc w:val="center"/>
      </w:pPr>
      <w:bookmarkStart w:id="1" w:name="memo"/>
      <w:bookmarkEnd w:id="1"/>
    </w:p>
    <w:p w14:paraId="2C65EC0C" w14:textId="77777777" w:rsidR="0097629D" w:rsidRDefault="00E1703C" w:rsidP="00F75424">
      <w:pPr>
        <w:jc w:val="center"/>
      </w:pPr>
    </w:p>
    <w:p w14:paraId="5D1D52E9" w14:textId="77777777" w:rsidR="0097629D" w:rsidRDefault="00E1703C" w:rsidP="00F75424">
      <w:pPr>
        <w:jc w:val="center"/>
      </w:pPr>
    </w:p>
    <w:p w14:paraId="4902AA95" w14:textId="77777777" w:rsidR="0097629D" w:rsidRDefault="00E1703C" w:rsidP="00F75424">
      <w:pPr>
        <w:jc w:val="center"/>
      </w:pPr>
    </w:p>
    <w:p w14:paraId="0656EC3A" w14:textId="77777777" w:rsidR="0097629D" w:rsidRPr="00C26F2D" w:rsidRDefault="00E1703C" w:rsidP="00F75424">
      <w:pPr>
        <w:jc w:val="center"/>
      </w:pPr>
    </w:p>
    <w:p w14:paraId="4FB1153B" w14:textId="77777777" w:rsidR="004B4A60" w:rsidRPr="0057246E" w:rsidRDefault="00E1703C" w:rsidP="004B4A60"/>
    <w:p w14:paraId="5788600F" w14:textId="77777777" w:rsidR="00C26F2D" w:rsidRDefault="00E1703C"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5DA014F" w14:textId="606EE975" w:rsidR="004B4A60" w:rsidRDefault="00E1703C" w:rsidP="00952E9F"/>
    <w:p w14:paraId="19FF210C" w14:textId="0380C1E5" w:rsidR="006E45AD" w:rsidRDefault="006E45AD" w:rsidP="00952E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90"/>
        <w:gridCol w:w="3505"/>
      </w:tblGrid>
      <w:tr w:rsidR="006E45AD" w:rsidRPr="002042B0" w14:paraId="376F06E8" w14:textId="77777777" w:rsidTr="007B1916">
        <w:trPr>
          <w:cantSplit/>
          <w:trHeight w:val="434"/>
        </w:trPr>
        <w:tc>
          <w:tcPr>
            <w:tcW w:w="9855" w:type="dxa"/>
            <w:gridSpan w:val="2"/>
          </w:tcPr>
          <w:p w14:paraId="40C3ED2F" w14:textId="77777777" w:rsidR="006E45AD" w:rsidRPr="002042B0" w:rsidRDefault="006E45AD" w:rsidP="007B1916">
            <w:pPr>
              <w:pStyle w:val="ATSTitle"/>
              <w:rPr>
                <w:rFonts w:ascii="Times New Roman" w:hAnsi="Times New Roman"/>
                <w:sz w:val="20"/>
                <w:szCs w:val="20"/>
              </w:rPr>
            </w:pPr>
            <w:r w:rsidRPr="002042B0">
              <w:rPr>
                <w:rFonts w:ascii="Times New Roman" w:hAnsi="Times New Roman"/>
                <w:snapToGrid w:val="0"/>
                <w:sz w:val="20"/>
                <w:szCs w:val="20"/>
              </w:rPr>
              <w:t xml:space="preserve">ASPA No. </w:t>
            </w:r>
            <w:r w:rsidRPr="002042B0">
              <w:rPr>
                <w:rFonts w:ascii="Times New Roman" w:hAnsi="Times New Roman"/>
                <w:snapToGrid w:val="0"/>
                <w:sz w:val="20"/>
                <w:szCs w:val="22"/>
              </w:rPr>
              <w:t xml:space="preserve">XXX Western Bransfield Strait and Eastern </w:t>
            </w:r>
            <w:proofErr w:type="spellStart"/>
            <w:r w:rsidRPr="002042B0">
              <w:rPr>
                <w:rFonts w:ascii="Times New Roman" w:hAnsi="Times New Roman"/>
                <w:snapToGrid w:val="0"/>
                <w:sz w:val="20"/>
                <w:szCs w:val="22"/>
              </w:rPr>
              <w:t>Dallmann</w:t>
            </w:r>
            <w:proofErr w:type="spellEnd"/>
            <w:r w:rsidRPr="002042B0">
              <w:rPr>
                <w:rFonts w:ascii="Times New Roman" w:hAnsi="Times New Roman"/>
                <w:snapToGrid w:val="0"/>
                <w:sz w:val="20"/>
                <w:szCs w:val="22"/>
              </w:rPr>
              <w:t xml:space="preserve"> Bay</w:t>
            </w:r>
          </w:p>
        </w:tc>
      </w:tr>
      <w:tr w:rsidR="006E45AD" w:rsidRPr="002042B0" w14:paraId="6D5A9980" w14:textId="77777777" w:rsidTr="007B1916">
        <w:tc>
          <w:tcPr>
            <w:tcW w:w="5875" w:type="dxa"/>
          </w:tcPr>
          <w:p w14:paraId="3968BC29" w14:textId="77777777" w:rsidR="006E45AD" w:rsidRPr="002042B0" w:rsidRDefault="006E45AD" w:rsidP="007B1916">
            <w:pPr>
              <w:pStyle w:val="ATSNormal"/>
              <w:rPr>
                <w:b/>
                <w:snapToGrid w:val="0"/>
                <w:sz w:val="20"/>
                <w:szCs w:val="20"/>
              </w:rPr>
            </w:pPr>
            <w:r w:rsidRPr="002042B0">
              <w:rPr>
                <w:b/>
                <w:snapToGrid w:val="0"/>
                <w:sz w:val="20"/>
                <w:szCs w:val="20"/>
              </w:rPr>
              <w:t>1. Is a new ASPA proposed?</w:t>
            </w:r>
          </w:p>
        </w:tc>
        <w:tc>
          <w:tcPr>
            <w:tcW w:w="3980" w:type="dxa"/>
          </w:tcPr>
          <w:p w14:paraId="02074E7C" w14:textId="77777777" w:rsidR="006E45AD" w:rsidRPr="002042B0" w:rsidRDefault="006E45AD" w:rsidP="007B1916">
            <w:pPr>
              <w:pStyle w:val="ATSNormal"/>
              <w:rPr>
                <w:snapToGrid w:val="0"/>
                <w:sz w:val="20"/>
                <w:szCs w:val="20"/>
              </w:rPr>
            </w:pPr>
            <w:r w:rsidRPr="002042B0">
              <w:rPr>
                <w:snapToGrid w:val="0"/>
                <w:sz w:val="20"/>
                <w:szCs w:val="20"/>
              </w:rPr>
              <w:t xml:space="preserve">Yes, based on a merger of ASPA No.152 Western Bransfield Strait and ASPA No.153 Eastern </w:t>
            </w:r>
            <w:proofErr w:type="spellStart"/>
            <w:r w:rsidRPr="002042B0">
              <w:rPr>
                <w:snapToGrid w:val="0"/>
                <w:sz w:val="20"/>
                <w:szCs w:val="20"/>
              </w:rPr>
              <w:t>Dallmann</w:t>
            </w:r>
            <w:proofErr w:type="spellEnd"/>
            <w:r w:rsidRPr="002042B0">
              <w:rPr>
                <w:snapToGrid w:val="0"/>
                <w:sz w:val="20"/>
                <w:szCs w:val="20"/>
              </w:rPr>
              <w:t xml:space="preserve"> Bay.</w:t>
            </w:r>
          </w:p>
        </w:tc>
      </w:tr>
      <w:tr w:rsidR="006E45AD" w:rsidRPr="002042B0" w14:paraId="5BB67EED" w14:textId="77777777" w:rsidTr="007B1916">
        <w:tc>
          <w:tcPr>
            <w:tcW w:w="5875" w:type="dxa"/>
          </w:tcPr>
          <w:p w14:paraId="47BFB505" w14:textId="77777777" w:rsidR="006E45AD" w:rsidRPr="002042B0" w:rsidRDefault="006E45AD" w:rsidP="007B1916">
            <w:pPr>
              <w:pStyle w:val="ATSNormal"/>
              <w:rPr>
                <w:b/>
                <w:snapToGrid w:val="0"/>
                <w:sz w:val="20"/>
                <w:szCs w:val="20"/>
              </w:rPr>
            </w:pPr>
            <w:r w:rsidRPr="002042B0">
              <w:rPr>
                <w:b/>
                <w:snapToGrid w:val="0"/>
                <w:sz w:val="20"/>
                <w:szCs w:val="20"/>
              </w:rPr>
              <w:t>2. Is a new ASMA proposed?</w:t>
            </w:r>
          </w:p>
        </w:tc>
        <w:tc>
          <w:tcPr>
            <w:tcW w:w="3980" w:type="dxa"/>
          </w:tcPr>
          <w:p w14:paraId="2090526A" w14:textId="77777777" w:rsidR="006E45AD" w:rsidRPr="002042B0" w:rsidRDefault="006E45AD" w:rsidP="007B1916">
            <w:pPr>
              <w:pStyle w:val="ATSNormal"/>
              <w:rPr>
                <w:snapToGrid w:val="0"/>
                <w:sz w:val="20"/>
                <w:szCs w:val="20"/>
              </w:rPr>
            </w:pPr>
            <w:r w:rsidRPr="002042B0">
              <w:rPr>
                <w:snapToGrid w:val="0"/>
                <w:sz w:val="20"/>
                <w:szCs w:val="20"/>
              </w:rPr>
              <w:t>No</w:t>
            </w:r>
          </w:p>
        </w:tc>
      </w:tr>
      <w:tr w:rsidR="006E45AD" w:rsidRPr="002042B0" w14:paraId="5A8B5F44" w14:textId="77777777" w:rsidTr="007B1916">
        <w:tc>
          <w:tcPr>
            <w:tcW w:w="5875" w:type="dxa"/>
          </w:tcPr>
          <w:p w14:paraId="033042D0" w14:textId="77777777" w:rsidR="006E45AD" w:rsidRPr="002042B0" w:rsidRDefault="006E45AD" w:rsidP="007B1916">
            <w:pPr>
              <w:pStyle w:val="ATSNormal"/>
              <w:rPr>
                <w:b/>
                <w:snapToGrid w:val="0"/>
                <w:sz w:val="20"/>
                <w:szCs w:val="20"/>
              </w:rPr>
            </w:pPr>
            <w:r w:rsidRPr="002042B0">
              <w:rPr>
                <w:b/>
                <w:snapToGrid w:val="0"/>
                <w:sz w:val="20"/>
                <w:szCs w:val="20"/>
              </w:rPr>
              <w:t>3. Does the proposal relate to an existing ASPA or ASMA?</w:t>
            </w:r>
          </w:p>
        </w:tc>
        <w:tc>
          <w:tcPr>
            <w:tcW w:w="3980" w:type="dxa"/>
          </w:tcPr>
          <w:p w14:paraId="6D7FCA93" w14:textId="77777777" w:rsidR="006E45AD" w:rsidRPr="002042B0" w:rsidRDefault="006E45AD" w:rsidP="007B1916">
            <w:pPr>
              <w:pStyle w:val="ATSNormal"/>
              <w:rPr>
                <w:snapToGrid w:val="0"/>
                <w:sz w:val="20"/>
                <w:szCs w:val="20"/>
              </w:rPr>
            </w:pPr>
            <w:r w:rsidRPr="002042B0">
              <w:rPr>
                <w:snapToGrid w:val="0"/>
                <w:sz w:val="20"/>
                <w:szCs w:val="20"/>
              </w:rPr>
              <w:t>Yes</w:t>
            </w:r>
          </w:p>
        </w:tc>
      </w:tr>
      <w:tr w:rsidR="006E45AD" w:rsidRPr="002042B0" w14:paraId="4B762414" w14:textId="77777777" w:rsidTr="007B1916">
        <w:tc>
          <w:tcPr>
            <w:tcW w:w="5875" w:type="dxa"/>
          </w:tcPr>
          <w:p w14:paraId="2FD299D5" w14:textId="77777777" w:rsidR="006E45AD" w:rsidRPr="002042B0" w:rsidRDefault="006E45AD" w:rsidP="007B1916">
            <w:pPr>
              <w:pStyle w:val="ATSNormal"/>
              <w:jc w:val="center"/>
              <w:rPr>
                <w:i/>
                <w:sz w:val="20"/>
                <w:szCs w:val="20"/>
              </w:rPr>
            </w:pPr>
            <w:r w:rsidRPr="002042B0">
              <w:rPr>
                <w:i/>
                <w:sz w:val="20"/>
                <w:szCs w:val="20"/>
              </w:rPr>
              <w:t>First designation:</w:t>
            </w:r>
          </w:p>
        </w:tc>
        <w:tc>
          <w:tcPr>
            <w:tcW w:w="3980" w:type="dxa"/>
          </w:tcPr>
          <w:p w14:paraId="3D6449F5" w14:textId="77777777" w:rsidR="006E45AD" w:rsidRPr="002042B0" w:rsidRDefault="006E45AD" w:rsidP="007B1916">
            <w:pPr>
              <w:pStyle w:val="ATSNormal"/>
              <w:rPr>
                <w:snapToGrid w:val="0"/>
                <w:sz w:val="20"/>
                <w:szCs w:val="20"/>
              </w:rPr>
            </w:pPr>
            <w:r w:rsidRPr="002042B0">
              <w:rPr>
                <w:sz w:val="20"/>
                <w:szCs w:val="20"/>
                <w:lang w:val="en-US"/>
              </w:rPr>
              <w:t>Sites of Special Scientific Interest (SSSIs) No. 35 and No.36 through Recommendation XVI-3 (1991)</w:t>
            </w:r>
          </w:p>
        </w:tc>
      </w:tr>
      <w:tr w:rsidR="006E45AD" w:rsidRPr="002042B0" w14:paraId="2437EF59" w14:textId="77777777" w:rsidTr="007B1916">
        <w:tc>
          <w:tcPr>
            <w:tcW w:w="5875" w:type="dxa"/>
          </w:tcPr>
          <w:p w14:paraId="0E52F892" w14:textId="77777777" w:rsidR="006E45AD" w:rsidRPr="002042B0" w:rsidRDefault="006E45AD" w:rsidP="007B1916">
            <w:pPr>
              <w:pStyle w:val="ATSNormal"/>
              <w:jc w:val="center"/>
              <w:rPr>
                <w:i/>
                <w:sz w:val="20"/>
                <w:szCs w:val="20"/>
              </w:rPr>
            </w:pPr>
            <w:r w:rsidRPr="002042B0">
              <w:rPr>
                <w:i/>
                <w:sz w:val="20"/>
                <w:szCs w:val="20"/>
              </w:rPr>
              <w:t>First adoption of management plans:</w:t>
            </w:r>
          </w:p>
        </w:tc>
        <w:tc>
          <w:tcPr>
            <w:tcW w:w="3980" w:type="dxa"/>
          </w:tcPr>
          <w:p w14:paraId="2016C2B2" w14:textId="77777777" w:rsidR="006E45AD" w:rsidRPr="002042B0" w:rsidRDefault="006E45AD" w:rsidP="007B1916">
            <w:pPr>
              <w:pStyle w:val="ATSNormal"/>
              <w:rPr>
                <w:snapToGrid w:val="0"/>
                <w:sz w:val="20"/>
                <w:szCs w:val="20"/>
              </w:rPr>
            </w:pPr>
            <w:r w:rsidRPr="002042B0">
              <w:rPr>
                <w:sz w:val="20"/>
                <w:szCs w:val="20"/>
                <w:lang w:val="en-US"/>
              </w:rPr>
              <w:t>Recommendation XVI-3 (1991)</w:t>
            </w:r>
          </w:p>
        </w:tc>
      </w:tr>
      <w:tr w:rsidR="006E45AD" w:rsidRPr="002042B0" w14:paraId="4EB947B0" w14:textId="77777777" w:rsidTr="007B1916">
        <w:tc>
          <w:tcPr>
            <w:tcW w:w="5875" w:type="dxa"/>
          </w:tcPr>
          <w:p w14:paraId="10E5E427" w14:textId="77777777" w:rsidR="006E45AD" w:rsidRPr="002042B0" w:rsidRDefault="006E45AD" w:rsidP="007B1916">
            <w:pPr>
              <w:pStyle w:val="ATSNormal"/>
              <w:jc w:val="center"/>
              <w:rPr>
                <w:i/>
                <w:sz w:val="20"/>
                <w:szCs w:val="20"/>
              </w:rPr>
            </w:pPr>
            <w:r w:rsidRPr="002042B0">
              <w:rPr>
                <w:i/>
                <w:sz w:val="20"/>
                <w:szCs w:val="20"/>
              </w:rPr>
              <w:t>Any revisions to management plans:</w:t>
            </w:r>
          </w:p>
        </w:tc>
        <w:tc>
          <w:tcPr>
            <w:tcW w:w="3980" w:type="dxa"/>
          </w:tcPr>
          <w:p w14:paraId="5E6E7632" w14:textId="77777777" w:rsidR="006E45AD" w:rsidRPr="002042B0" w:rsidRDefault="006E45AD" w:rsidP="007B1916">
            <w:pPr>
              <w:pStyle w:val="ATSNormal"/>
              <w:rPr>
                <w:sz w:val="20"/>
                <w:szCs w:val="20"/>
              </w:rPr>
            </w:pPr>
            <w:r w:rsidRPr="002042B0">
              <w:rPr>
                <w:sz w:val="20"/>
                <w:szCs w:val="20"/>
              </w:rPr>
              <w:t>Measure 2 (2003), Measure 10 (2009)</w:t>
            </w:r>
            <w:r w:rsidRPr="002042B0">
              <w:rPr>
                <w:snapToGrid w:val="0"/>
                <w:sz w:val="20"/>
                <w:szCs w:val="20"/>
              </w:rPr>
              <w:t xml:space="preserve">, </w:t>
            </w:r>
            <w:r w:rsidRPr="002042B0">
              <w:rPr>
                <w:sz w:val="20"/>
                <w:szCs w:val="20"/>
              </w:rPr>
              <w:t>Measure 11 (2009)</w:t>
            </w:r>
            <w:r w:rsidRPr="002042B0">
              <w:rPr>
                <w:snapToGrid w:val="0"/>
                <w:sz w:val="20"/>
                <w:szCs w:val="20"/>
              </w:rPr>
              <w:t xml:space="preserve">, Measure 9 (2015), </w:t>
            </w:r>
            <w:r w:rsidRPr="002042B0">
              <w:rPr>
                <w:sz w:val="20"/>
                <w:szCs w:val="20"/>
              </w:rPr>
              <w:t>Measure 10 (2015)</w:t>
            </w:r>
          </w:p>
        </w:tc>
      </w:tr>
      <w:tr w:rsidR="006E45AD" w:rsidRPr="002042B0" w14:paraId="2B290179" w14:textId="77777777" w:rsidTr="007B1916">
        <w:tc>
          <w:tcPr>
            <w:tcW w:w="5875" w:type="dxa"/>
          </w:tcPr>
          <w:p w14:paraId="34FFF784" w14:textId="77777777" w:rsidR="006E45AD" w:rsidRPr="002042B0" w:rsidRDefault="006E45AD" w:rsidP="007B1916">
            <w:pPr>
              <w:pStyle w:val="ATSNormal"/>
              <w:jc w:val="center"/>
              <w:rPr>
                <w:i/>
                <w:sz w:val="20"/>
                <w:szCs w:val="20"/>
              </w:rPr>
            </w:pPr>
            <w:r w:rsidRPr="002042B0">
              <w:rPr>
                <w:i/>
                <w:sz w:val="20"/>
                <w:szCs w:val="20"/>
              </w:rPr>
              <w:t>Current management plans:</w:t>
            </w:r>
          </w:p>
        </w:tc>
        <w:tc>
          <w:tcPr>
            <w:tcW w:w="3980" w:type="dxa"/>
          </w:tcPr>
          <w:p w14:paraId="5AC74EDB" w14:textId="77777777" w:rsidR="006E45AD" w:rsidRPr="002042B0" w:rsidRDefault="006E45AD" w:rsidP="007B1916">
            <w:pPr>
              <w:pStyle w:val="ATSNormal"/>
              <w:rPr>
                <w:snapToGrid w:val="0"/>
                <w:sz w:val="20"/>
                <w:szCs w:val="20"/>
              </w:rPr>
            </w:pPr>
            <w:r w:rsidRPr="002042B0">
              <w:rPr>
                <w:snapToGrid w:val="0"/>
                <w:sz w:val="20"/>
                <w:szCs w:val="20"/>
              </w:rPr>
              <w:t xml:space="preserve">Measure 9 (2015), </w:t>
            </w:r>
            <w:r w:rsidRPr="002042B0">
              <w:rPr>
                <w:sz w:val="20"/>
                <w:szCs w:val="20"/>
              </w:rPr>
              <w:t>Measure 10 (2015)</w:t>
            </w:r>
          </w:p>
        </w:tc>
      </w:tr>
      <w:tr w:rsidR="006E45AD" w:rsidRPr="002042B0" w14:paraId="297042CC" w14:textId="77777777" w:rsidTr="007B1916">
        <w:tc>
          <w:tcPr>
            <w:tcW w:w="5875" w:type="dxa"/>
          </w:tcPr>
          <w:p w14:paraId="5F2A5798" w14:textId="77777777" w:rsidR="006E45AD" w:rsidRPr="002042B0" w:rsidRDefault="006E45AD" w:rsidP="007B1916">
            <w:pPr>
              <w:pStyle w:val="ATSNormal"/>
              <w:jc w:val="center"/>
              <w:rPr>
                <w:i/>
                <w:sz w:val="20"/>
                <w:szCs w:val="20"/>
              </w:rPr>
            </w:pPr>
            <w:r w:rsidRPr="002042B0">
              <w:rPr>
                <w:i/>
                <w:sz w:val="20"/>
                <w:szCs w:val="20"/>
              </w:rPr>
              <w:t>Any extensions of expiry dates of management plans:</w:t>
            </w:r>
          </w:p>
        </w:tc>
        <w:tc>
          <w:tcPr>
            <w:tcW w:w="3980" w:type="dxa"/>
          </w:tcPr>
          <w:p w14:paraId="766F5DD9" w14:textId="77777777" w:rsidR="006E45AD" w:rsidRPr="002042B0" w:rsidRDefault="006E45AD" w:rsidP="007B1916">
            <w:pPr>
              <w:pStyle w:val="ATSNormal"/>
              <w:rPr>
                <w:snapToGrid w:val="0"/>
                <w:sz w:val="20"/>
                <w:szCs w:val="20"/>
              </w:rPr>
            </w:pPr>
            <w:r w:rsidRPr="002042B0">
              <w:rPr>
                <w:sz w:val="20"/>
                <w:szCs w:val="20"/>
              </w:rPr>
              <w:t>Measure 3 (2001)</w:t>
            </w:r>
          </w:p>
        </w:tc>
      </w:tr>
      <w:tr w:rsidR="006E45AD" w:rsidRPr="002042B0" w14:paraId="1F503541" w14:textId="77777777" w:rsidTr="007B1916">
        <w:tc>
          <w:tcPr>
            <w:tcW w:w="5875" w:type="dxa"/>
          </w:tcPr>
          <w:p w14:paraId="52BF546A" w14:textId="77777777" w:rsidR="006E45AD" w:rsidRPr="002042B0" w:rsidRDefault="006E45AD" w:rsidP="007B1916">
            <w:pPr>
              <w:pStyle w:val="ATSNormal"/>
              <w:jc w:val="center"/>
              <w:rPr>
                <w:i/>
                <w:sz w:val="20"/>
                <w:szCs w:val="20"/>
              </w:rPr>
            </w:pPr>
            <w:r w:rsidRPr="002042B0">
              <w:rPr>
                <w:i/>
                <w:sz w:val="20"/>
                <w:szCs w:val="20"/>
              </w:rPr>
              <w:t>Renamed and renumbered by Decision 1 (2002) as:</w:t>
            </w:r>
          </w:p>
        </w:tc>
        <w:tc>
          <w:tcPr>
            <w:tcW w:w="3980" w:type="dxa"/>
          </w:tcPr>
          <w:p w14:paraId="11164B37" w14:textId="77777777" w:rsidR="006E45AD" w:rsidRPr="002042B0" w:rsidRDefault="006E45AD" w:rsidP="007B1916">
            <w:pPr>
              <w:pStyle w:val="ATSNormal"/>
              <w:rPr>
                <w:snapToGrid w:val="0"/>
                <w:sz w:val="20"/>
                <w:szCs w:val="20"/>
              </w:rPr>
            </w:pPr>
            <w:r w:rsidRPr="002042B0">
              <w:rPr>
                <w:sz w:val="20"/>
                <w:szCs w:val="20"/>
              </w:rPr>
              <w:t xml:space="preserve">ASPA No. 152 Western Bransfield Strait, </w:t>
            </w:r>
            <w:r w:rsidRPr="002042B0">
              <w:rPr>
                <w:snapToGrid w:val="0"/>
                <w:sz w:val="20"/>
                <w:szCs w:val="20"/>
                <w:lang w:eastAsia="en-US"/>
              </w:rPr>
              <w:t xml:space="preserve">off Low Island, South Shetland Islands and </w:t>
            </w:r>
            <w:r w:rsidRPr="002042B0">
              <w:rPr>
                <w:sz w:val="20"/>
              </w:rPr>
              <w:t xml:space="preserve">ASPA No. 153 Eastern </w:t>
            </w:r>
            <w:proofErr w:type="spellStart"/>
            <w:r w:rsidRPr="002042B0">
              <w:rPr>
                <w:sz w:val="20"/>
              </w:rPr>
              <w:t>Dallmann</w:t>
            </w:r>
            <w:proofErr w:type="spellEnd"/>
            <w:r w:rsidRPr="002042B0">
              <w:rPr>
                <w:sz w:val="20"/>
              </w:rPr>
              <w:t xml:space="preserve"> Bay off Brabant Island, Palmer Archipelago</w:t>
            </w:r>
          </w:p>
        </w:tc>
      </w:tr>
      <w:tr w:rsidR="006E45AD" w:rsidRPr="002042B0" w14:paraId="581CA2DC" w14:textId="77777777" w:rsidTr="007B1916">
        <w:tc>
          <w:tcPr>
            <w:tcW w:w="5875" w:type="dxa"/>
          </w:tcPr>
          <w:p w14:paraId="6317C1E6" w14:textId="77777777" w:rsidR="006E45AD" w:rsidRPr="002042B0" w:rsidRDefault="006E45AD" w:rsidP="007B1916">
            <w:pPr>
              <w:pStyle w:val="ATSNormal"/>
              <w:jc w:val="center"/>
              <w:rPr>
                <w:i/>
                <w:sz w:val="20"/>
                <w:szCs w:val="20"/>
              </w:rPr>
            </w:pPr>
            <w:r w:rsidRPr="002042B0">
              <w:rPr>
                <w:i/>
                <w:sz w:val="20"/>
                <w:szCs w:val="20"/>
              </w:rPr>
              <w:t>Other relevant measures:</w:t>
            </w:r>
          </w:p>
        </w:tc>
        <w:tc>
          <w:tcPr>
            <w:tcW w:w="3980" w:type="dxa"/>
          </w:tcPr>
          <w:p w14:paraId="217672BE" w14:textId="77777777" w:rsidR="006E45AD" w:rsidRPr="002042B0" w:rsidRDefault="006E45AD" w:rsidP="007B1916">
            <w:pPr>
              <w:pStyle w:val="ATSNormal"/>
            </w:pPr>
            <w:r w:rsidRPr="002042B0">
              <w:rPr>
                <w:snapToGrid w:val="0"/>
                <w:sz w:val="20"/>
                <w:szCs w:val="20"/>
              </w:rPr>
              <w:t>Resolution 1 (1998), Decision 4 (1998),</w:t>
            </w:r>
            <w:r w:rsidRPr="002042B0">
              <w:rPr>
                <w:snapToGrid w:val="0"/>
                <w:sz w:val="20"/>
                <w:szCs w:val="20"/>
                <w:lang w:eastAsia="en-US"/>
              </w:rPr>
              <w:t xml:space="preserve"> Decision 9 (2005)</w:t>
            </w:r>
          </w:p>
        </w:tc>
      </w:tr>
      <w:tr w:rsidR="006E45AD" w:rsidRPr="002042B0" w14:paraId="7C457754" w14:textId="77777777" w:rsidTr="007B1916">
        <w:trPr>
          <w:cantSplit/>
        </w:trPr>
        <w:tc>
          <w:tcPr>
            <w:tcW w:w="9855" w:type="dxa"/>
            <w:gridSpan w:val="2"/>
          </w:tcPr>
          <w:p w14:paraId="5DA0C8D5" w14:textId="77777777" w:rsidR="006E45AD" w:rsidRPr="002042B0" w:rsidRDefault="006E45AD" w:rsidP="007B1916">
            <w:pPr>
              <w:pStyle w:val="ATSNormal"/>
              <w:rPr>
                <w:b/>
                <w:snapToGrid w:val="0"/>
                <w:sz w:val="20"/>
                <w:szCs w:val="20"/>
              </w:rPr>
            </w:pPr>
            <w:r w:rsidRPr="002042B0">
              <w:rPr>
                <w:b/>
                <w:snapToGrid w:val="0"/>
                <w:sz w:val="20"/>
                <w:szCs w:val="20"/>
              </w:rPr>
              <w:t>4. If the proposal contains a revision of an existing management plan, please indicate the types of amendment:</w:t>
            </w:r>
          </w:p>
        </w:tc>
      </w:tr>
      <w:tr w:rsidR="006E45AD" w:rsidRPr="002042B0" w14:paraId="634548F0" w14:textId="77777777" w:rsidTr="007B1916">
        <w:tc>
          <w:tcPr>
            <w:tcW w:w="5875" w:type="dxa"/>
          </w:tcPr>
          <w:p w14:paraId="0FFFDD8F" w14:textId="77777777" w:rsidR="006E45AD" w:rsidRPr="002042B0" w:rsidRDefault="006E45AD" w:rsidP="007B1916">
            <w:pPr>
              <w:pStyle w:val="ATSNormal"/>
              <w:jc w:val="center"/>
              <w:rPr>
                <w:i/>
                <w:sz w:val="20"/>
                <w:szCs w:val="20"/>
              </w:rPr>
            </w:pPr>
            <w:r w:rsidRPr="002042B0">
              <w:rPr>
                <w:i/>
                <w:sz w:val="20"/>
                <w:szCs w:val="20"/>
              </w:rPr>
              <w:t>(</w:t>
            </w:r>
            <w:proofErr w:type="spellStart"/>
            <w:r w:rsidRPr="002042B0">
              <w:rPr>
                <w:i/>
                <w:sz w:val="20"/>
                <w:szCs w:val="20"/>
              </w:rPr>
              <w:t>i</w:t>
            </w:r>
            <w:proofErr w:type="spellEnd"/>
            <w:r w:rsidRPr="002042B0">
              <w:rPr>
                <w:i/>
                <w:sz w:val="20"/>
                <w:szCs w:val="20"/>
              </w:rPr>
              <w:t>) major or minor?</w:t>
            </w:r>
          </w:p>
        </w:tc>
        <w:tc>
          <w:tcPr>
            <w:tcW w:w="3980" w:type="dxa"/>
          </w:tcPr>
          <w:p w14:paraId="65E37D28" w14:textId="77777777" w:rsidR="006E45AD" w:rsidRPr="002042B0" w:rsidRDefault="006E45AD" w:rsidP="007B1916">
            <w:pPr>
              <w:pStyle w:val="ATSNormal"/>
              <w:rPr>
                <w:snapToGrid w:val="0"/>
                <w:sz w:val="20"/>
                <w:szCs w:val="20"/>
              </w:rPr>
            </w:pPr>
            <w:r w:rsidRPr="002042B0">
              <w:rPr>
                <w:snapToGrid w:val="0"/>
                <w:sz w:val="20"/>
                <w:szCs w:val="20"/>
              </w:rPr>
              <w:t>Major. Merger of two ASPAs into one.</w:t>
            </w:r>
          </w:p>
        </w:tc>
      </w:tr>
      <w:tr w:rsidR="006E45AD" w:rsidRPr="002042B0" w14:paraId="04025F17" w14:textId="77777777" w:rsidTr="007B1916">
        <w:tc>
          <w:tcPr>
            <w:tcW w:w="5875" w:type="dxa"/>
          </w:tcPr>
          <w:p w14:paraId="740BFE1E" w14:textId="77777777" w:rsidR="006E45AD" w:rsidRPr="002042B0" w:rsidRDefault="006E45AD" w:rsidP="007B1916">
            <w:pPr>
              <w:pStyle w:val="ATSNormal"/>
              <w:jc w:val="center"/>
              <w:rPr>
                <w:i/>
                <w:sz w:val="20"/>
                <w:szCs w:val="20"/>
              </w:rPr>
            </w:pPr>
            <w:r w:rsidRPr="002042B0">
              <w:rPr>
                <w:i/>
                <w:sz w:val="20"/>
                <w:szCs w:val="20"/>
              </w:rPr>
              <w:t>(ii) any changes to the boundaries or co-ordinates?</w:t>
            </w:r>
          </w:p>
        </w:tc>
        <w:tc>
          <w:tcPr>
            <w:tcW w:w="3980" w:type="dxa"/>
          </w:tcPr>
          <w:p w14:paraId="0B20CA6D" w14:textId="77777777" w:rsidR="006E45AD" w:rsidRPr="002042B0" w:rsidRDefault="006E45AD" w:rsidP="007B1916">
            <w:pPr>
              <w:pStyle w:val="ATSNormal"/>
              <w:rPr>
                <w:snapToGrid w:val="0"/>
                <w:sz w:val="20"/>
                <w:szCs w:val="20"/>
              </w:rPr>
            </w:pPr>
            <w:r w:rsidRPr="002042B0">
              <w:rPr>
                <w:snapToGrid w:val="0"/>
                <w:sz w:val="20"/>
                <w:szCs w:val="20"/>
              </w:rPr>
              <w:t>Yes. Boundaries generally follow those of ASPAs 152 &amp; 153 but have been updated to reflect improved data on the extent of the shallow marine shelves of scientific interest.</w:t>
            </w:r>
          </w:p>
        </w:tc>
      </w:tr>
      <w:tr w:rsidR="006E45AD" w:rsidRPr="002042B0" w14:paraId="62D70A87" w14:textId="77777777" w:rsidTr="007B1916">
        <w:tc>
          <w:tcPr>
            <w:tcW w:w="5875" w:type="dxa"/>
          </w:tcPr>
          <w:p w14:paraId="6A069E44" w14:textId="77777777" w:rsidR="006E45AD" w:rsidRPr="002042B0" w:rsidRDefault="006E45AD" w:rsidP="007B1916">
            <w:pPr>
              <w:pStyle w:val="ATSNormal"/>
              <w:jc w:val="center"/>
              <w:rPr>
                <w:i/>
                <w:sz w:val="20"/>
                <w:szCs w:val="20"/>
              </w:rPr>
            </w:pPr>
            <w:r w:rsidRPr="002042B0">
              <w:rPr>
                <w:i/>
                <w:sz w:val="20"/>
                <w:szCs w:val="20"/>
              </w:rPr>
              <w:t>(iii) any changes to the maps? If yes, are the changes in the captions only or also in the graphics?</w:t>
            </w:r>
          </w:p>
        </w:tc>
        <w:tc>
          <w:tcPr>
            <w:tcW w:w="3980" w:type="dxa"/>
          </w:tcPr>
          <w:p w14:paraId="1AF2774A" w14:textId="77777777" w:rsidR="006E45AD" w:rsidRPr="002042B0" w:rsidRDefault="006E45AD" w:rsidP="007B1916">
            <w:pPr>
              <w:pStyle w:val="ATSNormal"/>
              <w:rPr>
                <w:sz w:val="20"/>
                <w:szCs w:val="20"/>
              </w:rPr>
            </w:pPr>
            <w:r w:rsidRPr="002042B0">
              <w:rPr>
                <w:snapToGrid w:val="0"/>
                <w:sz w:val="20"/>
                <w:szCs w:val="20"/>
              </w:rPr>
              <w:t>Yes</w:t>
            </w:r>
            <w:r w:rsidRPr="002042B0">
              <w:rPr>
                <w:sz w:val="20"/>
                <w:szCs w:val="20"/>
              </w:rPr>
              <w:t>. New maps have been made for the Area.</w:t>
            </w:r>
          </w:p>
        </w:tc>
      </w:tr>
      <w:tr w:rsidR="006E45AD" w:rsidRPr="002042B0" w14:paraId="5EF5D489" w14:textId="77777777" w:rsidTr="007B1916">
        <w:tc>
          <w:tcPr>
            <w:tcW w:w="5875" w:type="dxa"/>
          </w:tcPr>
          <w:p w14:paraId="6EBBC32B" w14:textId="77777777" w:rsidR="006E45AD" w:rsidRPr="002042B0" w:rsidRDefault="006E45AD" w:rsidP="007B1916">
            <w:pPr>
              <w:pStyle w:val="ATSNormal"/>
              <w:jc w:val="center"/>
              <w:rPr>
                <w:i/>
                <w:sz w:val="20"/>
                <w:szCs w:val="20"/>
              </w:rPr>
            </w:pPr>
            <w:r w:rsidRPr="002042B0">
              <w:rPr>
                <w:i/>
                <w:sz w:val="20"/>
                <w:szCs w:val="20"/>
              </w:rPr>
              <w:t>(iv) any change to the description of the area that is relevant to identifying its location or its boundaries?</w:t>
            </w:r>
          </w:p>
        </w:tc>
        <w:tc>
          <w:tcPr>
            <w:tcW w:w="3980" w:type="dxa"/>
          </w:tcPr>
          <w:p w14:paraId="343B3891" w14:textId="77777777" w:rsidR="006E45AD" w:rsidRPr="002042B0" w:rsidRDefault="006E45AD" w:rsidP="007B1916">
            <w:pPr>
              <w:pStyle w:val="ATSNormal"/>
              <w:rPr>
                <w:snapToGrid w:val="0"/>
                <w:sz w:val="20"/>
                <w:szCs w:val="20"/>
              </w:rPr>
            </w:pPr>
            <w:r w:rsidRPr="002042B0">
              <w:rPr>
                <w:snapToGrid w:val="0"/>
                <w:sz w:val="20"/>
                <w:szCs w:val="20"/>
              </w:rPr>
              <w:t>The merger of the two ASPAs has changed the boundaries of the Area. However, Site A and Site B occupy the same general locations as the boundaries of the existing ASPAs.</w:t>
            </w:r>
          </w:p>
        </w:tc>
      </w:tr>
      <w:tr w:rsidR="006E45AD" w:rsidRPr="002042B0" w14:paraId="5329B94B" w14:textId="77777777" w:rsidTr="007B1916">
        <w:tc>
          <w:tcPr>
            <w:tcW w:w="5875" w:type="dxa"/>
          </w:tcPr>
          <w:p w14:paraId="17E77F03" w14:textId="77777777" w:rsidR="006E45AD" w:rsidRPr="002042B0" w:rsidRDefault="006E45AD" w:rsidP="007B1916">
            <w:pPr>
              <w:pStyle w:val="ATSNormal"/>
              <w:jc w:val="center"/>
              <w:rPr>
                <w:i/>
                <w:sz w:val="20"/>
                <w:szCs w:val="20"/>
              </w:rPr>
            </w:pPr>
            <w:r w:rsidRPr="002042B0">
              <w:rPr>
                <w:i/>
                <w:sz w:val="20"/>
                <w:szCs w:val="20"/>
              </w:rPr>
              <w:t xml:space="preserve">(v) any changes that affect any other ASPA, ASMA or HSM within this area or adjacent to it? In particular, please </w:t>
            </w:r>
            <w:r w:rsidRPr="002042B0">
              <w:rPr>
                <w:i/>
                <w:sz w:val="20"/>
                <w:szCs w:val="20"/>
              </w:rPr>
              <w:lastRenderedPageBreak/>
              <w:t xml:space="preserve">explain any merger </w:t>
            </w:r>
            <w:proofErr w:type="gramStart"/>
            <w:r w:rsidRPr="002042B0">
              <w:rPr>
                <w:i/>
                <w:sz w:val="20"/>
                <w:szCs w:val="20"/>
              </w:rPr>
              <w:t>with,</w:t>
            </w:r>
            <w:proofErr w:type="gramEnd"/>
            <w:r w:rsidRPr="002042B0">
              <w:rPr>
                <w:i/>
                <w:sz w:val="20"/>
                <w:szCs w:val="20"/>
              </w:rPr>
              <w:t xml:space="preserve"> incorporation of or abolition of any existing area or site.</w:t>
            </w:r>
          </w:p>
        </w:tc>
        <w:tc>
          <w:tcPr>
            <w:tcW w:w="3980" w:type="dxa"/>
          </w:tcPr>
          <w:p w14:paraId="27005781" w14:textId="77777777" w:rsidR="006E45AD" w:rsidRPr="002042B0" w:rsidRDefault="006E45AD" w:rsidP="007B1916">
            <w:pPr>
              <w:pStyle w:val="ATSNormal"/>
              <w:rPr>
                <w:snapToGrid w:val="0"/>
                <w:sz w:val="20"/>
                <w:szCs w:val="20"/>
              </w:rPr>
            </w:pPr>
            <w:r w:rsidRPr="002042B0">
              <w:rPr>
                <w:snapToGrid w:val="0"/>
                <w:sz w:val="20"/>
                <w:szCs w:val="20"/>
              </w:rPr>
              <w:lastRenderedPageBreak/>
              <w:t xml:space="preserve">Yes. ASPA No.152 Western Bransfield Strait and ASPA No.153 Eastern </w:t>
            </w:r>
            <w:proofErr w:type="spellStart"/>
            <w:r w:rsidRPr="002042B0">
              <w:rPr>
                <w:snapToGrid w:val="0"/>
                <w:sz w:val="20"/>
                <w:szCs w:val="20"/>
              </w:rPr>
              <w:lastRenderedPageBreak/>
              <w:t>Dallmann</w:t>
            </w:r>
            <w:proofErr w:type="spellEnd"/>
            <w:r w:rsidRPr="002042B0">
              <w:rPr>
                <w:snapToGrid w:val="0"/>
                <w:sz w:val="20"/>
                <w:szCs w:val="20"/>
              </w:rPr>
              <w:t xml:space="preserve"> Bay will be merged into a single new ASPA with two spatially separate components: Site A and Site B which are in the same location as the existing ASPAs.</w:t>
            </w:r>
          </w:p>
        </w:tc>
      </w:tr>
      <w:tr w:rsidR="006E45AD" w:rsidRPr="002042B0" w14:paraId="78A62FB6" w14:textId="77777777" w:rsidTr="007B1916">
        <w:tc>
          <w:tcPr>
            <w:tcW w:w="5875" w:type="dxa"/>
          </w:tcPr>
          <w:p w14:paraId="02B64C64" w14:textId="77777777" w:rsidR="006E45AD" w:rsidRPr="002042B0" w:rsidRDefault="006E45AD" w:rsidP="007B1916">
            <w:pPr>
              <w:pStyle w:val="ATSNormal"/>
              <w:jc w:val="center"/>
              <w:rPr>
                <w:i/>
                <w:sz w:val="20"/>
                <w:szCs w:val="20"/>
              </w:rPr>
            </w:pPr>
            <w:r w:rsidRPr="002042B0">
              <w:rPr>
                <w:i/>
                <w:sz w:val="20"/>
                <w:szCs w:val="20"/>
              </w:rPr>
              <w:lastRenderedPageBreak/>
              <w:t xml:space="preserve">(vi) Other - </w:t>
            </w:r>
            <w:proofErr w:type="gramStart"/>
            <w:r w:rsidRPr="002042B0">
              <w:rPr>
                <w:i/>
                <w:sz w:val="20"/>
                <w:szCs w:val="20"/>
              </w:rPr>
              <w:t>brief summary</w:t>
            </w:r>
            <w:proofErr w:type="gramEnd"/>
            <w:r w:rsidRPr="002042B0">
              <w:rPr>
                <w:i/>
                <w:sz w:val="20"/>
                <w:szCs w:val="20"/>
              </w:rPr>
              <w:t xml:space="preserve"> of other types of changes, indicating the paragraphs of the management plan in which these are located.</w:t>
            </w:r>
          </w:p>
        </w:tc>
        <w:tc>
          <w:tcPr>
            <w:tcW w:w="3980" w:type="dxa"/>
          </w:tcPr>
          <w:p w14:paraId="269D3926" w14:textId="77777777" w:rsidR="006E45AD" w:rsidRPr="002042B0" w:rsidRDefault="006E45AD" w:rsidP="007B1916">
            <w:pPr>
              <w:pStyle w:val="ATSNormal"/>
              <w:rPr>
                <w:sz w:val="20"/>
                <w:szCs w:val="20"/>
              </w:rPr>
            </w:pPr>
            <w:r w:rsidRPr="002042B0">
              <w:rPr>
                <w:sz w:val="20"/>
                <w:szCs w:val="20"/>
              </w:rPr>
              <w:t>The description of the Area merges the text in the existing management plans into a single narrative. The scientific description of the Area has been updated to reflect recent information and results.</w:t>
            </w:r>
          </w:p>
        </w:tc>
      </w:tr>
      <w:tr w:rsidR="006E45AD" w:rsidRPr="002042B0" w14:paraId="6D01754D" w14:textId="77777777" w:rsidTr="007B1916">
        <w:tc>
          <w:tcPr>
            <w:tcW w:w="5875" w:type="dxa"/>
          </w:tcPr>
          <w:p w14:paraId="1A813FD9" w14:textId="77777777" w:rsidR="006E45AD" w:rsidRPr="002042B0" w:rsidRDefault="006E45AD" w:rsidP="007B1916">
            <w:pPr>
              <w:pStyle w:val="ATSNormal"/>
              <w:rPr>
                <w:b/>
                <w:snapToGrid w:val="0"/>
                <w:sz w:val="20"/>
                <w:szCs w:val="20"/>
              </w:rPr>
            </w:pPr>
            <w:r w:rsidRPr="002042B0">
              <w:rPr>
                <w:b/>
                <w:snapToGrid w:val="0"/>
                <w:sz w:val="20"/>
                <w:szCs w:val="20"/>
              </w:rPr>
              <w:t>5. If a new ASPA or ASMA is proposed, does it contain any marine area?</w:t>
            </w:r>
          </w:p>
        </w:tc>
        <w:tc>
          <w:tcPr>
            <w:tcW w:w="3980" w:type="dxa"/>
          </w:tcPr>
          <w:p w14:paraId="6B7B1C81" w14:textId="77777777" w:rsidR="006E45AD" w:rsidRPr="002042B0" w:rsidRDefault="006E45AD" w:rsidP="007B1916">
            <w:pPr>
              <w:pStyle w:val="ATSNormal"/>
              <w:rPr>
                <w:snapToGrid w:val="0"/>
                <w:sz w:val="20"/>
                <w:szCs w:val="20"/>
              </w:rPr>
            </w:pPr>
            <w:r w:rsidRPr="002042B0">
              <w:rPr>
                <w:snapToGrid w:val="0"/>
                <w:sz w:val="20"/>
                <w:szCs w:val="20"/>
              </w:rPr>
              <w:t>Yes, the merged ASPA contains the marine areas of ASPAs No.152 and No.153.</w:t>
            </w:r>
          </w:p>
        </w:tc>
      </w:tr>
      <w:tr w:rsidR="006E45AD" w:rsidRPr="002042B0" w14:paraId="27CF8CD4" w14:textId="77777777" w:rsidTr="007B1916">
        <w:tc>
          <w:tcPr>
            <w:tcW w:w="5875" w:type="dxa"/>
          </w:tcPr>
          <w:p w14:paraId="6BFDEF4D" w14:textId="77777777" w:rsidR="006E45AD" w:rsidRPr="002042B0" w:rsidRDefault="006E45AD" w:rsidP="007B1916">
            <w:pPr>
              <w:pStyle w:val="ATSNormal"/>
              <w:rPr>
                <w:b/>
                <w:snapToGrid w:val="0"/>
                <w:sz w:val="20"/>
                <w:szCs w:val="20"/>
              </w:rPr>
            </w:pPr>
            <w:r w:rsidRPr="002042B0">
              <w:rPr>
                <w:b/>
                <w:snapToGrid w:val="0"/>
                <w:sz w:val="20"/>
                <w:szCs w:val="20"/>
              </w:rPr>
              <w:t>6. If yes, does the proposal require the prior approval of CCAMLR in accordance with Decision 9 (2005)?</w:t>
            </w:r>
          </w:p>
        </w:tc>
        <w:tc>
          <w:tcPr>
            <w:tcW w:w="3980" w:type="dxa"/>
          </w:tcPr>
          <w:p w14:paraId="07D23F35" w14:textId="77777777" w:rsidR="006E45AD" w:rsidRPr="002042B0" w:rsidRDefault="006E45AD" w:rsidP="007B1916">
            <w:pPr>
              <w:pStyle w:val="ATSNormal"/>
              <w:rPr>
                <w:snapToGrid w:val="0"/>
                <w:sz w:val="20"/>
                <w:szCs w:val="20"/>
              </w:rPr>
            </w:pPr>
            <w:r w:rsidRPr="002042B0">
              <w:rPr>
                <w:snapToGrid w:val="0"/>
                <w:sz w:val="20"/>
                <w:szCs w:val="20"/>
              </w:rPr>
              <w:t xml:space="preserve">ASPAs No.152 and No.153 are already approved by CCAMLR. However, approval by CCAMLR for the merger of these two marine ASPAs may </w:t>
            </w:r>
            <w:r>
              <w:rPr>
                <w:snapToGrid w:val="0"/>
                <w:sz w:val="20"/>
                <w:szCs w:val="20"/>
              </w:rPr>
              <w:t xml:space="preserve">be </w:t>
            </w:r>
            <w:r w:rsidRPr="002042B0">
              <w:rPr>
                <w:snapToGrid w:val="0"/>
                <w:sz w:val="20"/>
                <w:szCs w:val="20"/>
              </w:rPr>
              <w:t>considered necessary.</w:t>
            </w:r>
          </w:p>
        </w:tc>
      </w:tr>
      <w:tr w:rsidR="006E45AD" w:rsidRPr="002042B0" w14:paraId="42AB480A" w14:textId="77777777" w:rsidTr="007B1916">
        <w:tc>
          <w:tcPr>
            <w:tcW w:w="5875" w:type="dxa"/>
          </w:tcPr>
          <w:p w14:paraId="605A59CF" w14:textId="77777777" w:rsidR="006E45AD" w:rsidRPr="002042B0" w:rsidRDefault="006E45AD" w:rsidP="007B1916">
            <w:pPr>
              <w:pStyle w:val="ATSNormal"/>
              <w:rPr>
                <w:b/>
                <w:sz w:val="20"/>
                <w:szCs w:val="20"/>
              </w:rPr>
            </w:pPr>
            <w:r w:rsidRPr="002042B0">
              <w:rPr>
                <w:b/>
                <w:sz w:val="20"/>
                <w:szCs w:val="20"/>
              </w:rPr>
              <w:t xml:space="preserve">7. If yes, has the prior approval of CCAMLR been obtained? </w:t>
            </w:r>
          </w:p>
        </w:tc>
        <w:tc>
          <w:tcPr>
            <w:tcW w:w="3980" w:type="dxa"/>
          </w:tcPr>
          <w:p w14:paraId="05344E44" w14:textId="77777777" w:rsidR="006E45AD" w:rsidRPr="002042B0" w:rsidRDefault="006E45AD" w:rsidP="007B1916">
            <w:pPr>
              <w:pStyle w:val="ATSNormal"/>
              <w:rPr>
                <w:snapToGrid w:val="0"/>
                <w:sz w:val="20"/>
                <w:szCs w:val="20"/>
              </w:rPr>
            </w:pPr>
            <w:r w:rsidRPr="002042B0">
              <w:rPr>
                <w:snapToGrid w:val="0"/>
                <w:sz w:val="20"/>
                <w:szCs w:val="20"/>
              </w:rPr>
              <w:t>Yes. Approval exists for the existing ASPAs.</w:t>
            </w:r>
          </w:p>
        </w:tc>
      </w:tr>
      <w:tr w:rsidR="006E45AD" w:rsidRPr="002042B0" w14:paraId="67094402" w14:textId="77777777" w:rsidTr="007B1916">
        <w:tc>
          <w:tcPr>
            <w:tcW w:w="5875" w:type="dxa"/>
          </w:tcPr>
          <w:p w14:paraId="3FF79075" w14:textId="77777777" w:rsidR="006E45AD" w:rsidRPr="002042B0" w:rsidRDefault="006E45AD" w:rsidP="007B1916">
            <w:pPr>
              <w:pStyle w:val="ATSNormal"/>
              <w:jc w:val="center"/>
              <w:rPr>
                <w:i/>
                <w:sz w:val="20"/>
                <w:szCs w:val="20"/>
              </w:rPr>
            </w:pPr>
            <w:r w:rsidRPr="002042B0">
              <w:rPr>
                <w:i/>
                <w:sz w:val="20"/>
                <w:szCs w:val="20"/>
              </w:rPr>
              <w:t>If yes, please list the CCAMLR Final Report and Paragraph No.</w:t>
            </w:r>
          </w:p>
        </w:tc>
        <w:tc>
          <w:tcPr>
            <w:tcW w:w="3980" w:type="dxa"/>
          </w:tcPr>
          <w:p w14:paraId="176DB6C4" w14:textId="77777777" w:rsidR="006E45AD" w:rsidRPr="002042B0" w:rsidRDefault="006E45AD" w:rsidP="007B1916">
            <w:pPr>
              <w:pStyle w:val="ATSNormal"/>
              <w:rPr>
                <w:snapToGrid w:val="0"/>
                <w:sz w:val="20"/>
                <w:szCs w:val="20"/>
              </w:rPr>
            </w:pPr>
            <w:r w:rsidRPr="002042B0">
              <w:rPr>
                <w:snapToGrid w:val="0"/>
                <w:sz w:val="20"/>
                <w:szCs w:val="20"/>
              </w:rPr>
              <w:t>N/A</w:t>
            </w:r>
          </w:p>
        </w:tc>
      </w:tr>
      <w:tr w:rsidR="006E45AD" w:rsidRPr="002042B0" w14:paraId="5C441BF4" w14:textId="77777777" w:rsidTr="007B1916">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6982F384" w14:textId="77777777" w:rsidR="006E45AD" w:rsidRPr="002042B0" w:rsidRDefault="006E45AD" w:rsidP="007B1916">
            <w:pPr>
              <w:pStyle w:val="Default"/>
              <w:autoSpaceDE/>
              <w:adjustRightInd/>
              <w:spacing w:before="120" w:after="120"/>
              <w:rPr>
                <w:b/>
                <w:sz w:val="20"/>
                <w:szCs w:val="20"/>
              </w:rPr>
            </w:pPr>
            <w:r w:rsidRPr="002042B0">
              <w:rPr>
                <w:b/>
                <w:sz w:val="20"/>
                <w:szCs w:val="20"/>
              </w:rPr>
              <w:t>8. If the proposal relates to an ASPA, what is the primary reason for designation (</w:t>
            </w:r>
            <w:r w:rsidRPr="002042B0">
              <w:rPr>
                <w:b/>
                <w:i/>
                <w:iCs/>
                <w:sz w:val="20"/>
                <w:szCs w:val="20"/>
              </w:rPr>
              <w:t>i.e.</w:t>
            </w:r>
            <w:r w:rsidRPr="002042B0">
              <w:rPr>
                <w:b/>
                <w:sz w:val="20"/>
                <w:szCs w:val="20"/>
              </w:rPr>
              <w:t>, which part under Article 3.2 of Annex V)?</w:t>
            </w:r>
          </w:p>
        </w:tc>
        <w:tc>
          <w:tcPr>
            <w:tcW w:w="3980" w:type="dxa"/>
            <w:tcBorders>
              <w:top w:val="single" w:sz="4" w:space="0" w:color="auto"/>
              <w:left w:val="single" w:sz="4" w:space="0" w:color="auto"/>
              <w:bottom w:val="single" w:sz="4" w:space="0" w:color="auto"/>
              <w:right w:val="single" w:sz="4" w:space="0" w:color="auto"/>
            </w:tcBorders>
            <w:hideMark/>
          </w:tcPr>
          <w:p w14:paraId="5FC4F348" w14:textId="77777777" w:rsidR="006E45AD" w:rsidRPr="002042B0" w:rsidRDefault="006E45AD" w:rsidP="007B1916">
            <w:pPr>
              <w:pStyle w:val="ATSNormal"/>
              <w:keepNext/>
              <w:rPr>
                <w:sz w:val="20"/>
                <w:szCs w:val="20"/>
              </w:rPr>
            </w:pPr>
            <w:r w:rsidRPr="002042B0">
              <w:rPr>
                <w:snapToGrid w:val="0"/>
                <w:sz w:val="20"/>
                <w:szCs w:val="20"/>
              </w:rPr>
              <w:t xml:space="preserve">The primary reason for designation is to protect the </w:t>
            </w:r>
            <w:r w:rsidRPr="002042B0">
              <w:rPr>
                <w:sz w:val="20"/>
                <w:szCs w:val="20"/>
              </w:rPr>
              <w:t xml:space="preserve">shallow shelves in the marine region in western Bransfield Strait and eastern </w:t>
            </w:r>
            <w:proofErr w:type="spellStart"/>
            <w:r w:rsidRPr="002042B0">
              <w:rPr>
                <w:sz w:val="20"/>
                <w:szCs w:val="20"/>
              </w:rPr>
              <w:t>Dallmann</w:t>
            </w:r>
            <w:proofErr w:type="spellEnd"/>
            <w:r w:rsidRPr="002042B0">
              <w:rPr>
                <w:sz w:val="20"/>
                <w:szCs w:val="20"/>
              </w:rPr>
              <w:t xml:space="preserve"> Bay which are used for scientific studies of the composition, </w:t>
            </w:r>
            <w:proofErr w:type="gramStart"/>
            <w:r w:rsidRPr="002042B0">
              <w:rPr>
                <w:sz w:val="20"/>
                <w:szCs w:val="20"/>
              </w:rPr>
              <w:t>structure</w:t>
            </w:r>
            <w:proofErr w:type="gramEnd"/>
            <w:r w:rsidRPr="002042B0">
              <w:rPr>
                <w:sz w:val="20"/>
                <w:szCs w:val="20"/>
              </w:rPr>
              <w:t xml:space="preserve"> and dynamics of marine communities</w:t>
            </w:r>
            <w:r w:rsidRPr="002042B0">
              <w:rPr>
                <w:snapToGrid w:val="0"/>
                <w:sz w:val="20"/>
                <w:szCs w:val="20"/>
              </w:rPr>
              <w:t>.</w:t>
            </w:r>
            <w:r w:rsidRPr="002042B0">
              <w:rPr>
                <w:sz w:val="20"/>
                <w:szCs w:val="20"/>
              </w:rPr>
              <w:t xml:space="preserve"> Under Article 3.2 of Annex V the main reason for special protection is:</w:t>
            </w:r>
          </w:p>
          <w:p w14:paraId="21B5F351" w14:textId="77777777" w:rsidR="006E45AD" w:rsidRPr="002042B0" w:rsidRDefault="006E45AD" w:rsidP="007B1916">
            <w:pPr>
              <w:pStyle w:val="ATSNormal"/>
              <w:keepNext/>
              <w:rPr>
                <w:sz w:val="20"/>
                <w:szCs w:val="20"/>
              </w:rPr>
            </w:pPr>
            <w:r w:rsidRPr="002042B0">
              <w:rPr>
                <w:snapToGrid w:val="0"/>
                <w:sz w:val="20"/>
                <w:szCs w:val="20"/>
              </w:rPr>
              <w:t>(e) areas of particular interest to on-going or planned scientific research</w:t>
            </w:r>
            <w:r w:rsidRPr="002042B0">
              <w:rPr>
                <w:sz w:val="20"/>
                <w:szCs w:val="20"/>
              </w:rPr>
              <w:t>.</w:t>
            </w:r>
          </w:p>
        </w:tc>
      </w:tr>
      <w:tr w:rsidR="006E45AD" w:rsidRPr="002042B0" w14:paraId="7E8323D6" w14:textId="77777777" w:rsidTr="007B1916">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3BF13BF4" w14:textId="77777777" w:rsidR="006E45AD" w:rsidRPr="002042B0" w:rsidRDefault="006E45AD" w:rsidP="007B1916">
            <w:pPr>
              <w:pStyle w:val="Default"/>
              <w:autoSpaceDE/>
              <w:adjustRightInd/>
              <w:spacing w:before="120" w:after="120"/>
              <w:rPr>
                <w:b/>
                <w:sz w:val="20"/>
                <w:szCs w:val="20"/>
              </w:rPr>
            </w:pPr>
            <w:r w:rsidRPr="002042B0">
              <w:rPr>
                <w:b/>
                <w:sz w:val="20"/>
                <w:szCs w:val="20"/>
              </w:rPr>
              <w:t>9. Have you identified the main Environmental Domain represented by the ASPA/ASMA (Resolution 3 (2008))?</w:t>
            </w:r>
          </w:p>
        </w:tc>
        <w:tc>
          <w:tcPr>
            <w:tcW w:w="3980" w:type="dxa"/>
            <w:tcBorders>
              <w:top w:val="single" w:sz="4" w:space="0" w:color="auto"/>
              <w:left w:val="single" w:sz="4" w:space="0" w:color="auto"/>
              <w:bottom w:val="single" w:sz="4" w:space="0" w:color="auto"/>
              <w:right w:val="single" w:sz="4" w:space="0" w:color="auto"/>
            </w:tcBorders>
            <w:hideMark/>
          </w:tcPr>
          <w:p w14:paraId="3095D117" w14:textId="77777777" w:rsidR="006E45AD" w:rsidRPr="002042B0" w:rsidRDefault="006E45AD" w:rsidP="007B1916">
            <w:pPr>
              <w:pStyle w:val="ATSNormal"/>
            </w:pPr>
            <w:r w:rsidRPr="002042B0">
              <w:rPr>
                <w:sz w:val="20"/>
              </w:rPr>
              <w:t>N/A. The EDA classification is based on terrestrial criteria, and therefore has limited applicability in the marine environment.</w:t>
            </w:r>
          </w:p>
        </w:tc>
      </w:tr>
      <w:tr w:rsidR="006E45AD" w14:paraId="23AFFFA9" w14:textId="77777777" w:rsidTr="007B1916">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0802C9B3" w14:textId="77777777" w:rsidR="006E45AD" w:rsidRPr="002042B0" w:rsidRDefault="006E45AD" w:rsidP="007B1916">
            <w:pPr>
              <w:pStyle w:val="Default"/>
              <w:autoSpaceDE/>
              <w:adjustRightInd/>
              <w:spacing w:before="120" w:after="120"/>
              <w:rPr>
                <w:b/>
                <w:sz w:val="20"/>
                <w:szCs w:val="20"/>
              </w:rPr>
            </w:pPr>
            <w:r w:rsidRPr="002042B0">
              <w:rPr>
                <w:b/>
                <w:sz w:val="20"/>
                <w:szCs w:val="20"/>
              </w:rPr>
              <w:t>10. Have you identified the main Antarctic Conservation Biogeographic Region represented by the ASPA/ASMA (Resolution 3 (2017))?</w:t>
            </w:r>
          </w:p>
        </w:tc>
        <w:tc>
          <w:tcPr>
            <w:tcW w:w="3980" w:type="dxa"/>
            <w:tcBorders>
              <w:top w:val="single" w:sz="4" w:space="0" w:color="auto"/>
              <w:left w:val="single" w:sz="4" w:space="0" w:color="auto"/>
              <w:bottom w:val="single" w:sz="4" w:space="0" w:color="auto"/>
              <w:right w:val="single" w:sz="4" w:space="0" w:color="auto"/>
            </w:tcBorders>
            <w:hideMark/>
          </w:tcPr>
          <w:p w14:paraId="6E007C5D" w14:textId="77777777" w:rsidR="006E45AD" w:rsidRPr="000C3FC4" w:rsidRDefault="006E45AD" w:rsidP="007B1916">
            <w:pPr>
              <w:pStyle w:val="ATSNormal"/>
              <w:rPr>
                <w:sz w:val="20"/>
              </w:rPr>
            </w:pPr>
            <w:r w:rsidRPr="002042B0">
              <w:rPr>
                <w:sz w:val="20"/>
              </w:rPr>
              <w:t>N/A. The ACBR classification is based on terrestrial criteria, and therefore has limited applicability in the marine environment.</w:t>
            </w:r>
          </w:p>
        </w:tc>
      </w:tr>
      <w:tr w:rsidR="006E45AD" w14:paraId="349D297A" w14:textId="77777777" w:rsidTr="007B1916">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31EFC43F" w14:textId="77777777" w:rsidR="006E45AD" w:rsidRPr="004A1897" w:rsidRDefault="006E45AD" w:rsidP="007B1916">
            <w:pPr>
              <w:pStyle w:val="Default"/>
              <w:autoSpaceDE/>
              <w:adjustRightInd/>
              <w:spacing w:before="120" w:after="120"/>
              <w:rPr>
                <w:b/>
                <w:sz w:val="20"/>
                <w:szCs w:val="20"/>
              </w:rPr>
            </w:pPr>
            <w:r>
              <w:rPr>
                <w:b/>
                <w:sz w:val="20"/>
                <w:szCs w:val="20"/>
              </w:rPr>
              <w:t>11.</w:t>
            </w:r>
            <w:r w:rsidRPr="004A1897">
              <w:rPr>
                <w:b/>
                <w:sz w:val="20"/>
                <w:szCs w:val="20"/>
              </w:rPr>
              <w:t xml:space="preserve"> Have you identified any Antarctic Important Bird Areas represented by the ASPA/ASMA (Resolution 5 (2015))? </w:t>
            </w:r>
          </w:p>
        </w:tc>
        <w:tc>
          <w:tcPr>
            <w:tcW w:w="3980" w:type="dxa"/>
            <w:tcBorders>
              <w:top w:val="single" w:sz="4" w:space="0" w:color="auto"/>
              <w:left w:val="single" w:sz="4" w:space="0" w:color="auto"/>
              <w:bottom w:val="single" w:sz="4" w:space="0" w:color="auto"/>
              <w:right w:val="single" w:sz="4" w:space="0" w:color="auto"/>
            </w:tcBorders>
            <w:hideMark/>
          </w:tcPr>
          <w:p w14:paraId="56487429" w14:textId="77777777" w:rsidR="006E45AD" w:rsidRPr="004A1897" w:rsidRDefault="006E45AD" w:rsidP="007B1916">
            <w:pPr>
              <w:pStyle w:val="ATSNormal"/>
              <w:rPr>
                <w:snapToGrid w:val="0"/>
                <w:sz w:val="20"/>
                <w:szCs w:val="20"/>
              </w:rPr>
            </w:pPr>
            <w:r>
              <w:rPr>
                <w:snapToGrid w:val="0"/>
                <w:color w:val="000000" w:themeColor="text1"/>
                <w:sz w:val="20"/>
                <w:szCs w:val="20"/>
              </w:rPr>
              <w:t>There are no IBAs within the Area, although IBAs 057, 058, 059 and 060 are located on Low Island near the boundary of Site A.</w:t>
            </w:r>
            <w:r w:rsidRPr="004A1897">
              <w:rPr>
                <w:snapToGrid w:val="0"/>
                <w:color w:val="000000" w:themeColor="text1"/>
                <w:sz w:val="20"/>
                <w:szCs w:val="20"/>
              </w:rPr>
              <w:t xml:space="preserve"> </w:t>
            </w:r>
            <w:r>
              <w:rPr>
                <w:snapToGrid w:val="0"/>
                <w:color w:val="000000" w:themeColor="text1"/>
                <w:sz w:val="20"/>
                <w:szCs w:val="20"/>
              </w:rPr>
              <w:t>There are no IBAs near Site B.</w:t>
            </w:r>
          </w:p>
        </w:tc>
      </w:tr>
    </w:tbl>
    <w:p w14:paraId="7D9B100E" w14:textId="74AC959C" w:rsidR="006E45AD" w:rsidRDefault="006E45AD" w:rsidP="00952E9F">
      <w:r>
        <w:br w:type="page"/>
      </w:r>
    </w:p>
    <w:p w14:paraId="463958D7" w14:textId="77777777" w:rsidR="006E45AD" w:rsidRPr="001B4892" w:rsidRDefault="006E45AD" w:rsidP="006E45AD">
      <w:pPr>
        <w:pStyle w:val="ATSHeading1"/>
      </w:pPr>
      <w:r w:rsidRPr="00702350">
        <w:lastRenderedPageBreak/>
        <w:t xml:space="preserve">ASPA No. XXX Western Bransfield Strait and Eastern </w:t>
      </w:r>
      <w:proofErr w:type="spellStart"/>
      <w:r w:rsidRPr="00702350">
        <w:t>Dallmann</w:t>
      </w:r>
      <w:proofErr w:type="spellEnd"/>
      <w:r w:rsidRPr="00702350">
        <w:t xml:space="preserve"> Bay</w:t>
      </w:r>
    </w:p>
    <w:p w14:paraId="211212A3" w14:textId="77777777" w:rsidR="006E45AD" w:rsidRDefault="006E45AD" w:rsidP="006E45AD">
      <w:pPr>
        <w:pStyle w:val="ATSNumber1"/>
        <w:numPr>
          <w:ilvl w:val="0"/>
          <w:numId w:val="13"/>
        </w:numPr>
      </w:pPr>
      <w:r w:rsidRPr="008A1162">
        <w:t>The</w:t>
      </w:r>
      <w:r w:rsidRPr="005F358A">
        <w:t xml:space="preserve"> </w:t>
      </w:r>
      <w:r>
        <w:t>management plans</w:t>
      </w:r>
      <w:r w:rsidRPr="005F358A">
        <w:t xml:space="preserve"> for ASPA No. </w:t>
      </w:r>
      <w:r>
        <w:t xml:space="preserve">152 Western Bransfield Strait and ASPA No.153 Eastern </w:t>
      </w:r>
      <w:proofErr w:type="spellStart"/>
      <w:r>
        <w:t>Dallmann</w:t>
      </w:r>
      <w:proofErr w:type="spellEnd"/>
      <w:r>
        <w:t xml:space="preserve"> Bay</w:t>
      </w:r>
      <w:r w:rsidRPr="005F358A">
        <w:t xml:space="preserve"> w</w:t>
      </w:r>
      <w:r>
        <w:t>ere</w:t>
      </w:r>
      <w:r w:rsidRPr="005F358A">
        <w:t xml:space="preserve"> last reviewed in 20</w:t>
      </w:r>
      <w:r>
        <w:t>15</w:t>
      </w:r>
      <w:r w:rsidRPr="005F358A">
        <w:t xml:space="preserve">, and review </w:t>
      </w:r>
      <w:r>
        <w:t xml:space="preserve">therefore fell </w:t>
      </w:r>
      <w:r w:rsidRPr="005F358A">
        <w:t>due in 20</w:t>
      </w:r>
      <w:r>
        <w:t>20</w:t>
      </w:r>
      <w:r w:rsidRPr="005F358A">
        <w:t xml:space="preserve">. Accordingly, the United States </w:t>
      </w:r>
      <w:r>
        <w:t>has undertaken a comprehensive review of these sites in close consultation with scientists working in the Area. The review verified that the values under special protection at these sites are still valid and that measures for protection of those values are sufficient.</w:t>
      </w:r>
    </w:p>
    <w:p w14:paraId="4D61CB95" w14:textId="77777777" w:rsidR="006E45AD" w:rsidRDefault="006E45AD" w:rsidP="006E45AD">
      <w:pPr>
        <w:pStyle w:val="ATSNumber1"/>
        <w:numPr>
          <w:ilvl w:val="0"/>
          <w:numId w:val="13"/>
        </w:numPr>
      </w:pPr>
      <w:r>
        <w:t xml:space="preserve">The United States notes that </w:t>
      </w:r>
      <w:r w:rsidRPr="005F358A">
        <w:t xml:space="preserve">ASPA No. </w:t>
      </w:r>
      <w:r>
        <w:t xml:space="preserve">152 Western Bransfield Strait and ASPA No.153 Eastern </w:t>
      </w:r>
      <w:proofErr w:type="spellStart"/>
      <w:r>
        <w:t>Dallmann</w:t>
      </w:r>
      <w:proofErr w:type="spellEnd"/>
      <w:r>
        <w:t xml:space="preserve"> Bay were first designated as SSSIs in 1991, and special protection of these areas has now been in place uninterrupted for over thirty years. These sites are two of the </w:t>
      </w:r>
      <w:proofErr w:type="gramStart"/>
      <w:r>
        <w:t>longest-standing</w:t>
      </w:r>
      <w:proofErr w:type="gramEnd"/>
      <w:r>
        <w:t xml:space="preserve"> fully marine protected areas in Antarctica.</w:t>
      </w:r>
    </w:p>
    <w:p w14:paraId="3BCC0133" w14:textId="77777777" w:rsidR="006E45AD" w:rsidRPr="00611F0E" w:rsidRDefault="006E45AD" w:rsidP="006E45AD">
      <w:pPr>
        <w:pStyle w:val="ATSNumber1"/>
        <w:numPr>
          <w:ilvl w:val="0"/>
          <w:numId w:val="13"/>
        </w:numPr>
      </w:pPr>
      <w:r>
        <w:t>The review identified that ASPA No.152 and ASPA No.153 share common purposes, aims, objectives and management policies</w:t>
      </w:r>
      <w:r>
        <w:rPr>
          <w:lang w:val="en-US"/>
        </w:rPr>
        <w:t>. Moreover, the scientific interest and activities within these areas are also similar. As such, the review identified there would be considerable benefit to merging the two ASPAs into a single plan covering both sites. The merger maintains the same level of protection while simplifying the plan and eliminating much needless duplication.</w:t>
      </w:r>
    </w:p>
    <w:p w14:paraId="1C56D4DA" w14:textId="77777777" w:rsidR="006E45AD" w:rsidRDefault="006E45AD" w:rsidP="006E45AD">
      <w:pPr>
        <w:pStyle w:val="ATSNumber1"/>
        <w:numPr>
          <w:ilvl w:val="0"/>
          <w:numId w:val="13"/>
        </w:numPr>
      </w:pPr>
      <w:r>
        <w:t>The revised management plan includes Site A and Site B (see Map 1), which correspond closely to ASPA No.152 and ASPA No.153 respectively. The review</w:t>
      </w:r>
      <w:r w:rsidRPr="00AF1780">
        <w:t xml:space="preserve"> </w:t>
      </w:r>
      <w:r>
        <w:t xml:space="preserve">considered inclusion of the intervening sea between the two sub-sites within the ASPA and concluded that it did not meet the scientific criteria guiding design of the ASPA boundaries. </w:t>
      </w:r>
      <w:proofErr w:type="gramStart"/>
      <w:r>
        <w:t>Therefore</w:t>
      </w:r>
      <w:proofErr w:type="gramEnd"/>
      <w:r>
        <w:t xml:space="preserve"> the two sub-sites remain spatially separated, and the intervening sea remains excluded from the Area. </w:t>
      </w:r>
    </w:p>
    <w:p w14:paraId="4A306212" w14:textId="77777777" w:rsidR="006E45AD" w:rsidRDefault="006E45AD" w:rsidP="006E45AD">
      <w:pPr>
        <w:pStyle w:val="ATSNumber1"/>
        <w:numPr>
          <w:ilvl w:val="0"/>
          <w:numId w:val="13"/>
        </w:numPr>
      </w:pPr>
      <w:r>
        <w:t>As part of the analysis of site boundaries, the review concluded that enlargement of Site A (corresponding to ASPA No.152 near Low Island)</w:t>
      </w:r>
      <w:r w:rsidRPr="00695CF4">
        <w:t xml:space="preserve"> </w:t>
      </w:r>
      <w:r>
        <w:t xml:space="preserve">and a small reconfiguration of the boundary at Site B (corresponding to ASPA No.153 in </w:t>
      </w:r>
      <w:proofErr w:type="spellStart"/>
      <w:r>
        <w:t>Dallmann</w:t>
      </w:r>
      <w:proofErr w:type="spellEnd"/>
      <w:r>
        <w:t xml:space="preserve"> Bay) was justified </w:t>
      </w:r>
      <w:proofErr w:type="gramStart"/>
      <w:r>
        <w:t>in order to</w:t>
      </w:r>
      <w:proofErr w:type="gramEnd"/>
      <w:r>
        <w:t xml:space="preserve"> follow more faithfully the extent of the shallow shelves in the region that are of special scientific and ecological interest. The changes result in an increase in the size of Site A (compared to ASPA No.152) from 916 km</w:t>
      </w:r>
      <w:r w:rsidRPr="00D25C52">
        <w:rPr>
          <w:vertAlign w:val="superscript"/>
        </w:rPr>
        <w:t>2</w:t>
      </w:r>
      <w:r>
        <w:t xml:space="preserve"> to 1504 km</w:t>
      </w:r>
      <w:r w:rsidRPr="00D25C52">
        <w:rPr>
          <w:vertAlign w:val="superscript"/>
        </w:rPr>
        <w:t>2</w:t>
      </w:r>
      <w:r>
        <w:t>, and Site B (compared to ASPA No.153) from 610 km</w:t>
      </w:r>
      <w:r w:rsidRPr="00D25C52">
        <w:rPr>
          <w:vertAlign w:val="superscript"/>
        </w:rPr>
        <w:t>2</w:t>
      </w:r>
      <w:r>
        <w:t xml:space="preserve"> to 710 km</w:t>
      </w:r>
      <w:r w:rsidRPr="00D25C52">
        <w:rPr>
          <w:vertAlign w:val="superscript"/>
        </w:rPr>
        <w:t>2</w:t>
      </w:r>
      <w:r>
        <w:t>.</w:t>
      </w:r>
    </w:p>
    <w:p w14:paraId="3D2F3331" w14:textId="77777777" w:rsidR="006E45AD" w:rsidRPr="00766542" w:rsidRDefault="006E45AD" w:rsidP="006E45AD">
      <w:pPr>
        <w:pStyle w:val="ATSNumber1"/>
        <w:numPr>
          <w:ilvl w:val="0"/>
          <w:numId w:val="13"/>
        </w:numPr>
      </w:pPr>
      <w:r>
        <w:t xml:space="preserve">The boundaries of Site A and Site B were thus reconfigured to reflect the shallow shelf environments, although this was achieved </w:t>
      </w:r>
      <w:proofErr w:type="gramStart"/>
      <w:r>
        <w:t>taking into account</w:t>
      </w:r>
      <w:proofErr w:type="gramEnd"/>
      <w:r>
        <w:t xml:space="preserve"> the practicalities of locating the marine boundaries by ships at sea. To the extent practical, </w:t>
      </w:r>
      <w:proofErr w:type="gramStart"/>
      <w:r>
        <w:t>simple</w:t>
      </w:r>
      <w:proofErr w:type="gramEnd"/>
      <w:r>
        <w:t xml:space="preserve"> and straight lines of latitude and longitude are used to define the boundaries, coupled with the use of island shorelines, which together provide a reasonable approximation of the marine geography of special interest. </w:t>
      </w:r>
    </w:p>
    <w:p w14:paraId="56CBB2CB" w14:textId="77777777" w:rsidR="006E45AD" w:rsidRPr="00B87F74" w:rsidRDefault="006E45AD" w:rsidP="006E45AD">
      <w:pPr>
        <w:pStyle w:val="ATSNumber1"/>
        <w:numPr>
          <w:ilvl w:val="0"/>
          <w:numId w:val="13"/>
        </w:numPr>
      </w:pPr>
      <w:r>
        <w:rPr>
          <w:lang w:val="en-US"/>
        </w:rPr>
        <w:t>There are several precedents for ASPAs with spatially separate sub-sites. ASPA No.144 Chile Bay (Discovery Bay) and ASPA No.145 Port Foster are marine sites each with two sub-sites, while ASPA No.140 Parts of Deception Island has 11 terrestrial sub-sites. In addition, ASPA No.175 High Altitude Geothermal Sites of the Ross Sea is an example where several spatially separate ASPAs were merged to form one ASPA with three component sub-sites.</w:t>
      </w:r>
    </w:p>
    <w:p w14:paraId="5F970756" w14:textId="77777777" w:rsidR="006E45AD" w:rsidRDefault="006E45AD" w:rsidP="006E45AD">
      <w:pPr>
        <w:pStyle w:val="ATSNumber1"/>
        <w:numPr>
          <w:ilvl w:val="0"/>
          <w:numId w:val="13"/>
        </w:numPr>
      </w:pPr>
      <w:r>
        <w:t xml:space="preserve">The review also considered the ASPA boundaries in the vertical dimension. Both Site A and Site B lie in areas where passage of ships and yachts is frequent. The review considered whether such transit by vessels has any implications for, or impacts on, the values of the Area, with the conclusion that – provided the vessels proceed without anchoring or otherwise entering or affecting the deeper waters within the Area – there is no reason to inhibit their passage or to require permits. </w:t>
      </w:r>
    </w:p>
    <w:p w14:paraId="4001562B" w14:textId="77777777" w:rsidR="006E45AD" w:rsidRDefault="006E45AD" w:rsidP="006E45AD">
      <w:pPr>
        <w:pStyle w:val="ATSNumber1"/>
        <w:numPr>
          <w:ilvl w:val="0"/>
          <w:numId w:val="13"/>
        </w:numPr>
      </w:pPr>
      <w:r>
        <w:t xml:space="preserve">The review concluded that by defining the upper boundary of the Area at a depth of 20 m, ships and yachts can transit over the Area without raising any concerns and without the need for a permit. The depth of 20 m was selected because it exceeds the maximum </w:t>
      </w:r>
      <w:r>
        <w:lastRenderedPageBreak/>
        <w:t>draft of all vessels known to operate in Antarctic waters. However, any vessel engaged in activities that enter below the 20 m depth, and hence below the upper boundary of the Area, would require a permit for entry.</w:t>
      </w:r>
    </w:p>
    <w:p w14:paraId="0E5386FE" w14:textId="77777777" w:rsidR="006E45AD" w:rsidRDefault="006E45AD" w:rsidP="006E45AD">
      <w:pPr>
        <w:pStyle w:val="ATSNumber1"/>
        <w:numPr>
          <w:ilvl w:val="0"/>
          <w:numId w:val="13"/>
        </w:numPr>
      </w:pPr>
      <w:r>
        <w:t>The United States believes the approach taken to defining the vertical boundary of the marine ASPA offers greater clarity over the conditions under which permits are required at these sites.</w:t>
      </w:r>
    </w:p>
    <w:p w14:paraId="356E69CF" w14:textId="77777777" w:rsidR="006E45AD" w:rsidRDefault="006E45AD" w:rsidP="006E45AD">
      <w:pPr>
        <w:pStyle w:val="ATSNumber1"/>
        <w:numPr>
          <w:ilvl w:val="0"/>
          <w:numId w:val="13"/>
        </w:numPr>
      </w:pPr>
      <w:r>
        <w:t>The United States notes there is a precedent for an explicit vertical boundary of an ASPA adopted in Antarctica. ASPA No.172 Lower Taylor Glacier and Blood Falls adopted an upper boundary 100 m below the surface of the Taylor Glacier, recognising that activities at the surface of the glacier, such as transit of vehicles or on foot, did not pose any risk to the values of the Area; there was no reason to constrain such activities and no necessity for permits. This arrangement has worked well, and the values of ASPA No.172 have been successfully maintained with continued access and activities on the surface of the Taylor Glacier.</w:t>
      </w:r>
    </w:p>
    <w:p w14:paraId="67DDF221" w14:textId="77777777" w:rsidR="006E45AD" w:rsidRDefault="006E45AD" w:rsidP="006E45AD">
      <w:pPr>
        <w:pStyle w:val="ATSNumber1"/>
        <w:numPr>
          <w:ilvl w:val="0"/>
          <w:numId w:val="13"/>
        </w:numPr>
      </w:pPr>
      <w:r>
        <w:t>In addition, the United States notes the accepted principle that a vertical dimension often applies to aircraft overflight of protected areas, with no restriction on overflight or necessity for a permit above a certain height stipulated in the management plan (in most cases this has been defined at 2000 feet (~610 m)). This principle allows for passage over an ASPA above certain elevations without unnecessary restriction or permitting.</w:t>
      </w:r>
    </w:p>
    <w:p w14:paraId="489EC437" w14:textId="77777777" w:rsidR="006E45AD" w:rsidRDefault="006E45AD" w:rsidP="006E45AD">
      <w:pPr>
        <w:pStyle w:val="ATSNumber1"/>
        <w:numPr>
          <w:ilvl w:val="0"/>
          <w:numId w:val="13"/>
        </w:numPr>
      </w:pPr>
      <w:r>
        <w:t>The United States consulted with IAATO over the revisions to the management plans, including to the changes proposed for both the horizontal and vertical boundaries. IAATO considered the changes proposed to the boundaries are practical and satisfactory and did not pose any issues for the passage of ships or for their members.</w:t>
      </w:r>
    </w:p>
    <w:p w14:paraId="0DDA3EDC" w14:textId="77777777" w:rsidR="006E45AD" w:rsidRPr="0056235F" w:rsidRDefault="006E45AD" w:rsidP="006E45AD">
      <w:pPr>
        <w:pStyle w:val="ATSNumber1"/>
        <w:numPr>
          <w:ilvl w:val="0"/>
          <w:numId w:val="13"/>
        </w:numPr>
        <w:rPr>
          <w:lang w:val="en-US"/>
        </w:rPr>
      </w:pPr>
      <w:r w:rsidRPr="0056235F">
        <w:t xml:space="preserve">The </w:t>
      </w:r>
      <w:r>
        <w:t xml:space="preserve">principal </w:t>
      </w:r>
      <w:r w:rsidRPr="0056235F">
        <w:t xml:space="preserve">changes to the provisions of the existing </w:t>
      </w:r>
      <w:r>
        <w:t xml:space="preserve">management plans </w:t>
      </w:r>
      <w:proofErr w:type="gramStart"/>
      <w:r>
        <w:t xml:space="preserve">for </w:t>
      </w:r>
      <w:r w:rsidRPr="0056235F">
        <w:t xml:space="preserve"> </w:t>
      </w:r>
      <w:r>
        <w:t>ASPA</w:t>
      </w:r>
      <w:proofErr w:type="gramEnd"/>
      <w:r>
        <w:t xml:space="preserve"> No. 152 Western Bransfield Strait and ASPA No.153 Eastern </w:t>
      </w:r>
      <w:proofErr w:type="spellStart"/>
      <w:r>
        <w:t>Dallman</w:t>
      </w:r>
      <w:proofErr w:type="spellEnd"/>
      <w:r>
        <w:t xml:space="preserve"> Bay, in addition to their merger,</w:t>
      </w:r>
      <w:r w:rsidRPr="0056235F">
        <w:t xml:space="preserve"> include:</w:t>
      </w:r>
    </w:p>
    <w:p w14:paraId="08AA3F57" w14:textId="77777777" w:rsidR="006E45AD" w:rsidRPr="008B620B" w:rsidRDefault="006E45AD" w:rsidP="006E45AD">
      <w:pPr>
        <w:pStyle w:val="ATSNumber2"/>
        <w:numPr>
          <w:ilvl w:val="1"/>
          <w:numId w:val="13"/>
        </w:numPr>
        <w:rPr>
          <w:lang w:val="en-US"/>
        </w:rPr>
      </w:pPr>
      <w:r w:rsidRPr="003A37BD">
        <w:t xml:space="preserve">Revisions throughout to achieve consistency with the Committee for Environmental Protection </w:t>
      </w:r>
      <w:r w:rsidRPr="003A37BD">
        <w:rPr>
          <w:i/>
        </w:rPr>
        <w:t>Guide to the Preparation of Management Plans for Antarctic Specially Protected Areas</w:t>
      </w:r>
      <w:r w:rsidRPr="003A37BD">
        <w:t xml:space="preserve"> </w:t>
      </w:r>
      <w:r>
        <w:t>(</w:t>
      </w:r>
      <w:r w:rsidRPr="003A37BD">
        <w:t>Resolution 2 (2011)</w:t>
      </w:r>
      <w:r>
        <w:t>)</w:t>
      </w:r>
      <w:r w:rsidRPr="003A37BD">
        <w:t xml:space="preserve">, and with new agreements and guidance reached by the ATCM since the previous </w:t>
      </w:r>
      <w:r>
        <w:t>management plans</w:t>
      </w:r>
      <w:r w:rsidRPr="003A37BD">
        <w:t xml:space="preserve"> </w:t>
      </w:r>
      <w:r>
        <w:t>were</w:t>
      </w:r>
      <w:r w:rsidRPr="003A37BD">
        <w:t xml:space="preserve"> adopted, and with other management plans recently adopted by the ATCM.</w:t>
      </w:r>
    </w:p>
    <w:p w14:paraId="064C8FAD" w14:textId="77777777" w:rsidR="006E45AD" w:rsidRPr="005F08D5" w:rsidRDefault="006E45AD" w:rsidP="006E45AD">
      <w:pPr>
        <w:pStyle w:val="ATSNumber2"/>
        <w:numPr>
          <w:ilvl w:val="1"/>
          <w:numId w:val="13"/>
        </w:numPr>
        <w:jc w:val="left"/>
      </w:pPr>
      <w:r>
        <w:t>The scientific</w:t>
      </w:r>
      <w:r w:rsidRPr="005F08D5">
        <w:t xml:space="preserve"> name for </w:t>
      </w:r>
      <w:r>
        <w:t>Imperial shag</w:t>
      </w:r>
      <w:r w:rsidRPr="005F08D5">
        <w:t xml:space="preserve"> recently changed</w:t>
      </w:r>
      <w:r>
        <w:t xml:space="preserve"> from </w:t>
      </w:r>
      <w:r w:rsidRPr="006F16CB">
        <w:rPr>
          <w:i/>
        </w:rPr>
        <w:t xml:space="preserve">Phalacrocorax </w:t>
      </w:r>
      <w:proofErr w:type="spellStart"/>
      <w:r w:rsidRPr="006F16CB">
        <w:rPr>
          <w:i/>
        </w:rPr>
        <w:t>atriceps</w:t>
      </w:r>
      <w:proofErr w:type="spellEnd"/>
      <w:r w:rsidRPr="00C22686">
        <w:t xml:space="preserve"> </w:t>
      </w:r>
      <w:proofErr w:type="spellStart"/>
      <w:r>
        <w:rPr>
          <w:i/>
        </w:rPr>
        <w:t>bransfieldensis</w:t>
      </w:r>
      <w:proofErr w:type="spellEnd"/>
      <w:r w:rsidRPr="005F08D5">
        <w:t xml:space="preserve"> to </w:t>
      </w:r>
      <w:proofErr w:type="spellStart"/>
      <w:r w:rsidRPr="006F16CB">
        <w:rPr>
          <w:i/>
        </w:rPr>
        <w:t>Leucocarbo</w:t>
      </w:r>
      <w:proofErr w:type="spellEnd"/>
      <w:r w:rsidRPr="006F16CB">
        <w:rPr>
          <w:i/>
        </w:rPr>
        <w:t xml:space="preserve"> </w:t>
      </w:r>
      <w:proofErr w:type="spellStart"/>
      <w:r w:rsidRPr="006F16CB">
        <w:rPr>
          <w:i/>
        </w:rPr>
        <w:t>atriceps</w:t>
      </w:r>
      <w:proofErr w:type="spellEnd"/>
      <w:r w:rsidRPr="006F16CB">
        <w:rPr>
          <w:i/>
        </w:rPr>
        <w:t xml:space="preserve"> </w:t>
      </w:r>
      <w:proofErr w:type="spellStart"/>
      <w:r w:rsidRPr="006F16CB">
        <w:rPr>
          <w:i/>
        </w:rPr>
        <w:t>bransfieldensis</w:t>
      </w:r>
      <w:proofErr w:type="spellEnd"/>
      <w:r w:rsidRPr="005F08D5">
        <w:t xml:space="preserve"> (see </w:t>
      </w:r>
      <w:proofErr w:type="spellStart"/>
      <w:r w:rsidRPr="005F08D5">
        <w:t>BirdLife</w:t>
      </w:r>
      <w:proofErr w:type="spellEnd"/>
      <w:r w:rsidRPr="005F08D5">
        <w:t xml:space="preserve"> International Data Zone: </w:t>
      </w:r>
      <w:r w:rsidRPr="006F16CB">
        <w:t xml:space="preserve">http://datazone.birdlife.org/species/factsheet/imperial-shag-leucocarbo-atriceps/text </w:t>
      </w:r>
      <w:r w:rsidRPr="005F08D5">
        <w:t xml:space="preserve">Accessed </w:t>
      </w:r>
      <w:r>
        <w:t>Sep</w:t>
      </w:r>
      <w:r w:rsidRPr="005F08D5">
        <w:t xml:space="preserve"> 2021). </w:t>
      </w:r>
      <w:r>
        <w:t xml:space="preserve">The Chinstrap penguin has been renamed from </w:t>
      </w:r>
      <w:proofErr w:type="spellStart"/>
      <w:r>
        <w:rPr>
          <w:i/>
          <w:lang w:val="en-US"/>
        </w:rPr>
        <w:t>Pygoscelis</w:t>
      </w:r>
      <w:proofErr w:type="spellEnd"/>
      <w:r>
        <w:rPr>
          <w:i/>
          <w:lang w:val="en-US"/>
        </w:rPr>
        <w:t xml:space="preserve"> antarctica </w:t>
      </w:r>
      <w:r>
        <w:rPr>
          <w:lang w:val="en-US"/>
        </w:rPr>
        <w:t>to</w:t>
      </w:r>
      <w:r>
        <w:t xml:space="preserve"> </w:t>
      </w:r>
      <w:proofErr w:type="spellStart"/>
      <w:r>
        <w:rPr>
          <w:i/>
          <w:lang w:val="en-US"/>
        </w:rPr>
        <w:t>Pygoscelis</w:t>
      </w:r>
      <w:proofErr w:type="spellEnd"/>
      <w:r>
        <w:rPr>
          <w:i/>
          <w:lang w:val="en-US"/>
        </w:rPr>
        <w:t xml:space="preserve"> </w:t>
      </w:r>
      <w:proofErr w:type="spellStart"/>
      <w:r>
        <w:rPr>
          <w:i/>
          <w:lang w:val="en-US"/>
        </w:rPr>
        <w:t>antarcticus</w:t>
      </w:r>
      <w:proofErr w:type="spellEnd"/>
      <w:r>
        <w:t xml:space="preserve"> (</w:t>
      </w:r>
      <w:r w:rsidRPr="00DC5DF7">
        <w:t>http://datazone.birdlife.org/species/factsheet/chinstrap-penguin-pygoscelis-antarcticus</w:t>
      </w:r>
      <w:r>
        <w:t xml:space="preserve">). </w:t>
      </w:r>
      <w:r w:rsidRPr="005F08D5">
        <w:t>The management plan ha</w:t>
      </w:r>
      <w:r>
        <w:t>s</w:t>
      </w:r>
      <w:r w:rsidRPr="005F08D5">
        <w:t xml:space="preserve"> been amended as appropriate.</w:t>
      </w:r>
    </w:p>
    <w:p w14:paraId="423093A0" w14:textId="77777777" w:rsidR="006E45AD" w:rsidRPr="003A37BD" w:rsidRDefault="006E45AD" w:rsidP="006E45AD">
      <w:pPr>
        <w:pStyle w:val="ATSNumber2"/>
        <w:numPr>
          <w:ilvl w:val="1"/>
          <w:numId w:val="13"/>
        </w:numPr>
        <w:rPr>
          <w:lang w:val="en-US"/>
        </w:rPr>
      </w:pPr>
      <w:r>
        <w:rPr>
          <w:i/>
        </w:rPr>
        <w:t>Section 2 Aims and objectives</w:t>
      </w:r>
      <w:r>
        <w:t>. The provision was added to allow visits for educational and outreach purposes.</w:t>
      </w:r>
    </w:p>
    <w:p w14:paraId="5C9C284E" w14:textId="77777777" w:rsidR="006E45AD" w:rsidRPr="003A37BD" w:rsidRDefault="006E45AD" w:rsidP="006E45AD">
      <w:pPr>
        <w:pStyle w:val="ATSNumber2"/>
        <w:numPr>
          <w:ilvl w:val="1"/>
          <w:numId w:val="13"/>
        </w:numPr>
        <w:rPr>
          <w:lang w:val="en-US"/>
        </w:rPr>
      </w:pPr>
      <w:r w:rsidRPr="00323FC9">
        <w:rPr>
          <w:i/>
        </w:rPr>
        <w:t>Section 3 Management activities</w:t>
      </w:r>
      <w:r>
        <w:t xml:space="preserve">. The provision was added to make information available on the Area to vessels operating in the vicinity, </w:t>
      </w:r>
      <w:proofErr w:type="gramStart"/>
      <w:r>
        <w:t>in particular to</w:t>
      </w:r>
      <w:proofErr w:type="gramEnd"/>
      <w:r>
        <w:t xml:space="preserve"> raise awareness of the potential for scientific equipment to be deployed within the Area either at the surface or submarine.</w:t>
      </w:r>
    </w:p>
    <w:p w14:paraId="6DC3279A" w14:textId="77777777" w:rsidR="006E45AD" w:rsidRPr="003A37BD" w:rsidRDefault="006E45AD" w:rsidP="006E45AD">
      <w:pPr>
        <w:pStyle w:val="ATSNumber2"/>
        <w:numPr>
          <w:ilvl w:val="1"/>
          <w:numId w:val="13"/>
        </w:numPr>
      </w:pPr>
      <w:r w:rsidRPr="003A37BD">
        <w:rPr>
          <w:i/>
        </w:rPr>
        <w:t>Section 5 Maps</w:t>
      </w:r>
      <w:r w:rsidRPr="003A37BD">
        <w:t xml:space="preserve">. </w:t>
      </w:r>
      <w:r>
        <w:t xml:space="preserve">New </w:t>
      </w:r>
      <w:proofErr w:type="spellStart"/>
      <w:r>
        <w:t>color</w:t>
      </w:r>
      <w:proofErr w:type="spellEnd"/>
      <w:r>
        <w:t xml:space="preserve"> m</w:t>
      </w:r>
      <w:r>
        <w:rPr>
          <w:szCs w:val="22"/>
        </w:rPr>
        <w:t xml:space="preserve">aps have been prepared for the Area, comprising a regional overview and maps for Site A and Site </w:t>
      </w:r>
      <w:proofErr w:type="gramStart"/>
      <w:r>
        <w:rPr>
          <w:szCs w:val="22"/>
        </w:rPr>
        <w:t>B</w:t>
      </w:r>
      <w:r w:rsidRPr="003A37BD">
        <w:rPr>
          <w:szCs w:val="22"/>
        </w:rPr>
        <w:t>;</w:t>
      </w:r>
      <w:proofErr w:type="gramEnd"/>
    </w:p>
    <w:p w14:paraId="72D33508" w14:textId="77777777" w:rsidR="006E45AD" w:rsidRPr="003A37BD" w:rsidRDefault="006E45AD" w:rsidP="006E45AD">
      <w:pPr>
        <w:pStyle w:val="ATSNumber2"/>
        <w:numPr>
          <w:ilvl w:val="1"/>
          <w:numId w:val="13"/>
        </w:numPr>
      </w:pPr>
      <w:r w:rsidRPr="003A37BD">
        <w:rPr>
          <w:i/>
        </w:rPr>
        <w:t>Section 6 (</w:t>
      </w:r>
      <w:proofErr w:type="spellStart"/>
      <w:r w:rsidRPr="003A37BD">
        <w:rPr>
          <w:i/>
        </w:rPr>
        <w:t>i</w:t>
      </w:r>
      <w:proofErr w:type="spellEnd"/>
      <w:r w:rsidRPr="003A37BD">
        <w:rPr>
          <w:i/>
        </w:rPr>
        <w:t>) Geographical coordinates, boundary markers and features</w:t>
      </w:r>
      <w:r w:rsidRPr="003A37BD">
        <w:t>.</w:t>
      </w:r>
      <w:r>
        <w:t xml:space="preserve"> The Area is in the same general location as ASPA No. 152 Western Bransfield Strait and ASPA No.153 Eastern </w:t>
      </w:r>
      <w:proofErr w:type="spellStart"/>
      <w:r>
        <w:t>Dallman</w:t>
      </w:r>
      <w:proofErr w:type="spellEnd"/>
      <w:r>
        <w:t xml:space="preserve"> Bay. The boundaries have been revised based on the scientific criteria used for the designation of the ASPA. Vertical boundaries have been defined. Geographical coordinates of the Area have been </w:t>
      </w:r>
      <w:r>
        <w:lastRenderedPageBreak/>
        <w:t xml:space="preserve">revised as set out in the management plan. The scientific description of the Area has been comprehensively updated and </w:t>
      </w:r>
      <w:proofErr w:type="gramStart"/>
      <w:r>
        <w:t>improved</w:t>
      </w:r>
      <w:r w:rsidRPr="003A37BD">
        <w:t>;</w:t>
      </w:r>
      <w:proofErr w:type="gramEnd"/>
    </w:p>
    <w:p w14:paraId="2BA657F0" w14:textId="77777777" w:rsidR="006E45AD" w:rsidRPr="005F08D5" w:rsidRDefault="006E45AD" w:rsidP="006E45AD">
      <w:pPr>
        <w:pStyle w:val="ATSNumber2"/>
        <w:numPr>
          <w:ilvl w:val="1"/>
          <w:numId w:val="13"/>
        </w:numPr>
        <w:jc w:val="left"/>
      </w:pPr>
      <w:r w:rsidRPr="006F16CB">
        <w:rPr>
          <w:i/>
        </w:rPr>
        <w:t>Section 7(ii)</w:t>
      </w:r>
      <w:r w:rsidRPr="004C47BF">
        <w:rPr>
          <w:lang w:val="en-US"/>
        </w:rPr>
        <w:t xml:space="preserve"> </w:t>
      </w:r>
      <w:r w:rsidRPr="004C47BF">
        <w:rPr>
          <w:i/>
          <w:lang w:val="en-US"/>
        </w:rPr>
        <w:t>Access to, and movement within or over, the Area</w:t>
      </w:r>
      <w:r w:rsidRPr="005F08D5">
        <w:t>.</w:t>
      </w:r>
      <w:r>
        <w:t xml:space="preserve"> Policies on access to the Area have been set out based on the definition of the boundaries, including clarification of the conditions whereby transit by personnel, </w:t>
      </w:r>
      <w:proofErr w:type="gramStart"/>
      <w:r>
        <w:t>vessels</w:t>
      </w:r>
      <w:proofErr w:type="gramEnd"/>
      <w:r>
        <w:t xml:space="preserve"> and aircraft at, or above, the surface is allowed without the need for a permit, and the conditions under which permits for entry to the Area are required.</w:t>
      </w:r>
    </w:p>
    <w:p w14:paraId="2788588C" w14:textId="77777777" w:rsidR="006E45AD" w:rsidRDefault="006E45AD" w:rsidP="006E45AD">
      <w:pPr>
        <w:pStyle w:val="ATSNumber2"/>
        <w:numPr>
          <w:ilvl w:val="1"/>
          <w:numId w:val="13"/>
        </w:numPr>
      </w:pPr>
      <w:r w:rsidRPr="006F16CB">
        <w:rPr>
          <w:i/>
        </w:rPr>
        <w:t>Section 7(i</w:t>
      </w:r>
      <w:r>
        <w:rPr>
          <w:i/>
        </w:rPr>
        <w:t>v</w:t>
      </w:r>
      <w:r w:rsidRPr="006F16CB">
        <w:rPr>
          <w:i/>
        </w:rPr>
        <w:t>)</w:t>
      </w:r>
      <w:r w:rsidRPr="00F439CC">
        <w:rPr>
          <w:i/>
          <w:lang w:val="en-US"/>
        </w:rPr>
        <w:t xml:space="preserve"> Installation, </w:t>
      </w:r>
      <w:proofErr w:type="gramStart"/>
      <w:r w:rsidRPr="00F439CC">
        <w:rPr>
          <w:i/>
          <w:lang w:val="en-US"/>
        </w:rPr>
        <w:t>modification</w:t>
      </w:r>
      <w:proofErr w:type="gramEnd"/>
      <w:r w:rsidRPr="00F439CC">
        <w:rPr>
          <w:i/>
          <w:lang w:val="en-US"/>
        </w:rPr>
        <w:t xml:space="preserve"> or removal of structures / equipment</w:t>
      </w:r>
      <w:r w:rsidRPr="005F08D5">
        <w:t>.</w:t>
      </w:r>
      <w:r>
        <w:t xml:space="preserve"> Policies on deployment of equipment for scientific purposes have been added, </w:t>
      </w:r>
      <w:proofErr w:type="gramStart"/>
      <w:r>
        <w:t>in particular to</w:t>
      </w:r>
      <w:proofErr w:type="gramEnd"/>
      <w:r>
        <w:t xml:space="preserve"> help raise awareness that such equipment and / or instruments may be present within the Area or at the sea surface. </w:t>
      </w:r>
    </w:p>
    <w:p w14:paraId="34B9BBD7" w14:textId="77777777" w:rsidR="006E45AD" w:rsidRPr="00C90E33" w:rsidRDefault="006E45AD" w:rsidP="006E45AD">
      <w:pPr>
        <w:pStyle w:val="ATSNumber2"/>
        <w:numPr>
          <w:ilvl w:val="1"/>
          <w:numId w:val="13"/>
        </w:numPr>
      </w:pPr>
      <w:r w:rsidRPr="00A836FB">
        <w:rPr>
          <w:i/>
        </w:rPr>
        <w:t>Section 8 - Supporting documentation</w:t>
      </w:r>
      <w:r w:rsidRPr="00C90E33">
        <w:t>. The reference list has been updated.</w:t>
      </w:r>
      <w:r>
        <w:t xml:space="preserve"> A table showing tourism data has been included in this section.</w:t>
      </w:r>
    </w:p>
    <w:p w14:paraId="5467FDCC" w14:textId="77777777" w:rsidR="006E45AD" w:rsidRDefault="006E45AD" w:rsidP="006E45AD">
      <w:pPr>
        <w:pStyle w:val="ATSHeading3"/>
      </w:pPr>
      <w:r>
        <w:t>Recommendations</w:t>
      </w:r>
    </w:p>
    <w:p w14:paraId="34805B05" w14:textId="77777777" w:rsidR="006E45AD" w:rsidRDefault="006E45AD" w:rsidP="006E45AD">
      <w:pPr>
        <w:pStyle w:val="ATSNormal"/>
        <w:numPr>
          <w:ilvl w:val="0"/>
          <w:numId w:val="21"/>
        </w:numPr>
      </w:pPr>
      <w:r w:rsidRPr="002453EC">
        <w:t xml:space="preserve">The </w:t>
      </w:r>
      <w:r>
        <w:t>management plan attached to this Working Paper, which is a merger and rationalisation of the management plans</w:t>
      </w:r>
      <w:r w:rsidRPr="002453EC">
        <w:t xml:space="preserve"> </w:t>
      </w:r>
      <w:r>
        <w:t xml:space="preserve">for ASPA No.152 Western Bransfield Strait and ASPA No.153 Eastern </w:t>
      </w:r>
      <w:proofErr w:type="spellStart"/>
      <w:r>
        <w:t>Dallmann</w:t>
      </w:r>
      <w:proofErr w:type="spellEnd"/>
      <w:r>
        <w:t xml:space="preserve"> Bay, be considered</w:t>
      </w:r>
      <w:r w:rsidRPr="002453EC">
        <w:t xml:space="preserve"> by the </w:t>
      </w:r>
      <w:r>
        <w:t>CEP for recommendation for adoption by the Antarctic Treaty Consultative Meeting (ATCM) as a new Antarctic Specially Protected Area.</w:t>
      </w:r>
    </w:p>
    <w:p w14:paraId="3B309579" w14:textId="77777777" w:rsidR="006E45AD" w:rsidRDefault="006E45AD" w:rsidP="006E45AD">
      <w:pPr>
        <w:pStyle w:val="ATSNormal"/>
        <w:numPr>
          <w:ilvl w:val="0"/>
          <w:numId w:val="21"/>
        </w:numPr>
      </w:pPr>
      <w:r>
        <w:t>Subject to (1) above, t</w:t>
      </w:r>
      <w:r w:rsidRPr="002453EC">
        <w:t xml:space="preserve">he </w:t>
      </w:r>
      <w:r>
        <w:t>management plans</w:t>
      </w:r>
      <w:r w:rsidRPr="002453EC">
        <w:t xml:space="preserve"> </w:t>
      </w:r>
      <w:r>
        <w:t xml:space="preserve">for ASPA No.152 Western Bransfield Strait and ASPA No.153 Eastern </w:t>
      </w:r>
      <w:proofErr w:type="spellStart"/>
      <w:r>
        <w:t>Dallmann</w:t>
      </w:r>
      <w:proofErr w:type="spellEnd"/>
      <w:r>
        <w:t xml:space="preserve"> Bay be considered</w:t>
      </w:r>
      <w:r w:rsidRPr="002453EC">
        <w:t xml:space="preserve"> by the Committee for Environmental Protection</w:t>
      </w:r>
      <w:r>
        <w:t xml:space="preserve"> (CEP) for recommendation for de-designation by the Antarctic Treaty Consultative Meeting (ATCM)</w:t>
      </w:r>
      <w:r w:rsidRPr="002453EC">
        <w:t>.</w:t>
      </w:r>
    </w:p>
    <w:p w14:paraId="1BF487B9" w14:textId="77777777" w:rsidR="006E45AD" w:rsidRDefault="006E45AD" w:rsidP="00952E9F"/>
    <w:sectPr w:rsidR="006E45AD"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42480" w14:textId="77777777" w:rsidR="00000000" w:rsidRDefault="00E1703C">
      <w:r>
        <w:separator/>
      </w:r>
    </w:p>
  </w:endnote>
  <w:endnote w:type="continuationSeparator" w:id="0">
    <w:p w14:paraId="55BDB9C1" w14:textId="77777777" w:rsidR="00000000" w:rsidRDefault="00E1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7BF1" w14:textId="77777777" w:rsidR="00FA0B9F" w:rsidRDefault="00E1703C" w:rsidP="00CF5C82">
    <w:pPr>
      <w:framePr w:wrap="around" w:vAnchor="text" w:hAnchor="margin" w:xAlign="right" w:y="1"/>
    </w:pPr>
    <w:r>
      <w:fldChar w:fldCharType="begin"/>
    </w:r>
    <w:r>
      <w:instrText xml:space="preserve">PAGE  </w:instrText>
    </w:r>
    <w:r>
      <w:fldChar w:fldCharType="separate"/>
    </w:r>
    <w:r>
      <w:fldChar w:fldCharType="end"/>
    </w:r>
  </w:p>
  <w:p w14:paraId="0A5DAB7D" w14:textId="77777777" w:rsidR="00FA0B9F" w:rsidRDefault="00E1703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25F5" w14:textId="77777777" w:rsidR="00FA0B9F" w:rsidRDefault="00E1703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8B0E957" w14:textId="0EE4D04A" w:rsidR="00FA0B9F" w:rsidRDefault="00E1703C" w:rsidP="00FA0B9F">
    <w:pPr>
      <w:ind w:right="360"/>
    </w:pPr>
    <w:r>
      <w:t xml:space="preserve">Attachments: </w:t>
    </w:r>
  </w:p>
  <w:p w14:paraId="7B175436" w14:textId="25852FF2" w:rsidR="006E45AD" w:rsidRDefault="006E45AD" w:rsidP="00FA0B9F">
    <w:pPr>
      <w:ind w:right="360"/>
    </w:pPr>
    <w:r>
      <w:t xml:space="preserve">Atcm44_att041_e.docx: ASPA XXX </w:t>
    </w:r>
    <w:r w:rsidRPr="006E45AD">
      <w:t xml:space="preserve">Western Bransfield Strait and Eastern </w:t>
    </w:r>
    <w:proofErr w:type="spellStart"/>
    <w:r w:rsidRPr="006E45AD">
      <w:t>Dallmann</w:t>
    </w:r>
    <w:proofErr w:type="spellEnd"/>
    <w:r w:rsidRPr="006E45AD">
      <w:t xml:space="preserve"> Bay</w:t>
    </w:r>
  </w:p>
  <w:p w14:paraId="018D2598" w14:textId="10228215" w:rsidR="006E45AD" w:rsidRDefault="006E45AD" w:rsidP="00FA0B9F">
    <w:pPr>
      <w:ind w:right="360"/>
    </w:pPr>
    <w:r w:rsidRPr="006E45AD">
      <w:t>Atcm44_att042_e.pdf: ASPA XXX Map</w:t>
    </w:r>
    <w:r>
      <w:t xml:space="preserve"> 1</w:t>
    </w:r>
  </w:p>
  <w:p w14:paraId="706ABE54" w14:textId="18AA5EC4" w:rsidR="00E1703C" w:rsidRPr="006E45AD" w:rsidRDefault="00E1703C" w:rsidP="00E1703C">
    <w:pPr>
      <w:ind w:right="360"/>
    </w:pPr>
    <w:r w:rsidRPr="006E45AD">
      <w:t>Atcm44_att04</w:t>
    </w:r>
    <w:r>
      <w:t>3</w:t>
    </w:r>
    <w:r w:rsidRPr="006E45AD">
      <w:t>_e.pdf: ASPA XXX Map</w:t>
    </w:r>
    <w:r>
      <w:t xml:space="preserve"> </w:t>
    </w:r>
    <w:r>
      <w:t>2</w:t>
    </w:r>
  </w:p>
  <w:p w14:paraId="4A1481D2" w14:textId="02EE52BA" w:rsidR="00E1703C" w:rsidRPr="006E45AD" w:rsidRDefault="00E1703C" w:rsidP="00E1703C">
    <w:pPr>
      <w:ind w:right="360"/>
    </w:pPr>
    <w:r w:rsidRPr="006E45AD">
      <w:t>Atcm44_att04</w:t>
    </w:r>
    <w:r>
      <w:t>4</w:t>
    </w:r>
    <w:r w:rsidRPr="006E45AD">
      <w:t>_e.pdf: ASPA XXX Map</w:t>
    </w:r>
    <w:r>
      <w:t xml:space="preserve"> </w:t>
    </w:r>
    <w:r>
      <w:t>3</w:t>
    </w:r>
  </w:p>
  <w:p w14:paraId="16E52936" w14:textId="77777777" w:rsidR="00E1703C" w:rsidRPr="006E45AD" w:rsidRDefault="00E1703C"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7B75B" w14:textId="77777777" w:rsidR="00E311C9" w:rsidRDefault="00E1703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9022BBF" w14:textId="77777777" w:rsidR="00E311C9" w:rsidRDefault="00E1703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0EFB8" w14:textId="77777777" w:rsidR="00000000" w:rsidRDefault="00E1703C">
      <w:r>
        <w:separator/>
      </w:r>
    </w:p>
  </w:footnote>
  <w:footnote w:type="continuationSeparator" w:id="0">
    <w:p w14:paraId="2F146FBE" w14:textId="77777777" w:rsidR="00000000" w:rsidRDefault="00E17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3F6C8B" w14:paraId="27A91C66" w14:textId="77777777" w:rsidTr="00490760">
      <w:trPr>
        <w:trHeight w:val="344"/>
        <w:jc w:val="center"/>
      </w:trPr>
      <w:tc>
        <w:tcPr>
          <w:tcW w:w="5495" w:type="dxa"/>
        </w:tcPr>
        <w:p w14:paraId="1B4624DA" w14:textId="77777777" w:rsidR="00DB7C09" w:rsidRDefault="00E1703C" w:rsidP="00F968D4"/>
      </w:tc>
      <w:tc>
        <w:tcPr>
          <w:tcW w:w="4253" w:type="dxa"/>
          <w:gridSpan w:val="2"/>
        </w:tcPr>
        <w:p w14:paraId="6D008853" w14:textId="77777777" w:rsidR="00DB7C09" w:rsidRPr="00BD47E4" w:rsidRDefault="00E1703C" w:rsidP="002A07BC">
          <w:pPr>
            <w:jc w:val="right"/>
            <w:rPr>
              <w:b/>
              <w:sz w:val="32"/>
              <w:szCs w:val="32"/>
            </w:rPr>
          </w:pPr>
          <w:bookmarkStart w:id="2" w:name="type"/>
          <w:r w:rsidRPr="00BD47E4">
            <w:rPr>
              <w:b/>
              <w:sz w:val="32"/>
              <w:szCs w:val="32"/>
            </w:rPr>
            <w:t>WP</w:t>
          </w:r>
          <w:bookmarkEnd w:id="2"/>
        </w:p>
      </w:tc>
      <w:tc>
        <w:tcPr>
          <w:tcW w:w="1524" w:type="dxa"/>
          <w:gridSpan w:val="2"/>
        </w:tcPr>
        <w:p w14:paraId="487ABCC8" w14:textId="77777777" w:rsidR="00DB7C09" w:rsidRPr="00BD47E4" w:rsidRDefault="00E1703C" w:rsidP="00DB7C09">
          <w:pPr>
            <w:rPr>
              <w:b/>
              <w:sz w:val="32"/>
              <w:szCs w:val="32"/>
            </w:rPr>
          </w:pPr>
          <w:bookmarkStart w:id="3" w:name="number"/>
          <w:r w:rsidRPr="00BD47E4">
            <w:rPr>
              <w:b/>
              <w:sz w:val="32"/>
              <w:szCs w:val="32"/>
            </w:rPr>
            <w:t>6</w:t>
          </w:r>
          <w:bookmarkEnd w:id="3"/>
        </w:p>
      </w:tc>
    </w:tr>
    <w:tr w:rsidR="003F6C8B" w14:paraId="76A24666" w14:textId="77777777" w:rsidTr="00490760">
      <w:trPr>
        <w:trHeight w:val="2165"/>
        <w:jc w:val="center"/>
      </w:trPr>
      <w:tc>
        <w:tcPr>
          <w:tcW w:w="5495" w:type="dxa"/>
        </w:tcPr>
        <w:p w14:paraId="1DB3436F" w14:textId="77777777" w:rsidR="00490760" w:rsidRPr="00EE4D48" w:rsidRDefault="00E1703C" w:rsidP="002A07BC">
          <w:pPr>
            <w:rPr>
              <w:b/>
              <w:sz w:val="28"/>
              <w:szCs w:val="28"/>
            </w:rPr>
          </w:pPr>
          <w:r>
            <w:rPr>
              <w:noProof/>
            </w:rPr>
            <w:drawing>
              <wp:inline distT="0" distB="0" distL="0" distR="0" wp14:anchorId="6003F94C" wp14:editId="137FB70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8991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012EACA7" w14:textId="77777777" w:rsidR="00490760" w:rsidRPr="00FE5146" w:rsidRDefault="00E1703C" w:rsidP="00490760">
          <w:pPr>
            <w:jc w:val="right"/>
            <w:rPr>
              <w:sz w:val="144"/>
              <w:szCs w:val="144"/>
            </w:rPr>
          </w:pPr>
          <w:r w:rsidRPr="00FE5146">
            <w:rPr>
              <w:sz w:val="144"/>
              <w:szCs w:val="144"/>
            </w:rPr>
            <w:t>ENG</w:t>
          </w:r>
        </w:p>
      </w:tc>
    </w:tr>
    <w:tr w:rsidR="003F6C8B" w14:paraId="70A41207" w14:textId="77777777" w:rsidTr="00BD47E4">
      <w:trPr>
        <w:trHeight w:val="409"/>
        <w:jc w:val="center"/>
      </w:trPr>
      <w:tc>
        <w:tcPr>
          <w:tcW w:w="9039" w:type="dxa"/>
          <w:gridSpan w:val="2"/>
        </w:tcPr>
        <w:p w14:paraId="4A73BF0D" w14:textId="77777777" w:rsidR="00BD47E4" w:rsidRDefault="00E1703C" w:rsidP="002C30DA">
          <w:pPr>
            <w:jc w:val="right"/>
          </w:pPr>
          <w:r>
            <w:t>Agenda Item:</w:t>
          </w:r>
        </w:p>
      </w:tc>
      <w:tc>
        <w:tcPr>
          <w:tcW w:w="1843" w:type="dxa"/>
          <w:gridSpan w:val="2"/>
        </w:tcPr>
        <w:p w14:paraId="55752ED0" w14:textId="77777777" w:rsidR="00BD47E4" w:rsidRDefault="00E1703C" w:rsidP="002C30DA">
          <w:pPr>
            <w:jc w:val="right"/>
          </w:pPr>
          <w:bookmarkStart w:id="4" w:name="agenda"/>
          <w:r>
            <w:t>CEP 9a</w:t>
          </w:r>
          <w:bookmarkEnd w:id="4"/>
        </w:p>
      </w:tc>
      <w:tc>
        <w:tcPr>
          <w:tcW w:w="390" w:type="dxa"/>
        </w:tcPr>
        <w:p w14:paraId="0B91BA48" w14:textId="77777777" w:rsidR="00BD47E4" w:rsidRDefault="00E1703C" w:rsidP="00387A65">
          <w:pPr>
            <w:jc w:val="right"/>
          </w:pPr>
        </w:p>
      </w:tc>
    </w:tr>
    <w:tr w:rsidR="003F6C8B" w14:paraId="3E76FF8C" w14:textId="77777777" w:rsidTr="00BD47E4">
      <w:trPr>
        <w:trHeight w:val="397"/>
        <w:jc w:val="center"/>
      </w:trPr>
      <w:tc>
        <w:tcPr>
          <w:tcW w:w="9039" w:type="dxa"/>
          <w:gridSpan w:val="2"/>
        </w:tcPr>
        <w:p w14:paraId="61548762" w14:textId="77777777" w:rsidR="00BD47E4" w:rsidRDefault="00E1703C" w:rsidP="002C30DA">
          <w:pPr>
            <w:jc w:val="right"/>
          </w:pPr>
          <w:r>
            <w:t>Presented by:</w:t>
          </w:r>
        </w:p>
      </w:tc>
      <w:tc>
        <w:tcPr>
          <w:tcW w:w="1843" w:type="dxa"/>
          <w:gridSpan w:val="2"/>
        </w:tcPr>
        <w:p w14:paraId="02DAA9B9" w14:textId="77777777" w:rsidR="00BD47E4" w:rsidRDefault="00E1703C" w:rsidP="002C30DA">
          <w:pPr>
            <w:jc w:val="right"/>
          </w:pPr>
          <w:bookmarkStart w:id="5" w:name="party"/>
          <w:r>
            <w:t>United States</w:t>
          </w:r>
          <w:bookmarkEnd w:id="5"/>
        </w:p>
      </w:tc>
      <w:tc>
        <w:tcPr>
          <w:tcW w:w="390" w:type="dxa"/>
        </w:tcPr>
        <w:p w14:paraId="19ADDFFF" w14:textId="77777777" w:rsidR="00BD47E4" w:rsidRDefault="00E1703C" w:rsidP="00387A65">
          <w:pPr>
            <w:jc w:val="right"/>
          </w:pPr>
        </w:p>
      </w:tc>
    </w:tr>
    <w:tr w:rsidR="003F6C8B" w14:paraId="360B7123" w14:textId="77777777" w:rsidTr="00BD47E4">
      <w:trPr>
        <w:trHeight w:val="409"/>
        <w:jc w:val="center"/>
      </w:trPr>
      <w:tc>
        <w:tcPr>
          <w:tcW w:w="9039" w:type="dxa"/>
          <w:gridSpan w:val="2"/>
        </w:tcPr>
        <w:p w14:paraId="76367A65" w14:textId="77777777" w:rsidR="00BD47E4" w:rsidRDefault="00E1703C" w:rsidP="002C30DA">
          <w:pPr>
            <w:jc w:val="right"/>
          </w:pPr>
          <w:r>
            <w:t>Original:</w:t>
          </w:r>
        </w:p>
      </w:tc>
      <w:tc>
        <w:tcPr>
          <w:tcW w:w="1843" w:type="dxa"/>
          <w:gridSpan w:val="2"/>
        </w:tcPr>
        <w:p w14:paraId="23025B0C" w14:textId="77777777" w:rsidR="00BD47E4" w:rsidRDefault="00E1703C" w:rsidP="002C30DA">
          <w:pPr>
            <w:jc w:val="right"/>
          </w:pPr>
          <w:bookmarkStart w:id="6" w:name="language"/>
          <w:r>
            <w:t>English</w:t>
          </w:r>
          <w:bookmarkEnd w:id="6"/>
        </w:p>
      </w:tc>
      <w:tc>
        <w:tcPr>
          <w:tcW w:w="390" w:type="dxa"/>
        </w:tcPr>
        <w:p w14:paraId="2C6B93A2" w14:textId="77777777" w:rsidR="00BD47E4" w:rsidRDefault="00E1703C" w:rsidP="00387A65">
          <w:pPr>
            <w:jc w:val="right"/>
          </w:pPr>
        </w:p>
      </w:tc>
    </w:tr>
    <w:tr w:rsidR="003F6C8B" w14:paraId="7ED91321" w14:textId="77777777" w:rsidTr="00BD47E4">
      <w:trPr>
        <w:trHeight w:val="409"/>
        <w:jc w:val="center"/>
      </w:trPr>
      <w:tc>
        <w:tcPr>
          <w:tcW w:w="9039" w:type="dxa"/>
          <w:gridSpan w:val="2"/>
        </w:tcPr>
        <w:p w14:paraId="700029E6" w14:textId="77777777" w:rsidR="0097629D" w:rsidRDefault="00E1703C" w:rsidP="002C30DA">
          <w:pPr>
            <w:jc w:val="right"/>
          </w:pPr>
          <w:r>
            <w:t>Submitted:</w:t>
          </w:r>
        </w:p>
      </w:tc>
      <w:tc>
        <w:tcPr>
          <w:tcW w:w="1843" w:type="dxa"/>
          <w:gridSpan w:val="2"/>
        </w:tcPr>
        <w:p w14:paraId="515442C2" w14:textId="77777777" w:rsidR="0097629D" w:rsidRDefault="00E1703C" w:rsidP="0097629D">
          <w:pPr>
            <w:jc w:val="right"/>
          </w:pPr>
          <w:bookmarkStart w:id="7" w:name="date_submission"/>
          <w:r>
            <w:t>4/4/2022</w:t>
          </w:r>
          <w:bookmarkEnd w:id="7"/>
        </w:p>
      </w:tc>
      <w:tc>
        <w:tcPr>
          <w:tcW w:w="390" w:type="dxa"/>
        </w:tcPr>
        <w:p w14:paraId="2891DD07" w14:textId="77777777" w:rsidR="0097629D" w:rsidRDefault="00E1703C" w:rsidP="00387A65">
          <w:pPr>
            <w:jc w:val="right"/>
          </w:pPr>
        </w:p>
      </w:tc>
    </w:tr>
  </w:tbl>
  <w:p w14:paraId="68BFE507" w14:textId="77777777" w:rsidR="00AE5DD0" w:rsidRDefault="00E170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F6C8B" w14:paraId="2836E7CE" w14:textId="77777777">
      <w:trPr>
        <w:trHeight w:val="354"/>
        <w:jc w:val="center"/>
      </w:trPr>
      <w:tc>
        <w:tcPr>
          <w:tcW w:w="9694" w:type="dxa"/>
        </w:tcPr>
        <w:p w14:paraId="736240AF" w14:textId="183FBE29" w:rsidR="00AE5DD0" w:rsidRPr="00BD47E4" w:rsidRDefault="006E45AD" w:rsidP="00C26F2D">
          <w:pPr>
            <w:jc w:val="right"/>
            <w:rPr>
              <w:b/>
              <w:sz w:val="32"/>
              <w:szCs w:val="32"/>
            </w:rPr>
          </w:pPr>
          <w:r>
            <w:rPr>
              <w:b/>
              <w:sz w:val="32"/>
              <w:szCs w:val="32"/>
            </w:rPr>
            <w:t>WP</w:t>
          </w:r>
        </w:p>
      </w:tc>
      <w:tc>
        <w:tcPr>
          <w:tcW w:w="1332" w:type="dxa"/>
        </w:tcPr>
        <w:p w14:paraId="1B585EBB" w14:textId="0D3D19FA" w:rsidR="00AE5DD0" w:rsidRPr="00BD47E4" w:rsidRDefault="006E45AD" w:rsidP="00080F4C">
          <w:pPr>
            <w:rPr>
              <w:b/>
              <w:sz w:val="32"/>
              <w:szCs w:val="32"/>
            </w:rPr>
          </w:pPr>
          <w:r>
            <w:rPr>
              <w:b/>
              <w:sz w:val="32"/>
              <w:szCs w:val="32"/>
            </w:rPr>
            <w:t>6</w:t>
          </w:r>
        </w:p>
      </w:tc>
    </w:tr>
  </w:tbl>
  <w:p w14:paraId="5D678255" w14:textId="77777777" w:rsidR="00AE5DD0" w:rsidRDefault="00E170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BD2AD5A">
      <w:start w:val="1"/>
      <w:numFmt w:val="bullet"/>
      <w:pStyle w:val="ATSBullet1"/>
      <w:lvlText w:val=""/>
      <w:lvlJc w:val="left"/>
      <w:pPr>
        <w:tabs>
          <w:tab w:val="num" w:pos="360"/>
        </w:tabs>
        <w:ind w:left="360" w:hanging="360"/>
      </w:pPr>
      <w:rPr>
        <w:rFonts w:ascii="Symbol" w:hAnsi="Symbol" w:hint="default"/>
        <w:color w:val="auto"/>
      </w:rPr>
    </w:lvl>
    <w:lvl w:ilvl="1" w:tplc="F02684B4" w:tentative="1">
      <w:start w:val="1"/>
      <w:numFmt w:val="bullet"/>
      <w:lvlText w:val="o"/>
      <w:lvlJc w:val="left"/>
      <w:pPr>
        <w:tabs>
          <w:tab w:val="num" w:pos="1440"/>
        </w:tabs>
        <w:ind w:left="1440" w:hanging="360"/>
      </w:pPr>
      <w:rPr>
        <w:rFonts w:ascii="Courier New" w:hAnsi="Courier New" w:cs="Courier New" w:hint="default"/>
      </w:rPr>
    </w:lvl>
    <w:lvl w:ilvl="2" w:tplc="96FCD216" w:tentative="1">
      <w:start w:val="1"/>
      <w:numFmt w:val="bullet"/>
      <w:lvlText w:val=""/>
      <w:lvlJc w:val="left"/>
      <w:pPr>
        <w:tabs>
          <w:tab w:val="num" w:pos="2160"/>
        </w:tabs>
        <w:ind w:left="2160" w:hanging="360"/>
      </w:pPr>
      <w:rPr>
        <w:rFonts w:ascii="Wingdings" w:hAnsi="Wingdings" w:hint="default"/>
      </w:rPr>
    </w:lvl>
    <w:lvl w:ilvl="3" w:tplc="4DB6AAEE" w:tentative="1">
      <w:start w:val="1"/>
      <w:numFmt w:val="bullet"/>
      <w:lvlText w:val=""/>
      <w:lvlJc w:val="left"/>
      <w:pPr>
        <w:tabs>
          <w:tab w:val="num" w:pos="2880"/>
        </w:tabs>
        <w:ind w:left="2880" w:hanging="360"/>
      </w:pPr>
      <w:rPr>
        <w:rFonts w:ascii="Symbol" w:hAnsi="Symbol" w:hint="default"/>
      </w:rPr>
    </w:lvl>
    <w:lvl w:ilvl="4" w:tplc="2264AAB0" w:tentative="1">
      <w:start w:val="1"/>
      <w:numFmt w:val="bullet"/>
      <w:lvlText w:val="o"/>
      <w:lvlJc w:val="left"/>
      <w:pPr>
        <w:tabs>
          <w:tab w:val="num" w:pos="3600"/>
        </w:tabs>
        <w:ind w:left="3600" w:hanging="360"/>
      </w:pPr>
      <w:rPr>
        <w:rFonts w:ascii="Courier New" w:hAnsi="Courier New" w:cs="Courier New" w:hint="default"/>
      </w:rPr>
    </w:lvl>
    <w:lvl w:ilvl="5" w:tplc="B3D8066A" w:tentative="1">
      <w:start w:val="1"/>
      <w:numFmt w:val="bullet"/>
      <w:lvlText w:val=""/>
      <w:lvlJc w:val="left"/>
      <w:pPr>
        <w:tabs>
          <w:tab w:val="num" w:pos="4320"/>
        </w:tabs>
        <w:ind w:left="4320" w:hanging="360"/>
      </w:pPr>
      <w:rPr>
        <w:rFonts w:ascii="Wingdings" w:hAnsi="Wingdings" w:hint="default"/>
      </w:rPr>
    </w:lvl>
    <w:lvl w:ilvl="6" w:tplc="83165F52" w:tentative="1">
      <w:start w:val="1"/>
      <w:numFmt w:val="bullet"/>
      <w:lvlText w:val=""/>
      <w:lvlJc w:val="left"/>
      <w:pPr>
        <w:tabs>
          <w:tab w:val="num" w:pos="5040"/>
        </w:tabs>
        <w:ind w:left="5040" w:hanging="360"/>
      </w:pPr>
      <w:rPr>
        <w:rFonts w:ascii="Symbol" w:hAnsi="Symbol" w:hint="default"/>
      </w:rPr>
    </w:lvl>
    <w:lvl w:ilvl="7" w:tplc="312CD994" w:tentative="1">
      <w:start w:val="1"/>
      <w:numFmt w:val="bullet"/>
      <w:lvlText w:val="o"/>
      <w:lvlJc w:val="left"/>
      <w:pPr>
        <w:tabs>
          <w:tab w:val="num" w:pos="5760"/>
        </w:tabs>
        <w:ind w:left="5760" w:hanging="360"/>
      </w:pPr>
      <w:rPr>
        <w:rFonts w:ascii="Courier New" w:hAnsi="Courier New" w:cs="Courier New" w:hint="default"/>
      </w:rPr>
    </w:lvl>
    <w:lvl w:ilvl="8" w:tplc="9B800C6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9D0AA6C">
      <w:start w:val="1"/>
      <w:numFmt w:val="decimal"/>
      <w:lvlText w:val="%1)"/>
      <w:lvlJc w:val="left"/>
      <w:pPr>
        <w:tabs>
          <w:tab w:val="num" w:pos="340"/>
        </w:tabs>
        <w:ind w:left="340" w:hanging="340"/>
      </w:pPr>
      <w:rPr>
        <w:rFonts w:hint="default"/>
      </w:rPr>
    </w:lvl>
    <w:lvl w:ilvl="1" w:tplc="89AC2B72" w:tentative="1">
      <w:start w:val="1"/>
      <w:numFmt w:val="lowerLetter"/>
      <w:lvlText w:val="%2."/>
      <w:lvlJc w:val="left"/>
      <w:pPr>
        <w:tabs>
          <w:tab w:val="num" w:pos="1440"/>
        </w:tabs>
        <w:ind w:left="1440" w:hanging="360"/>
      </w:pPr>
    </w:lvl>
    <w:lvl w:ilvl="2" w:tplc="1ABAA7A4" w:tentative="1">
      <w:start w:val="1"/>
      <w:numFmt w:val="lowerRoman"/>
      <w:lvlText w:val="%3."/>
      <w:lvlJc w:val="right"/>
      <w:pPr>
        <w:tabs>
          <w:tab w:val="num" w:pos="2160"/>
        </w:tabs>
        <w:ind w:left="2160" w:hanging="180"/>
      </w:pPr>
    </w:lvl>
    <w:lvl w:ilvl="3" w:tplc="C36ED170" w:tentative="1">
      <w:start w:val="1"/>
      <w:numFmt w:val="decimal"/>
      <w:lvlText w:val="%4."/>
      <w:lvlJc w:val="left"/>
      <w:pPr>
        <w:tabs>
          <w:tab w:val="num" w:pos="2880"/>
        </w:tabs>
        <w:ind w:left="2880" w:hanging="360"/>
      </w:pPr>
    </w:lvl>
    <w:lvl w:ilvl="4" w:tplc="34D0906C" w:tentative="1">
      <w:start w:val="1"/>
      <w:numFmt w:val="lowerLetter"/>
      <w:lvlText w:val="%5."/>
      <w:lvlJc w:val="left"/>
      <w:pPr>
        <w:tabs>
          <w:tab w:val="num" w:pos="3600"/>
        </w:tabs>
        <w:ind w:left="3600" w:hanging="360"/>
      </w:pPr>
    </w:lvl>
    <w:lvl w:ilvl="5" w:tplc="F2ECF4FC" w:tentative="1">
      <w:start w:val="1"/>
      <w:numFmt w:val="lowerRoman"/>
      <w:lvlText w:val="%6."/>
      <w:lvlJc w:val="right"/>
      <w:pPr>
        <w:tabs>
          <w:tab w:val="num" w:pos="4320"/>
        </w:tabs>
        <w:ind w:left="4320" w:hanging="180"/>
      </w:pPr>
    </w:lvl>
    <w:lvl w:ilvl="6" w:tplc="09EE30EA" w:tentative="1">
      <w:start w:val="1"/>
      <w:numFmt w:val="decimal"/>
      <w:lvlText w:val="%7."/>
      <w:lvlJc w:val="left"/>
      <w:pPr>
        <w:tabs>
          <w:tab w:val="num" w:pos="5040"/>
        </w:tabs>
        <w:ind w:left="5040" w:hanging="360"/>
      </w:pPr>
    </w:lvl>
    <w:lvl w:ilvl="7" w:tplc="08A2843A" w:tentative="1">
      <w:start w:val="1"/>
      <w:numFmt w:val="lowerLetter"/>
      <w:lvlText w:val="%8."/>
      <w:lvlJc w:val="left"/>
      <w:pPr>
        <w:tabs>
          <w:tab w:val="num" w:pos="5760"/>
        </w:tabs>
        <w:ind w:left="5760" w:hanging="360"/>
      </w:pPr>
    </w:lvl>
    <w:lvl w:ilvl="8" w:tplc="3CD8876A" w:tentative="1">
      <w:start w:val="1"/>
      <w:numFmt w:val="lowerRoman"/>
      <w:lvlText w:val="%9."/>
      <w:lvlJc w:val="right"/>
      <w:pPr>
        <w:tabs>
          <w:tab w:val="num" w:pos="6480"/>
        </w:tabs>
        <w:ind w:left="6480" w:hanging="180"/>
      </w:pPr>
    </w:lvl>
  </w:abstractNum>
  <w:abstractNum w:abstractNumId="13" w15:restartNumberingAfterBreak="0">
    <w:nsid w:val="52CF216B"/>
    <w:multiLevelType w:val="hybridMultilevel"/>
    <w:tmpl w:val="9B767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2F3AFA"/>
    <w:multiLevelType w:val="hybridMultilevel"/>
    <w:tmpl w:val="9DF09BE6"/>
    <w:lvl w:ilvl="0" w:tplc="9740DE72">
      <w:start w:val="1"/>
      <w:numFmt w:val="decimal"/>
      <w:lvlText w:val="%1."/>
      <w:lvlJc w:val="left"/>
      <w:pPr>
        <w:tabs>
          <w:tab w:val="num" w:pos="1057"/>
        </w:tabs>
        <w:ind w:left="1057" w:hanging="360"/>
      </w:pPr>
      <w:rPr>
        <w:rFonts w:hint="default"/>
      </w:rPr>
    </w:lvl>
    <w:lvl w:ilvl="1" w:tplc="45509F28" w:tentative="1">
      <w:start w:val="1"/>
      <w:numFmt w:val="lowerLetter"/>
      <w:lvlText w:val="%2."/>
      <w:lvlJc w:val="left"/>
      <w:pPr>
        <w:tabs>
          <w:tab w:val="num" w:pos="2137"/>
        </w:tabs>
        <w:ind w:left="2137" w:hanging="360"/>
      </w:pPr>
    </w:lvl>
    <w:lvl w:ilvl="2" w:tplc="64322EDE" w:tentative="1">
      <w:start w:val="1"/>
      <w:numFmt w:val="lowerRoman"/>
      <w:lvlText w:val="%3."/>
      <w:lvlJc w:val="right"/>
      <w:pPr>
        <w:tabs>
          <w:tab w:val="num" w:pos="2857"/>
        </w:tabs>
        <w:ind w:left="2857" w:hanging="180"/>
      </w:pPr>
    </w:lvl>
    <w:lvl w:ilvl="3" w:tplc="78C0C1E6" w:tentative="1">
      <w:start w:val="1"/>
      <w:numFmt w:val="decimal"/>
      <w:lvlText w:val="%4."/>
      <w:lvlJc w:val="left"/>
      <w:pPr>
        <w:tabs>
          <w:tab w:val="num" w:pos="3577"/>
        </w:tabs>
        <w:ind w:left="3577" w:hanging="360"/>
      </w:pPr>
    </w:lvl>
    <w:lvl w:ilvl="4" w:tplc="251C2AB8" w:tentative="1">
      <w:start w:val="1"/>
      <w:numFmt w:val="lowerLetter"/>
      <w:lvlText w:val="%5."/>
      <w:lvlJc w:val="left"/>
      <w:pPr>
        <w:tabs>
          <w:tab w:val="num" w:pos="4297"/>
        </w:tabs>
        <w:ind w:left="4297" w:hanging="360"/>
      </w:pPr>
    </w:lvl>
    <w:lvl w:ilvl="5" w:tplc="24681C66" w:tentative="1">
      <w:start w:val="1"/>
      <w:numFmt w:val="lowerRoman"/>
      <w:lvlText w:val="%6."/>
      <w:lvlJc w:val="right"/>
      <w:pPr>
        <w:tabs>
          <w:tab w:val="num" w:pos="5017"/>
        </w:tabs>
        <w:ind w:left="5017" w:hanging="180"/>
      </w:pPr>
    </w:lvl>
    <w:lvl w:ilvl="6" w:tplc="0024A604" w:tentative="1">
      <w:start w:val="1"/>
      <w:numFmt w:val="decimal"/>
      <w:lvlText w:val="%7."/>
      <w:lvlJc w:val="left"/>
      <w:pPr>
        <w:tabs>
          <w:tab w:val="num" w:pos="5737"/>
        </w:tabs>
        <w:ind w:left="5737" w:hanging="360"/>
      </w:pPr>
    </w:lvl>
    <w:lvl w:ilvl="7" w:tplc="999A0E5E" w:tentative="1">
      <w:start w:val="1"/>
      <w:numFmt w:val="lowerLetter"/>
      <w:lvlText w:val="%8."/>
      <w:lvlJc w:val="left"/>
      <w:pPr>
        <w:tabs>
          <w:tab w:val="num" w:pos="6457"/>
        </w:tabs>
        <w:ind w:left="6457" w:hanging="360"/>
      </w:pPr>
    </w:lvl>
    <w:lvl w:ilvl="8" w:tplc="920A0766"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87589B8E">
      <w:start w:val="1"/>
      <w:numFmt w:val="decimal"/>
      <w:pStyle w:val="ATSNumber1"/>
      <w:lvlText w:val="%1)"/>
      <w:lvlJc w:val="left"/>
      <w:pPr>
        <w:tabs>
          <w:tab w:val="num" w:pos="720"/>
        </w:tabs>
        <w:ind w:left="720" w:hanging="360"/>
      </w:pPr>
    </w:lvl>
    <w:lvl w:ilvl="1" w:tplc="3D3C9F86">
      <w:start w:val="1"/>
      <w:numFmt w:val="lowerLetter"/>
      <w:lvlText w:val="%2."/>
      <w:lvlJc w:val="left"/>
      <w:pPr>
        <w:tabs>
          <w:tab w:val="num" w:pos="1440"/>
        </w:tabs>
        <w:ind w:left="1440" w:hanging="360"/>
      </w:pPr>
    </w:lvl>
    <w:lvl w:ilvl="2" w:tplc="4B321544" w:tentative="1">
      <w:start w:val="1"/>
      <w:numFmt w:val="lowerRoman"/>
      <w:lvlText w:val="%3."/>
      <w:lvlJc w:val="right"/>
      <w:pPr>
        <w:tabs>
          <w:tab w:val="num" w:pos="2160"/>
        </w:tabs>
        <w:ind w:left="2160" w:hanging="180"/>
      </w:pPr>
    </w:lvl>
    <w:lvl w:ilvl="3" w:tplc="4EAC8B20" w:tentative="1">
      <w:start w:val="1"/>
      <w:numFmt w:val="decimal"/>
      <w:lvlText w:val="%4."/>
      <w:lvlJc w:val="left"/>
      <w:pPr>
        <w:tabs>
          <w:tab w:val="num" w:pos="2880"/>
        </w:tabs>
        <w:ind w:left="2880" w:hanging="360"/>
      </w:pPr>
    </w:lvl>
    <w:lvl w:ilvl="4" w:tplc="B7607BF4" w:tentative="1">
      <w:start w:val="1"/>
      <w:numFmt w:val="lowerLetter"/>
      <w:lvlText w:val="%5."/>
      <w:lvlJc w:val="left"/>
      <w:pPr>
        <w:tabs>
          <w:tab w:val="num" w:pos="3600"/>
        </w:tabs>
        <w:ind w:left="3600" w:hanging="360"/>
      </w:pPr>
    </w:lvl>
    <w:lvl w:ilvl="5" w:tplc="A0D22478" w:tentative="1">
      <w:start w:val="1"/>
      <w:numFmt w:val="lowerRoman"/>
      <w:lvlText w:val="%6."/>
      <w:lvlJc w:val="right"/>
      <w:pPr>
        <w:tabs>
          <w:tab w:val="num" w:pos="4320"/>
        </w:tabs>
        <w:ind w:left="4320" w:hanging="180"/>
      </w:pPr>
    </w:lvl>
    <w:lvl w:ilvl="6" w:tplc="8BC0EF7E" w:tentative="1">
      <w:start w:val="1"/>
      <w:numFmt w:val="decimal"/>
      <w:lvlText w:val="%7."/>
      <w:lvlJc w:val="left"/>
      <w:pPr>
        <w:tabs>
          <w:tab w:val="num" w:pos="5040"/>
        </w:tabs>
        <w:ind w:left="5040" w:hanging="360"/>
      </w:pPr>
    </w:lvl>
    <w:lvl w:ilvl="7" w:tplc="40544C52" w:tentative="1">
      <w:start w:val="1"/>
      <w:numFmt w:val="lowerLetter"/>
      <w:lvlText w:val="%8."/>
      <w:lvlJc w:val="left"/>
      <w:pPr>
        <w:tabs>
          <w:tab w:val="num" w:pos="5760"/>
        </w:tabs>
        <w:ind w:left="5760" w:hanging="360"/>
      </w:pPr>
    </w:lvl>
    <w:lvl w:ilvl="8" w:tplc="71A8B686"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75DAA6F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D1CCD54" w:tentative="1">
      <w:start w:val="1"/>
      <w:numFmt w:val="bullet"/>
      <w:lvlText w:val="o"/>
      <w:lvlJc w:val="left"/>
      <w:pPr>
        <w:tabs>
          <w:tab w:val="num" w:pos="2517"/>
        </w:tabs>
        <w:ind w:left="2517" w:hanging="360"/>
      </w:pPr>
      <w:rPr>
        <w:rFonts w:ascii="Courier New" w:hAnsi="Courier New" w:cs="Courier New" w:hint="default"/>
      </w:rPr>
    </w:lvl>
    <w:lvl w:ilvl="2" w:tplc="A8E2917A" w:tentative="1">
      <w:start w:val="1"/>
      <w:numFmt w:val="bullet"/>
      <w:lvlText w:val=""/>
      <w:lvlJc w:val="left"/>
      <w:pPr>
        <w:tabs>
          <w:tab w:val="num" w:pos="3237"/>
        </w:tabs>
        <w:ind w:left="3237" w:hanging="360"/>
      </w:pPr>
      <w:rPr>
        <w:rFonts w:ascii="Wingdings" w:hAnsi="Wingdings" w:hint="default"/>
      </w:rPr>
    </w:lvl>
    <w:lvl w:ilvl="3" w:tplc="9CD2958C" w:tentative="1">
      <w:start w:val="1"/>
      <w:numFmt w:val="bullet"/>
      <w:lvlText w:val=""/>
      <w:lvlJc w:val="left"/>
      <w:pPr>
        <w:tabs>
          <w:tab w:val="num" w:pos="3957"/>
        </w:tabs>
        <w:ind w:left="3957" w:hanging="360"/>
      </w:pPr>
      <w:rPr>
        <w:rFonts w:ascii="Symbol" w:hAnsi="Symbol" w:hint="default"/>
      </w:rPr>
    </w:lvl>
    <w:lvl w:ilvl="4" w:tplc="AEC8E458" w:tentative="1">
      <w:start w:val="1"/>
      <w:numFmt w:val="bullet"/>
      <w:lvlText w:val="o"/>
      <w:lvlJc w:val="left"/>
      <w:pPr>
        <w:tabs>
          <w:tab w:val="num" w:pos="4677"/>
        </w:tabs>
        <w:ind w:left="4677" w:hanging="360"/>
      </w:pPr>
      <w:rPr>
        <w:rFonts w:ascii="Courier New" w:hAnsi="Courier New" w:cs="Courier New" w:hint="default"/>
      </w:rPr>
    </w:lvl>
    <w:lvl w:ilvl="5" w:tplc="BBE4C9BE" w:tentative="1">
      <w:start w:val="1"/>
      <w:numFmt w:val="bullet"/>
      <w:lvlText w:val=""/>
      <w:lvlJc w:val="left"/>
      <w:pPr>
        <w:tabs>
          <w:tab w:val="num" w:pos="5397"/>
        </w:tabs>
        <w:ind w:left="5397" w:hanging="360"/>
      </w:pPr>
      <w:rPr>
        <w:rFonts w:ascii="Wingdings" w:hAnsi="Wingdings" w:hint="default"/>
      </w:rPr>
    </w:lvl>
    <w:lvl w:ilvl="6" w:tplc="14B0FE36" w:tentative="1">
      <w:start w:val="1"/>
      <w:numFmt w:val="bullet"/>
      <w:lvlText w:val=""/>
      <w:lvlJc w:val="left"/>
      <w:pPr>
        <w:tabs>
          <w:tab w:val="num" w:pos="6117"/>
        </w:tabs>
        <w:ind w:left="6117" w:hanging="360"/>
      </w:pPr>
      <w:rPr>
        <w:rFonts w:ascii="Symbol" w:hAnsi="Symbol" w:hint="default"/>
      </w:rPr>
    </w:lvl>
    <w:lvl w:ilvl="7" w:tplc="2354ABCE" w:tentative="1">
      <w:start w:val="1"/>
      <w:numFmt w:val="bullet"/>
      <w:lvlText w:val="o"/>
      <w:lvlJc w:val="left"/>
      <w:pPr>
        <w:tabs>
          <w:tab w:val="num" w:pos="6837"/>
        </w:tabs>
        <w:ind w:left="6837" w:hanging="360"/>
      </w:pPr>
      <w:rPr>
        <w:rFonts w:ascii="Courier New" w:hAnsi="Courier New" w:cs="Courier New" w:hint="default"/>
      </w:rPr>
    </w:lvl>
    <w:lvl w:ilvl="8" w:tplc="ADCABC2E"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0EC862C4">
      <w:start w:val="1"/>
      <w:numFmt w:val="decimal"/>
      <w:pStyle w:val="ATSNumber2"/>
      <w:lvlText w:val="%1."/>
      <w:lvlJc w:val="left"/>
      <w:pPr>
        <w:tabs>
          <w:tab w:val="num" w:pos="720"/>
        </w:tabs>
        <w:ind w:left="720" w:hanging="360"/>
      </w:pPr>
      <w:rPr>
        <w:rFonts w:hint="default"/>
      </w:rPr>
    </w:lvl>
    <w:lvl w:ilvl="1" w:tplc="90CC77D8" w:tentative="1">
      <w:start w:val="1"/>
      <w:numFmt w:val="lowerLetter"/>
      <w:lvlText w:val="%2."/>
      <w:lvlJc w:val="left"/>
      <w:pPr>
        <w:tabs>
          <w:tab w:val="num" w:pos="1440"/>
        </w:tabs>
        <w:ind w:left="1440" w:hanging="360"/>
      </w:pPr>
    </w:lvl>
    <w:lvl w:ilvl="2" w:tplc="30B0377A" w:tentative="1">
      <w:start w:val="1"/>
      <w:numFmt w:val="lowerRoman"/>
      <w:lvlText w:val="%3."/>
      <w:lvlJc w:val="right"/>
      <w:pPr>
        <w:tabs>
          <w:tab w:val="num" w:pos="2160"/>
        </w:tabs>
        <w:ind w:left="2160" w:hanging="180"/>
      </w:pPr>
    </w:lvl>
    <w:lvl w:ilvl="3" w:tplc="BEB0DBCE" w:tentative="1">
      <w:start w:val="1"/>
      <w:numFmt w:val="decimal"/>
      <w:lvlText w:val="%4."/>
      <w:lvlJc w:val="left"/>
      <w:pPr>
        <w:tabs>
          <w:tab w:val="num" w:pos="2880"/>
        </w:tabs>
        <w:ind w:left="2880" w:hanging="360"/>
      </w:pPr>
    </w:lvl>
    <w:lvl w:ilvl="4" w:tplc="174E936E" w:tentative="1">
      <w:start w:val="1"/>
      <w:numFmt w:val="lowerLetter"/>
      <w:lvlText w:val="%5."/>
      <w:lvlJc w:val="left"/>
      <w:pPr>
        <w:tabs>
          <w:tab w:val="num" w:pos="3600"/>
        </w:tabs>
        <w:ind w:left="3600" w:hanging="360"/>
      </w:pPr>
    </w:lvl>
    <w:lvl w:ilvl="5" w:tplc="5246DDCC" w:tentative="1">
      <w:start w:val="1"/>
      <w:numFmt w:val="lowerRoman"/>
      <w:lvlText w:val="%6."/>
      <w:lvlJc w:val="right"/>
      <w:pPr>
        <w:tabs>
          <w:tab w:val="num" w:pos="4320"/>
        </w:tabs>
        <w:ind w:left="4320" w:hanging="180"/>
      </w:pPr>
    </w:lvl>
    <w:lvl w:ilvl="6" w:tplc="9FCA7382" w:tentative="1">
      <w:start w:val="1"/>
      <w:numFmt w:val="decimal"/>
      <w:lvlText w:val="%7."/>
      <w:lvlJc w:val="left"/>
      <w:pPr>
        <w:tabs>
          <w:tab w:val="num" w:pos="5040"/>
        </w:tabs>
        <w:ind w:left="5040" w:hanging="360"/>
      </w:pPr>
    </w:lvl>
    <w:lvl w:ilvl="7" w:tplc="A8BEEC52" w:tentative="1">
      <w:start w:val="1"/>
      <w:numFmt w:val="lowerLetter"/>
      <w:lvlText w:val="%8."/>
      <w:lvlJc w:val="left"/>
      <w:pPr>
        <w:tabs>
          <w:tab w:val="num" w:pos="5760"/>
        </w:tabs>
        <w:ind w:left="5760" w:hanging="360"/>
      </w:pPr>
    </w:lvl>
    <w:lvl w:ilvl="8" w:tplc="B2A85156" w:tentative="1">
      <w:start w:val="1"/>
      <w:numFmt w:val="lowerRoman"/>
      <w:lvlText w:val="%9."/>
      <w:lvlJc w:val="right"/>
      <w:pPr>
        <w:tabs>
          <w:tab w:val="num" w:pos="6480"/>
        </w:tabs>
        <w:ind w:left="6480" w:hanging="180"/>
      </w:pPr>
    </w:lvl>
  </w:abstractNum>
  <w:num w:numId="1" w16cid:durableId="1580021704">
    <w:abstractNumId w:val="9"/>
  </w:num>
  <w:num w:numId="2" w16cid:durableId="1125738148">
    <w:abstractNumId w:val="7"/>
  </w:num>
  <w:num w:numId="3" w16cid:durableId="1148784564">
    <w:abstractNumId w:val="6"/>
  </w:num>
  <w:num w:numId="4" w16cid:durableId="678460853">
    <w:abstractNumId w:val="5"/>
  </w:num>
  <w:num w:numId="5" w16cid:durableId="2142844624">
    <w:abstractNumId w:val="4"/>
  </w:num>
  <w:num w:numId="6" w16cid:durableId="743455841">
    <w:abstractNumId w:val="8"/>
  </w:num>
  <w:num w:numId="7" w16cid:durableId="1454791787">
    <w:abstractNumId w:val="3"/>
  </w:num>
  <w:num w:numId="8" w16cid:durableId="391122885">
    <w:abstractNumId w:val="2"/>
  </w:num>
  <w:num w:numId="9" w16cid:durableId="332417032">
    <w:abstractNumId w:val="1"/>
  </w:num>
  <w:num w:numId="10" w16cid:durableId="502474482">
    <w:abstractNumId w:val="0"/>
  </w:num>
  <w:num w:numId="11" w16cid:durableId="1229462883">
    <w:abstractNumId w:val="11"/>
  </w:num>
  <w:num w:numId="12" w16cid:durableId="1416131166">
    <w:abstractNumId w:val="16"/>
  </w:num>
  <w:num w:numId="13" w16cid:durableId="1994286100">
    <w:abstractNumId w:val="15"/>
  </w:num>
  <w:num w:numId="14" w16cid:durableId="768161543">
    <w:abstractNumId w:val="12"/>
  </w:num>
  <w:num w:numId="15" w16cid:durableId="2000231868">
    <w:abstractNumId w:val="14"/>
  </w:num>
  <w:num w:numId="16" w16cid:durableId="1011033045">
    <w:abstractNumId w:val="10"/>
  </w:num>
  <w:num w:numId="17" w16cid:durableId="569653209">
    <w:abstractNumId w:val="11"/>
  </w:num>
  <w:num w:numId="18" w16cid:durableId="2056270170">
    <w:abstractNumId w:val="16"/>
  </w:num>
  <w:num w:numId="19" w16cid:durableId="1485777337">
    <w:abstractNumId w:val="15"/>
  </w:num>
  <w:num w:numId="20" w16cid:durableId="1300765408">
    <w:abstractNumId w:val="17"/>
  </w:num>
  <w:num w:numId="21" w16cid:durableId="21407620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8B"/>
    <w:rsid w:val="003F6C8B"/>
    <w:rsid w:val="006E45AD"/>
    <w:rsid w:val="00E170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ACB80"/>
  <w15:chartTrackingRefBased/>
  <w15:docId w15:val="{1C996CFC-C028-46B3-8493-049A0CD1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6E45AD"/>
    <w:rPr>
      <w:sz w:val="22"/>
      <w:szCs w:val="24"/>
      <w:lang w:val="en-GB" w:eastAsia="en-GB"/>
    </w:rPr>
  </w:style>
  <w:style w:type="paragraph" w:customStyle="1" w:styleId="Default">
    <w:name w:val="Default"/>
    <w:rsid w:val="006E45AD"/>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2247</Words>
  <Characters>11772</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2022-04-05T12:10:00Z</dcterms:modified>
</cp:coreProperties>
</file>