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2069C" w14:textId="00ACD945" w:rsidR="00C26F2D" w:rsidRDefault="007B560B" w:rsidP="009E619D">
      <w:pPr>
        <w:rPr>
          <w:lang w:val="es-ES_tradnl"/>
        </w:rPr>
      </w:pPr>
      <w:r>
        <w:rPr>
          <w:lang w:val="es-ES_tradnl"/>
        </w:rPr>
        <w:t xml:space="preserve"> </w:t>
      </w:r>
    </w:p>
    <w:p w14:paraId="69048834" w14:textId="77777777" w:rsidR="002F0A13" w:rsidRDefault="00A64393" w:rsidP="004B4A60">
      <w:pPr>
        <w:rPr>
          <w:b/>
          <w:u w:val="single"/>
          <w:lang w:val="es-ES_tradnl"/>
        </w:rPr>
      </w:pPr>
    </w:p>
    <w:p w14:paraId="6DEA24B4" w14:textId="77777777" w:rsidR="002F0A13" w:rsidRDefault="00A64393" w:rsidP="004B4A60">
      <w:pPr>
        <w:rPr>
          <w:b/>
          <w:u w:val="single"/>
          <w:lang w:val="es-ES_tradnl"/>
        </w:rPr>
      </w:pPr>
    </w:p>
    <w:p w14:paraId="4A8F0A39" w14:textId="77777777" w:rsidR="002F0A13" w:rsidRDefault="00A64393" w:rsidP="004B4A60">
      <w:pPr>
        <w:rPr>
          <w:b/>
          <w:u w:val="single"/>
          <w:lang w:val="es-ES_tradnl"/>
        </w:rPr>
      </w:pPr>
    </w:p>
    <w:p w14:paraId="6C87F7DC" w14:textId="77777777" w:rsidR="002F0A13" w:rsidRDefault="00A64393" w:rsidP="004B4A60">
      <w:pPr>
        <w:rPr>
          <w:b/>
          <w:u w:val="single"/>
          <w:lang w:val="es-ES_tradnl"/>
        </w:rPr>
      </w:pPr>
    </w:p>
    <w:p w14:paraId="373C93E1" w14:textId="77777777" w:rsidR="00C26F2D" w:rsidRDefault="00A64393" w:rsidP="004B4A60">
      <w:pPr>
        <w:rPr>
          <w:b/>
          <w:u w:val="single"/>
          <w:lang w:val="es-ES_tradnl"/>
        </w:rPr>
      </w:pPr>
    </w:p>
    <w:p w14:paraId="2A01FA61" w14:textId="77777777" w:rsidR="004B4A60" w:rsidRPr="0036527E" w:rsidRDefault="0036527E" w:rsidP="001B789F">
      <w:pPr>
        <w:pStyle w:val="ATSTitle"/>
      </w:pPr>
      <w:bookmarkStart w:id="0" w:name="name"/>
      <w:r>
        <w:t>Review of the scientific information contained in the EIES</w:t>
      </w:r>
      <w:bookmarkEnd w:id="0"/>
    </w:p>
    <w:p w14:paraId="28EF1456" w14:textId="77777777" w:rsidR="004B4A60" w:rsidRPr="0036527E" w:rsidRDefault="00A64393" w:rsidP="00F75424">
      <w:pPr>
        <w:jc w:val="center"/>
        <w:rPr>
          <w:lang w:val="es-AR"/>
        </w:rPr>
      </w:pPr>
    </w:p>
    <w:p w14:paraId="76EBEA73" w14:textId="77777777" w:rsidR="004B4A60" w:rsidRPr="0036527E" w:rsidRDefault="00A64393" w:rsidP="002F0A13">
      <w:pPr>
        <w:rPr>
          <w:lang w:val="es-AR"/>
        </w:rPr>
      </w:pPr>
    </w:p>
    <w:p w14:paraId="538E3B5B" w14:textId="77777777" w:rsidR="004B4A60" w:rsidRPr="0036527E" w:rsidRDefault="00A64393" w:rsidP="00F75424">
      <w:pPr>
        <w:jc w:val="center"/>
      </w:pPr>
      <w:bookmarkStart w:id="1" w:name="memo"/>
      <w:bookmarkStart w:id="2" w:name="_GoBack"/>
      <w:bookmarkEnd w:id="1"/>
      <w:bookmarkEnd w:id="2"/>
    </w:p>
    <w:p w14:paraId="1287FC63" w14:textId="77777777" w:rsidR="004B4A60" w:rsidRPr="0036527E" w:rsidRDefault="00A64393" w:rsidP="004B4A60">
      <w:pPr>
        <w:rPr>
          <w:lang w:val="es-AR"/>
        </w:rPr>
      </w:pPr>
    </w:p>
    <w:p w14:paraId="05EA0BC7" w14:textId="77777777" w:rsidR="00C26F2D" w:rsidRPr="0036527E" w:rsidRDefault="00A64393" w:rsidP="00952E9F">
      <w:pPr>
        <w:rPr>
          <w:lang w:val="es-AR"/>
        </w:rPr>
        <w:sectPr w:rsidR="00C26F2D" w:rsidRPr="0036527E"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7ED29267" w14:textId="7E9FF676" w:rsidR="004B4A60" w:rsidRDefault="00A64393" w:rsidP="00952E9F">
      <w:pPr>
        <w:rPr>
          <w:lang w:val="es-AR"/>
        </w:rPr>
      </w:pPr>
    </w:p>
    <w:p w14:paraId="131749D6" w14:textId="77777777" w:rsidR="0036527E" w:rsidRPr="00693EC8" w:rsidRDefault="0036527E" w:rsidP="0036527E">
      <w:pPr>
        <w:pStyle w:val="ATSTitle"/>
        <w:spacing w:before="0" w:after="0"/>
        <w:rPr>
          <w:rFonts w:ascii="Arial-BoldMT" w:hAnsi="Arial-BoldMT"/>
          <w:bCs/>
          <w:sz w:val="32"/>
          <w:szCs w:val="32"/>
        </w:rPr>
      </w:pPr>
      <w:r>
        <w:rPr>
          <w:rFonts w:ascii="Arial-BoldMT" w:hAnsi="Arial-BoldMT"/>
          <w:bCs/>
          <w:sz w:val="32"/>
          <w:szCs w:val="32"/>
        </w:rPr>
        <w:t>Review of the scientific information contained in the Electronic Information Exchange System</w:t>
      </w:r>
    </w:p>
    <w:p w14:paraId="7F784F3C" w14:textId="77777777" w:rsidR="0036527E" w:rsidRPr="00693EC8" w:rsidRDefault="0036527E" w:rsidP="0036527E">
      <w:pPr>
        <w:pStyle w:val="ATSTitle"/>
        <w:spacing w:before="0" w:after="0"/>
        <w:rPr>
          <w:rFonts w:ascii="Arial-BoldMT" w:hAnsi="Arial-BoldMT" w:cs="Arial-BoldMT"/>
          <w:bCs/>
          <w:sz w:val="32"/>
          <w:szCs w:val="32"/>
          <w:lang w:val="es-ES"/>
        </w:rPr>
      </w:pPr>
    </w:p>
    <w:p w14:paraId="4584AF5A" w14:textId="77777777" w:rsidR="0036527E" w:rsidRPr="00693EC8" w:rsidRDefault="0036527E" w:rsidP="0036527E">
      <w:pPr>
        <w:pStyle w:val="ATSTitle"/>
        <w:spacing w:before="0" w:after="0"/>
        <w:rPr>
          <w:rFonts w:ascii="Times New Roman" w:hAnsi="Times New Roman"/>
          <w:b w:val="0"/>
          <w:sz w:val="22"/>
          <w:szCs w:val="22"/>
        </w:rPr>
      </w:pPr>
      <w:r>
        <w:rPr>
          <w:rFonts w:ascii="Times New Roman" w:hAnsi="Times New Roman"/>
          <w:b w:val="0"/>
          <w:bCs/>
          <w:sz w:val="22"/>
          <w:szCs w:val="22"/>
        </w:rPr>
        <w:t>Working Paper presented by Spain</w:t>
      </w:r>
    </w:p>
    <w:p w14:paraId="0E47E198" w14:textId="77777777" w:rsidR="0036527E" w:rsidRPr="00693EC8" w:rsidRDefault="0036527E" w:rsidP="0036527E">
      <w:pPr>
        <w:pStyle w:val="ATSHeading3"/>
        <w:spacing w:before="0" w:after="0"/>
        <w:rPr>
          <w:sz w:val="24"/>
          <w:lang w:val="es-ES"/>
        </w:rPr>
      </w:pPr>
    </w:p>
    <w:p w14:paraId="76A64C26" w14:textId="77777777" w:rsidR="0036527E" w:rsidRPr="00693EC8" w:rsidRDefault="0036527E" w:rsidP="0036527E">
      <w:pPr>
        <w:rPr>
          <w:rFonts w:ascii="Arial" w:eastAsiaTheme="minorEastAsia" w:hAnsi="Arial" w:cs="Arial"/>
          <w:b/>
          <w:i/>
          <w:sz w:val="24"/>
        </w:rPr>
      </w:pPr>
      <w:r>
        <w:rPr>
          <w:rFonts w:ascii="Arial" w:hAnsi="Arial"/>
          <w:b/>
          <w:i/>
          <w:sz w:val="24"/>
        </w:rPr>
        <w:t>Summary</w:t>
      </w:r>
    </w:p>
    <w:p w14:paraId="64C43607" w14:textId="77777777" w:rsidR="0036527E" w:rsidRPr="00693EC8" w:rsidRDefault="0036527E" w:rsidP="0036527E">
      <w:pPr>
        <w:rPr>
          <w:rFonts w:eastAsiaTheme="minorEastAsia"/>
          <w:sz w:val="24"/>
          <w:lang w:val="es-ES"/>
        </w:rPr>
      </w:pPr>
    </w:p>
    <w:p w14:paraId="56599DDB" w14:textId="77777777" w:rsidR="0036527E" w:rsidRPr="00693EC8" w:rsidRDefault="0036527E" w:rsidP="0036527E">
      <w:pPr>
        <w:rPr>
          <w:rFonts w:eastAsiaTheme="minorEastAsia"/>
          <w:color w:val="000000" w:themeColor="text1"/>
          <w:szCs w:val="22"/>
        </w:rPr>
      </w:pPr>
      <w:r>
        <w:rPr>
          <w:color w:val="000000" w:themeColor="text1"/>
          <w:szCs w:val="22"/>
        </w:rPr>
        <w:t xml:space="preserve">After analysing paper SP 10 presented at the Antarctic Treaty Consultative Meeting XLIII, Spain suggests reviewing the scientific information the Parties submit to the Electronic Information Exchange System (EIES) of the Antarctic Treaty. To this end, the document suggests setting up an Intersessional Contact Group (ICG) to start the review and terms of reference to perform their work. </w:t>
      </w:r>
    </w:p>
    <w:p w14:paraId="4709C94D" w14:textId="77777777" w:rsidR="0036527E" w:rsidRPr="00693EC8" w:rsidRDefault="0036527E" w:rsidP="0036527E">
      <w:pPr>
        <w:rPr>
          <w:rFonts w:eastAsiaTheme="minorEastAsia"/>
          <w:color w:val="000000" w:themeColor="text1"/>
          <w:sz w:val="24"/>
          <w:lang w:val="es-ES"/>
        </w:rPr>
      </w:pPr>
    </w:p>
    <w:p w14:paraId="5D7C7AA5" w14:textId="77777777" w:rsidR="0036527E" w:rsidRPr="00693EC8" w:rsidRDefault="0036527E" w:rsidP="0036527E">
      <w:pPr>
        <w:rPr>
          <w:rFonts w:ascii="Arial" w:eastAsiaTheme="minorEastAsia" w:hAnsi="Arial" w:cs="Arial"/>
          <w:b/>
          <w:i/>
          <w:color w:val="000000" w:themeColor="text1"/>
          <w:sz w:val="24"/>
        </w:rPr>
      </w:pPr>
      <w:r>
        <w:rPr>
          <w:rFonts w:ascii="Arial" w:hAnsi="Arial"/>
          <w:b/>
          <w:i/>
          <w:color w:val="000000" w:themeColor="text1"/>
          <w:sz w:val="24"/>
        </w:rPr>
        <w:t>Introduction</w:t>
      </w:r>
    </w:p>
    <w:p w14:paraId="0B79E675" w14:textId="77777777" w:rsidR="0036527E" w:rsidRPr="00693EC8" w:rsidRDefault="0036527E" w:rsidP="0036527E">
      <w:pPr>
        <w:rPr>
          <w:rFonts w:eastAsiaTheme="minorEastAsia"/>
          <w:color w:val="000000" w:themeColor="text1"/>
          <w:sz w:val="24"/>
          <w:lang w:val="es-ES"/>
        </w:rPr>
      </w:pPr>
    </w:p>
    <w:p w14:paraId="5E8ADA2A" w14:textId="409D9DEB" w:rsidR="0036527E" w:rsidRPr="00693EC8" w:rsidRDefault="0036527E" w:rsidP="0036527E">
      <w:pPr>
        <w:rPr>
          <w:color w:val="000000" w:themeColor="text1"/>
          <w:szCs w:val="22"/>
        </w:rPr>
      </w:pPr>
      <w:r>
        <w:rPr>
          <w:color w:val="000000" w:themeColor="text1"/>
          <w:szCs w:val="22"/>
        </w:rPr>
        <w:t xml:space="preserve">Information exchange is a commitment undertaken by the Parties under Article III (1) (a) and Article VII (5) of the Antarctic Treaty, as well as under Article 17 of the Environmental Protocol and its annexes. By means of Decision 4 (2012), the ATCM XXXV stated that the Parties would use the Electronic Information Exchange System to exchange information in accordance with the Treaty and the Madrid Protocol. The annex attached to Decision 4 (2012) and providing details on the information to be exchanged has been updated 5 times, the most recent version being adopted at the ATCM XLIII held in Paris through Decision 7 (2021) following </w:t>
      </w:r>
      <w:r w:rsidR="0040532C">
        <w:rPr>
          <w:color w:val="000000" w:themeColor="text1"/>
          <w:szCs w:val="22"/>
        </w:rPr>
        <w:t xml:space="preserve">a </w:t>
      </w:r>
      <w:r>
        <w:rPr>
          <w:color w:val="000000" w:themeColor="text1"/>
          <w:szCs w:val="22"/>
        </w:rPr>
        <w:t>proposal WP 038 by the United States of America.</w:t>
      </w:r>
    </w:p>
    <w:p w14:paraId="0FE057ED" w14:textId="77777777" w:rsidR="0036527E" w:rsidRPr="00693EC8" w:rsidRDefault="0036527E" w:rsidP="0036527E">
      <w:pPr>
        <w:rPr>
          <w:color w:val="000000" w:themeColor="text1"/>
          <w:szCs w:val="22"/>
          <w:lang w:val="es-ES"/>
        </w:rPr>
      </w:pPr>
    </w:p>
    <w:p w14:paraId="2C99CA55" w14:textId="77777777" w:rsidR="0036527E" w:rsidRPr="00693EC8" w:rsidRDefault="0036527E" w:rsidP="0036527E">
      <w:pPr>
        <w:rPr>
          <w:color w:val="000000" w:themeColor="text1"/>
          <w:szCs w:val="22"/>
        </w:rPr>
      </w:pPr>
      <w:r>
        <w:rPr>
          <w:color w:val="000000" w:themeColor="text1"/>
          <w:szCs w:val="22"/>
        </w:rPr>
        <w:t>The ongoing updates of the Annex to Decision 4 (2012) respond to the requirement of the Decision itself stating that the Parties should work with the Treaty Secretariat to refine and enrich the EIES, and point to the importance the Parties attach to the exchange of information; hence the EIES can and should be improved on a regular basis.</w:t>
      </w:r>
    </w:p>
    <w:p w14:paraId="22F3F14D" w14:textId="77777777" w:rsidR="0036527E" w:rsidRPr="00693EC8" w:rsidRDefault="0036527E" w:rsidP="0036527E">
      <w:pPr>
        <w:rPr>
          <w:color w:val="000000" w:themeColor="text1"/>
          <w:sz w:val="24"/>
          <w:lang w:val="es-ES"/>
        </w:rPr>
      </w:pPr>
    </w:p>
    <w:p w14:paraId="037CE953" w14:textId="77777777" w:rsidR="0036527E" w:rsidRPr="00693EC8" w:rsidRDefault="0036527E" w:rsidP="0036527E">
      <w:pPr>
        <w:rPr>
          <w:rFonts w:ascii="Arial" w:hAnsi="Arial" w:cs="Arial"/>
          <w:b/>
          <w:i/>
          <w:color w:val="000000" w:themeColor="text1"/>
          <w:sz w:val="24"/>
        </w:rPr>
      </w:pPr>
      <w:r>
        <w:rPr>
          <w:rFonts w:ascii="Arial" w:hAnsi="Arial"/>
          <w:b/>
          <w:i/>
          <w:color w:val="000000" w:themeColor="text1"/>
          <w:sz w:val="24"/>
        </w:rPr>
        <w:t>Information analysis and proposal</w:t>
      </w:r>
    </w:p>
    <w:p w14:paraId="6A0FBA2A" w14:textId="77777777" w:rsidR="0036527E" w:rsidRPr="00693EC8" w:rsidRDefault="0036527E" w:rsidP="0036527E">
      <w:pPr>
        <w:rPr>
          <w:color w:val="000000" w:themeColor="text1"/>
          <w:sz w:val="24"/>
          <w:lang w:val="es-ES"/>
        </w:rPr>
      </w:pPr>
    </w:p>
    <w:p w14:paraId="7865D31E" w14:textId="77777777" w:rsidR="0036527E" w:rsidRPr="00693EC8" w:rsidRDefault="0036527E" w:rsidP="0036527E">
      <w:pPr>
        <w:rPr>
          <w:color w:val="000000" w:themeColor="text1"/>
          <w:szCs w:val="22"/>
        </w:rPr>
      </w:pPr>
      <w:r>
        <w:rPr>
          <w:color w:val="000000" w:themeColor="text1"/>
          <w:szCs w:val="22"/>
        </w:rPr>
        <w:t>The analysis of Secretariat Paper SP 10 (2021) presented at the ATCM XLIII underscores that the data volume corresponding to the scientific information exchanged by the Parties gradually decreased between 2015 and 2020. It is clear from the report that the Parties are exchanging less and less scientific information:</w:t>
      </w:r>
    </w:p>
    <w:p w14:paraId="75611B62" w14:textId="77777777" w:rsidR="0036527E" w:rsidRPr="00546331" w:rsidRDefault="0036527E" w:rsidP="0036527E">
      <w:pPr>
        <w:pStyle w:val="Prrafodelista"/>
        <w:numPr>
          <w:ilvl w:val="0"/>
          <w:numId w:val="21"/>
        </w:numPr>
        <w:rPr>
          <w:color w:val="000000" w:themeColor="text1"/>
          <w:szCs w:val="22"/>
        </w:rPr>
      </w:pPr>
      <w:r>
        <w:rPr>
          <w:color w:val="000000" w:themeColor="text1"/>
          <w:szCs w:val="22"/>
        </w:rPr>
        <w:t xml:space="preserve">While 62.1% (18 Parties) had completed at least one scientific information field in 2015-16, only 37.9% (11 Parties) did so in 2019-2020. </w:t>
      </w:r>
    </w:p>
    <w:p w14:paraId="2964779D" w14:textId="77777777" w:rsidR="0036527E" w:rsidRPr="00546331" w:rsidRDefault="0036527E" w:rsidP="0036527E">
      <w:pPr>
        <w:pStyle w:val="Prrafodelista"/>
        <w:numPr>
          <w:ilvl w:val="0"/>
          <w:numId w:val="21"/>
        </w:numPr>
        <w:rPr>
          <w:color w:val="000000" w:themeColor="text1"/>
          <w:szCs w:val="22"/>
        </w:rPr>
      </w:pPr>
      <w:r>
        <w:rPr>
          <w:color w:val="000000" w:themeColor="text1"/>
          <w:szCs w:val="22"/>
        </w:rPr>
        <w:t>Only nine (9) Parties complied with the yearly submission of scientific information during the 2015-16/2019-20 period, whereas six (6) Parties did not exchange any information at all in the same period and two (2) others did so on only one occasion.</w:t>
      </w:r>
    </w:p>
    <w:p w14:paraId="0E4D8300" w14:textId="77777777" w:rsidR="0036527E" w:rsidRPr="00546331" w:rsidRDefault="0036527E" w:rsidP="0036527E">
      <w:pPr>
        <w:pStyle w:val="Prrafodelista"/>
        <w:numPr>
          <w:ilvl w:val="0"/>
          <w:numId w:val="21"/>
        </w:numPr>
        <w:rPr>
          <w:color w:val="000000" w:themeColor="text1"/>
          <w:szCs w:val="22"/>
        </w:rPr>
      </w:pPr>
      <w:r>
        <w:rPr>
          <w:color w:val="000000" w:themeColor="text1"/>
          <w:szCs w:val="22"/>
        </w:rPr>
        <w:t xml:space="preserve">In particular, only 3 Parties (10.3% of the total) provided information on their science forward plans in 2019-2020. In 2015-16, 13 Parties (44.8%) had reported on this sub-item. </w:t>
      </w:r>
    </w:p>
    <w:p w14:paraId="4EA75CFC" w14:textId="77777777" w:rsidR="0036527E" w:rsidRDefault="0036527E" w:rsidP="0036527E">
      <w:pPr>
        <w:pStyle w:val="Prrafodelista"/>
        <w:numPr>
          <w:ilvl w:val="0"/>
          <w:numId w:val="21"/>
        </w:numPr>
        <w:rPr>
          <w:color w:val="000000" w:themeColor="text1"/>
          <w:szCs w:val="22"/>
        </w:rPr>
      </w:pPr>
      <w:r>
        <w:rPr>
          <w:color w:val="000000" w:themeColor="text1"/>
          <w:szCs w:val="22"/>
        </w:rPr>
        <w:t>The percentage gap among Parties delivering information on forward plans and those doing so on Activities in Previous Year has been widening year after year.</w:t>
      </w:r>
    </w:p>
    <w:p w14:paraId="05A6FC0D" w14:textId="77777777" w:rsidR="0036527E" w:rsidRPr="00546331" w:rsidRDefault="0036527E" w:rsidP="0036527E">
      <w:pPr>
        <w:pStyle w:val="Prrafodelista"/>
        <w:rPr>
          <w:color w:val="000000" w:themeColor="text1"/>
          <w:szCs w:val="22"/>
        </w:rPr>
      </w:pPr>
    </w:p>
    <w:p w14:paraId="722043A7" w14:textId="3E92AF39" w:rsidR="0036527E" w:rsidRPr="00693EC8" w:rsidRDefault="0036527E" w:rsidP="0036527E">
      <w:pPr>
        <w:rPr>
          <w:color w:val="000000" w:themeColor="text1"/>
          <w:szCs w:val="22"/>
        </w:rPr>
      </w:pPr>
      <w:r>
        <w:rPr>
          <w:color w:val="000000" w:themeColor="text1"/>
          <w:szCs w:val="22"/>
        </w:rPr>
        <w:t xml:space="preserve">Decision 7 (2021) requires that, for forward plans (item 2.1.1 of its Annex), information be provided on “details of strategic or multi-year science plans”. Based on the analysis of our own experience, we found that not all the Parties have this type of plan. Moreover, the Science Activities in Previous Year section (item 2.1.2) requests the “list of research projects undertaken in previous year under science discipline”. It could be interesting to include an additional field, such as “key words”, which the Secretariat could use as a source to generate summarised reports or thematic maps, useful for the Parties. Currently, only 2 out of the 5 fields existing under this </w:t>
      </w:r>
      <w:r>
        <w:rPr>
          <w:color w:val="000000" w:themeColor="text1"/>
          <w:szCs w:val="22"/>
        </w:rPr>
        <w:lastRenderedPageBreak/>
        <w:t>category contain c</w:t>
      </w:r>
      <w:r w:rsidR="0040532C">
        <w:rPr>
          <w:color w:val="000000" w:themeColor="text1"/>
          <w:szCs w:val="22"/>
        </w:rPr>
        <w:t>lassifiable</w:t>
      </w:r>
      <w:r>
        <w:rPr>
          <w:color w:val="000000" w:themeColor="text1"/>
          <w:szCs w:val="22"/>
        </w:rPr>
        <w:t xml:space="preserve"> information: “geographical location” and “project discipline”. The inclusion of a section concerning science projects foreseen to be developed in the following campaign could also be envisaged in the “</w:t>
      </w:r>
      <w:r>
        <w:rPr>
          <w:i/>
          <w:iCs/>
          <w:color w:val="000000" w:themeColor="text1"/>
          <w:szCs w:val="22"/>
        </w:rPr>
        <w:t>pre-season information</w:t>
      </w:r>
      <w:r>
        <w:rPr>
          <w:color w:val="000000" w:themeColor="text1"/>
          <w:szCs w:val="22"/>
        </w:rPr>
        <w:t xml:space="preserve">” exchange requirement (item 1 of the Annex to Decision 7, 2021). </w:t>
      </w:r>
    </w:p>
    <w:p w14:paraId="5AD06211" w14:textId="77777777" w:rsidR="0036527E" w:rsidRPr="00693EC8" w:rsidRDefault="0036527E" w:rsidP="0036527E">
      <w:pPr>
        <w:rPr>
          <w:color w:val="000000" w:themeColor="text1"/>
          <w:szCs w:val="22"/>
          <w:lang w:val="es-ES"/>
        </w:rPr>
      </w:pPr>
    </w:p>
    <w:p w14:paraId="074EFE85" w14:textId="1F17286B" w:rsidR="0036527E" w:rsidRPr="00693EC8" w:rsidRDefault="0036527E" w:rsidP="0036527E">
      <w:pPr>
        <w:rPr>
          <w:color w:val="000000" w:themeColor="text1"/>
          <w:szCs w:val="22"/>
        </w:rPr>
      </w:pPr>
      <w:r>
        <w:rPr>
          <w:color w:val="000000" w:themeColor="text1"/>
          <w:szCs w:val="22"/>
        </w:rPr>
        <w:t xml:space="preserve">The fields provided by the EIES to define the scientific information that needs to be exchanged are </w:t>
      </w:r>
      <w:r w:rsidR="00DB3BDC">
        <w:rPr>
          <w:color w:val="000000" w:themeColor="text1"/>
          <w:szCs w:val="22"/>
        </w:rPr>
        <w:t>vague</w:t>
      </w:r>
      <w:r>
        <w:rPr>
          <w:color w:val="000000" w:themeColor="text1"/>
          <w:szCs w:val="22"/>
        </w:rPr>
        <w:t xml:space="preserve"> and the Parties seem to find it difficult to load this information</w:t>
      </w:r>
      <w:r w:rsidR="00DB3BDC">
        <w:rPr>
          <w:color w:val="000000" w:themeColor="text1"/>
          <w:szCs w:val="22"/>
        </w:rPr>
        <w:t>. Being this information varied</w:t>
      </w:r>
      <w:r>
        <w:rPr>
          <w:color w:val="000000" w:themeColor="text1"/>
          <w:szCs w:val="22"/>
        </w:rPr>
        <w:t xml:space="preserve"> and sometimes inconsistent</w:t>
      </w:r>
      <w:r w:rsidR="00DB3BDC">
        <w:rPr>
          <w:color w:val="000000" w:themeColor="text1"/>
          <w:szCs w:val="22"/>
        </w:rPr>
        <w:t>, th</w:t>
      </w:r>
      <w:r>
        <w:rPr>
          <w:color w:val="000000" w:themeColor="text1"/>
          <w:szCs w:val="22"/>
        </w:rPr>
        <w:t>is could explain the low level of compliance observed. Furthermore, in its current format, the usefulness of said information for the rest of the Parties</w:t>
      </w:r>
      <w:r w:rsidR="00DB3BDC">
        <w:rPr>
          <w:color w:val="000000" w:themeColor="text1"/>
          <w:szCs w:val="22"/>
        </w:rPr>
        <w:t xml:space="preserve"> </w:t>
      </w:r>
      <w:r w:rsidR="0040532C">
        <w:rPr>
          <w:color w:val="000000" w:themeColor="text1"/>
          <w:szCs w:val="22"/>
        </w:rPr>
        <w:t>is sub-optimal</w:t>
      </w:r>
      <w:r>
        <w:rPr>
          <w:color w:val="000000" w:themeColor="text1"/>
          <w:szCs w:val="22"/>
        </w:rPr>
        <w:t>.</w:t>
      </w:r>
    </w:p>
    <w:p w14:paraId="7C86EDB5" w14:textId="77777777" w:rsidR="0036527E" w:rsidRPr="00693EC8" w:rsidRDefault="0036527E" w:rsidP="0036527E">
      <w:pPr>
        <w:rPr>
          <w:color w:val="000000" w:themeColor="text1"/>
          <w:szCs w:val="22"/>
          <w:lang w:val="es-ES"/>
        </w:rPr>
      </w:pPr>
    </w:p>
    <w:p w14:paraId="5F5A3E33" w14:textId="77777777" w:rsidR="0036527E" w:rsidRPr="00693EC8" w:rsidRDefault="0036527E" w:rsidP="0036527E">
      <w:pPr>
        <w:rPr>
          <w:color w:val="000000" w:themeColor="text1"/>
          <w:szCs w:val="22"/>
        </w:rPr>
      </w:pPr>
      <w:r>
        <w:rPr>
          <w:color w:val="000000" w:themeColor="text1"/>
          <w:szCs w:val="22"/>
        </w:rPr>
        <w:t>Finally, although International Scientific Cooperation is an established concept in Articles II and III of the Antarctic Treaty, there is no requirement in Decision 7 (2021) that offers the possibility to report specifically on science activities with international cooperation.</w:t>
      </w:r>
    </w:p>
    <w:p w14:paraId="241117B3" w14:textId="77777777" w:rsidR="0036527E" w:rsidRPr="00693EC8" w:rsidRDefault="0036527E" w:rsidP="0036527E">
      <w:pPr>
        <w:rPr>
          <w:color w:val="000000" w:themeColor="text1"/>
          <w:szCs w:val="22"/>
          <w:lang w:val="es-ES"/>
        </w:rPr>
      </w:pPr>
    </w:p>
    <w:p w14:paraId="3EC6FA74" w14:textId="4F32E182" w:rsidR="0036527E" w:rsidRPr="00693EC8" w:rsidRDefault="0036527E" w:rsidP="0036527E">
      <w:pPr>
        <w:rPr>
          <w:color w:val="000000" w:themeColor="text1"/>
          <w:szCs w:val="22"/>
        </w:rPr>
      </w:pPr>
      <w:r>
        <w:t xml:space="preserve">Spain suggests setting up an Intersessional Contact Group (ICG) to discuss and exchange ideas that would </w:t>
      </w:r>
      <w:r w:rsidR="00250BC6">
        <w:t>facilitate and favour the</w:t>
      </w:r>
      <w:r>
        <w:t xml:space="preserve"> scientific information exchange among the Parties, </w:t>
      </w:r>
      <w:r w:rsidR="00250BC6">
        <w:t>whose results might</w:t>
      </w:r>
      <w:r>
        <w:t xml:space="preserve"> </w:t>
      </w:r>
      <w:r w:rsidR="00250BC6">
        <w:t>contribute to developing</w:t>
      </w:r>
      <w:r>
        <w:t xml:space="preserve"> useful tools for </w:t>
      </w:r>
      <w:r w:rsidR="00250BC6">
        <w:t>the</w:t>
      </w:r>
      <w:r>
        <w:t xml:space="preserve"> Parties. </w:t>
      </w:r>
    </w:p>
    <w:p w14:paraId="72831878" w14:textId="77777777" w:rsidR="0036527E" w:rsidRPr="00693EC8" w:rsidRDefault="0036527E" w:rsidP="0036527E">
      <w:pPr>
        <w:rPr>
          <w:szCs w:val="22"/>
          <w:lang w:val="es-ES"/>
        </w:rPr>
      </w:pPr>
    </w:p>
    <w:p w14:paraId="2A4E95C0" w14:textId="77777777" w:rsidR="0036527E" w:rsidRPr="00693EC8" w:rsidRDefault="0036527E" w:rsidP="0036527E">
      <w:pPr>
        <w:rPr>
          <w:szCs w:val="22"/>
        </w:rPr>
      </w:pPr>
      <w:r>
        <w:t>The following Terms of Reference are proposed for the ICG’s work:</w:t>
      </w:r>
    </w:p>
    <w:p w14:paraId="23D3BECB" w14:textId="77777777" w:rsidR="0036527E" w:rsidRPr="00693EC8" w:rsidRDefault="0036527E" w:rsidP="0036527E">
      <w:pPr>
        <w:rPr>
          <w:szCs w:val="22"/>
          <w:lang w:val="es-ES"/>
        </w:rPr>
      </w:pPr>
    </w:p>
    <w:p w14:paraId="0D4B35A2" w14:textId="2AB59D18" w:rsidR="0036527E" w:rsidRPr="00546331" w:rsidRDefault="0036527E" w:rsidP="0036527E">
      <w:pPr>
        <w:pStyle w:val="Prrafodelista"/>
        <w:numPr>
          <w:ilvl w:val="0"/>
          <w:numId w:val="22"/>
        </w:numPr>
        <w:rPr>
          <w:szCs w:val="22"/>
        </w:rPr>
      </w:pPr>
      <w:r>
        <w:t xml:space="preserve">Discuss the advisability of reporting on the existence of international scientific cooperation among the Parties. </w:t>
      </w:r>
    </w:p>
    <w:p w14:paraId="1955510F" w14:textId="1DB237B2" w:rsidR="0036527E" w:rsidRDefault="0036527E" w:rsidP="0036527E">
      <w:pPr>
        <w:pStyle w:val="Prrafodelista"/>
        <w:numPr>
          <w:ilvl w:val="0"/>
          <w:numId w:val="22"/>
        </w:numPr>
        <w:rPr>
          <w:szCs w:val="22"/>
        </w:rPr>
      </w:pPr>
      <w:r>
        <w:t>Examine the fields contained in item 2.1.2. (</w:t>
      </w:r>
      <w:r>
        <w:rPr>
          <w:i/>
          <w:iCs/>
        </w:rPr>
        <w:t>Science Activities in Previous Year</w:t>
      </w:r>
      <w:r>
        <w:t xml:space="preserve">) </w:t>
      </w:r>
      <w:r>
        <w:rPr>
          <w:color w:val="000000" w:themeColor="text1"/>
          <w:szCs w:val="22"/>
        </w:rPr>
        <w:t xml:space="preserve">of the Annex to Decision 7 (2021) </w:t>
      </w:r>
      <w:r>
        <w:t>to determine whether it is necessary to include other c</w:t>
      </w:r>
      <w:r w:rsidR="0040532C">
        <w:t xml:space="preserve">lassifiable </w:t>
      </w:r>
      <w:r>
        <w:t>fields that would allow to generate summarised reports and thematic maps.</w:t>
      </w:r>
    </w:p>
    <w:p w14:paraId="791371AE" w14:textId="77777777" w:rsidR="0036527E" w:rsidRDefault="0036527E" w:rsidP="0036527E">
      <w:pPr>
        <w:pStyle w:val="Prrafodelista"/>
        <w:numPr>
          <w:ilvl w:val="0"/>
          <w:numId w:val="22"/>
        </w:numPr>
        <w:rPr>
          <w:szCs w:val="22"/>
        </w:rPr>
      </w:pPr>
      <w:r>
        <w:t xml:space="preserve">Analyse the advisability of including a section in </w:t>
      </w:r>
      <w:r>
        <w:rPr>
          <w:color w:val="000000" w:themeColor="text1"/>
          <w:szCs w:val="22"/>
        </w:rPr>
        <w:t xml:space="preserve">item 1 (Pre-season Information) of said Annex </w:t>
      </w:r>
      <w:r>
        <w:t>on science projects foreseen to be developed in the following year’s campaign.</w:t>
      </w:r>
    </w:p>
    <w:p w14:paraId="79FD1A1E" w14:textId="43939E2C" w:rsidR="0036527E" w:rsidRDefault="0036527E" w:rsidP="0036527E">
      <w:pPr>
        <w:pStyle w:val="Prrafodelista"/>
        <w:numPr>
          <w:ilvl w:val="0"/>
          <w:numId w:val="22"/>
        </w:numPr>
        <w:rPr>
          <w:szCs w:val="22"/>
        </w:rPr>
      </w:pPr>
      <w:r>
        <w:t xml:space="preserve">Report on the results and proposals of the ICG at the ATCM XLV </w:t>
      </w:r>
      <w:r w:rsidR="008D5295">
        <w:t>with the intention of</w:t>
      </w:r>
      <w:r>
        <w:t xml:space="preserve"> updat</w:t>
      </w:r>
      <w:r w:rsidR="008D5295">
        <w:t>ing</w:t>
      </w:r>
      <w:r>
        <w:t xml:space="preserve"> Decision 7 (2021).</w:t>
      </w:r>
    </w:p>
    <w:p w14:paraId="7DDFDF1D" w14:textId="77777777" w:rsidR="0036527E" w:rsidRPr="00693EC8" w:rsidRDefault="0036527E" w:rsidP="0036527E">
      <w:pPr>
        <w:ind w:left="720"/>
        <w:rPr>
          <w:szCs w:val="22"/>
          <w:lang w:val="es-ES"/>
        </w:rPr>
      </w:pPr>
    </w:p>
    <w:p w14:paraId="107F633C" w14:textId="77777777" w:rsidR="0036527E" w:rsidRDefault="0036527E" w:rsidP="0036527E">
      <w:pPr>
        <w:rPr>
          <w:szCs w:val="22"/>
        </w:rPr>
      </w:pPr>
      <w:r>
        <w:t xml:space="preserve">The following actions are also proposed: </w:t>
      </w:r>
    </w:p>
    <w:p w14:paraId="020EA67A" w14:textId="77777777" w:rsidR="0036527E" w:rsidRDefault="0036527E" w:rsidP="0036527E"/>
    <w:p w14:paraId="07155A36" w14:textId="77777777" w:rsidR="0036527E" w:rsidRPr="00670D65" w:rsidRDefault="0036527E" w:rsidP="0036527E">
      <w:pPr>
        <w:pStyle w:val="Prrafodelista"/>
        <w:numPr>
          <w:ilvl w:val="0"/>
          <w:numId w:val="23"/>
        </w:numPr>
        <w:rPr>
          <w:szCs w:val="22"/>
        </w:rPr>
      </w:pPr>
      <w:r>
        <w:t xml:space="preserve">Observers and experts participating in the ATCM should be invited to provide insight, in particular, in the case of the SCAR, to identify the interoperability among the different databases. </w:t>
      </w:r>
    </w:p>
    <w:p w14:paraId="59326C76" w14:textId="77777777" w:rsidR="0036527E" w:rsidRPr="009773F3" w:rsidRDefault="0036527E" w:rsidP="0036527E">
      <w:pPr>
        <w:pStyle w:val="Prrafodelista"/>
        <w:numPr>
          <w:ilvl w:val="0"/>
          <w:numId w:val="23"/>
        </w:numPr>
        <w:rPr>
          <w:szCs w:val="22"/>
        </w:rPr>
      </w:pPr>
      <w:r>
        <w:t>The Executive Secretary should open the ICG in the forum of the ATCM and provide the Secretariat's support, notably on the possibility of implementing search tools and required parameters.</w:t>
      </w:r>
    </w:p>
    <w:p w14:paraId="59BF1862" w14:textId="77777777" w:rsidR="0036527E" w:rsidRPr="0036527E" w:rsidRDefault="0036527E" w:rsidP="00952E9F">
      <w:pPr>
        <w:rPr>
          <w:lang w:val="es-ES"/>
        </w:rPr>
      </w:pPr>
    </w:p>
    <w:sectPr w:rsidR="0036527E" w:rsidRPr="0036527E" w:rsidSect="00E02E88">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30673" w14:textId="77777777" w:rsidR="00A64393" w:rsidRDefault="00A64393">
      <w:r>
        <w:separator/>
      </w:r>
    </w:p>
  </w:endnote>
  <w:endnote w:type="continuationSeparator" w:id="0">
    <w:p w14:paraId="263904B0" w14:textId="77777777" w:rsidR="00A64393" w:rsidRDefault="00A64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D1E46" w14:textId="77777777" w:rsidR="00FA0B9F" w:rsidRDefault="0036527E" w:rsidP="00CF5C82">
    <w:pPr>
      <w:framePr w:wrap="around" w:vAnchor="text" w:hAnchor="margin" w:xAlign="right" w:y="1"/>
    </w:pPr>
    <w:r>
      <w:fldChar w:fldCharType="begin"/>
    </w:r>
    <w:r>
      <w:instrText xml:space="preserve">PAGE  </w:instrText>
    </w:r>
    <w:r>
      <w:fldChar w:fldCharType="end"/>
    </w:r>
  </w:p>
  <w:p w14:paraId="296F3614" w14:textId="77777777" w:rsidR="00FA0B9F" w:rsidRDefault="00A6439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AE38C" w14:textId="5810E823" w:rsidR="00FA0B9F" w:rsidRDefault="0036527E" w:rsidP="00CF5C82">
    <w:pPr>
      <w:framePr w:wrap="around" w:vAnchor="text" w:hAnchor="margin" w:xAlign="right" w:y="1"/>
    </w:pPr>
    <w:r>
      <w:fldChar w:fldCharType="begin"/>
    </w:r>
    <w:r>
      <w:instrText xml:space="preserve">PAGE  </w:instrText>
    </w:r>
    <w:r>
      <w:fldChar w:fldCharType="separate"/>
    </w:r>
    <w:r w:rsidR="007B560B">
      <w:rPr>
        <w:noProof/>
      </w:rPr>
      <w:t>1</w:t>
    </w:r>
    <w:r>
      <w:fldChar w:fldCharType="end"/>
    </w:r>
  </w:p>
  <w:p w14:paraId="0C78427C" w14:textId="5041C91F" w:rsidR="00FA0B9F" w:rsidRDefault="00A6439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0897E" w14:textId="214F932E" w:rsidR="00E311C9" w:rsidRDefault="0036527E" w:rsidP="00CF5C82">
    <w:pPr>
      <w:framePr w:wrap="around" w:vAnchor="text" w:hAnchor="margin" w:xAlign="right" w:y="1"/>
    </w:pPr>
    <w:r>
      <w:fldChar w:fldCharType="begin"/>
    </w:r>
    <w:r>
      <w:instrText xml:space="preserve">PAGE  </w:instrText>
    </w:r>
    <w:r>
      <w:fldChar w:fldCharType="separate"/>
    </w:r>
    <w:r w:rsidR="007B560B">
      <w:rPr>
        <w:noProof/>
      </w:rPr>
      <w:t>3</w:t>
    </w:r>
    <w:r>
      <w:fldChar w:fldCharType="end"/>
    </w:r>
  </w:p>
  <w:p w14:paraId="26975C0D" w14:textId="77777777" w:rsidR="00E311C9" w:rsidRDefault="00A6439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B4249" w14:textId="77777777" w:rsidR="00A64393" w:rsidRDefault="00A64393">
      <w:r>
        <w:separator/>
      </w:r>
    </w:p>
  </w:footnote>
  <w:footnote w:type="continuationSeparator" w:id="0">
    <w:p w14:paraId="6EA43EF1" w14:textId="77777777" w:rsidR="00A64393" w:rsidRDefault="00A64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342" w:type="dxa"/>
      <w:jc w:val="center"/>
      <w:tblLook w:val="01E0" w:firstRow="1" w:lastRow="1" w:firstColumn="1" w:lastColumn="1" w:noHBand="0" w:noVBand="0"/>
    </w:tblPr>
    <w:tblGrid>
      <w:gridCol w:w="5671"/>
      <w:gridCol w:w="3232"/>
      <w:gridCol w:w="839"/>
      <w:gridCol w:w="991"/>
      <w:gridCol w:w="609"/>
    </w:tblGrid>
    <w:tr w:rsidR="001D224E" w14:paraId="3F8CA2A2" w14:textId="77777777" w:rsidTr="002169D4">
      <w:trPr>
        <w:trHeight w:val="354"/>
        <w:jc w:val="center"/>
      </w:trPr>
      <w:tc>
        <w:tcPr>
          <w:tcW w:w="5672" w:type="dxa"/>
        </w:tcPr>
        <w:p w14:paraId="384D3F8C" w14:textId="77777777" w:rsidR="00C449BA" w:rsidRDefault="00A64393" w:rsidP="002A07BC"/>
      </w:tc>
      <w:tc>
        <w:tcPr>
          <w:tcW w:w="4071" w:type="dxa"/>
          <w:gridSpan w:val="2"/>
        </w:tcPr>
        <w:p w14:paraId="068BB2C2" w14:textId="77777777" w:rsidR="00C449BA" w:rsidRPr="000A4CD7" w:rsidRDefault="0036527E" w:rsidP="002A07BC">
          <w:pPr>
            <w:jc w:val="right"/>
            <w:rPr>
              <w:b/>
              <w:sz w:val="32"/>
              <w:szCs w:val="32"/>
            </w:rPr>
          </w:pPr>
          <w:bookmarkStart w:id="3" w:name="type"/>
          <w:r>
            <w:rPr>
              <w:b/>
              <w:sz w:val="32"/>
              <w:szCs w:val="32"/>
            </w:rPr>
            <w:t>WP</w:t>
          </w:r>
          <w:bookmarkEnd w:id="3"/>
        </w:p>
      </w:tc>
      <w:tc>
        <w:tcPr>
          <w:tcW w:w="1599" w:type="dxa"/>
          <w:gridSpan w:val="2"/>
        </w:tcPr>
        <w:p w14:paraId="3855683C" w14:textId="77777777" w:rsidR="00C449BA" w:rsidRPr="000A4CD7" w:rsidRDefault="0036527E" w:rsidP="002A07BC">
          <w:pPr>
            <w:rPr>
              <w:b/>
              <w:sz w:val="32"/>
              <w:szCs w:val="32"/>
            </w:rPr>
          </w:pPr>
          <w:bookmarkStart w:id="4" w:name="number"/>
          <w:r>
            <w:rPr>
              <w:b/>
              <w:sz w:val="32"/>
              <w:szCs w:val="32"/>
            </w:rPr>
            <w:t>9</w:t>
          </w:r>
          <w:bookmarkEnd w:id="4"/>
        </w:p>
      </w:tc>
    </w:tr>
    <w:tr w:rsidR="001D224E" w14:paraId="2BE939E5" w14:textId="77777777" w:rsidTr="002169D4">
      <w:trPr>
        <w:trHeight w:val="2244"/>
        <w:jc w:val="center"/>
      </w:trPr>
      <w:tc>
        <w:tcPr>
          <w:tcW w:w="5671" w:type="dxa"/>
        </w:tcPr>
        <w:p w14:paraId="1147FCB8" w14:textId="77777777" w:rsidR="002169D4" w:rsidRPr="00550FDE" w:rsidRDefault="0036527E" w:rsidP="002A07BC">
          <w:pPr>
            <w:rPr>
              <w:b/>
              <w:sz w:val="28"/>
              <w:szCs w:val="28"/>
            </w:rPr>
          </w:pPr>
          <w:r>
            <w:rPr>
              <w:noProof/>
              <w:lang w:val="en-US"/>
            </w:rPr>
            <w:drawing>
              <wp:inline distT="0" distB="0" distL="0" distR="0" wp14:anchorId="078B83B8" wp14:editId="0E48EDCF">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66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11B6C67C" w14:textId="77777777" w:rsidR="002169D4" w:rsidRPr="002169D4" w:rsidRDefault="0036527E" w:rsidP="002169D4">
          <w:pPr>
            <w:jc w:val="right"/>
            <w:rPr>
              <w:sz w:val="144"/>
              <w:szCs w:val="144"/>
            </w:rPr>
          </w:pPr>
          <w:r>
            <w:rPr>
              <w:sz w:val="144"/>
              <w:szCs w:val="144"/>
            </w:rPr>
            <w:t>ENG</w:t>
          </w:r>
        </w:p>
      </w:tc>
    </w:tr>
    <w:tr w:rsidR="001D224E" w14:paraId="1CAF97B4" w14:textId="77777777" w:rsidTr="002169D4">
      <w:trPr>
        <w:trHeight w:val="420"/>
        <w:jc w:val="center"/>
      </w:trPr>
      <w:tc>
        <w:tcPr>
          <w:tcW w:w="8904" w:type="dxa"/>
          <w:gridSpan w:val="2"/>
        </w:tcPr>
        <w:p w14:paraId="2D5EDE89" w14:textId="77777777" w:rsidR="000A4CD7" w:rsidRDefault="0036527E" w:rsidP="008D2157">
          <w:pPr>
            <w:jc w:val="right"/>
          </w:pPr>
          <w:r>
            <w:t>Agenda Item:</w:t>
          </w:r>
        </w:p>
      </w:tc>
      <w:tc>
        <w:tcPr>
          <w:tcW w:w="1830" w:type="dxa"/>
          <w:gridSpan w:val="2"/>
        </w:tcPr>
        <w:p w14:paraId="2B8BE72B" w14:textId="77777777" w:rsidR="000A4CD7" w:rsidRDefault="0036527E" w:rsidP="008D2157">
          <w:pPr>
            <w:jc w:val="right"/>
          </w:pPr>
          <w:bookmarkStart w:id="5" w:name="agenda"/>
          <w:r>
            <w:t>ATCM 10</w:t>
          </w:r>
          <w:bookmarkEnd w:id="5"/>
        </w:p>
      </w:tc>
      <w:tc>
        <w:tcPr>
          <w:tcW w:w="608" w:type="dxa"/>
        </w:tcPr>
        <w:p w14:paraId="31301558" w14:textId="77777777" w:rsidR="000A4CD7" w:rsidRDefault="00A64393" w:rsidP="00387A65">
          <w:pPr>
            <w:jc w:val="right"/>
          </w:pPr>
        </w:p>
      </w:tc>
    </w:tr>
    <w:tr w:rsidR="001D224E" w14:paraId="48A1839A" w14:textId="77777777" w:rsidTr="002169D4">
      <w:trPr>
        <w:trHeight w:val="408"/>
        <w:jc w:val="center"/>
      </w:trPr>
      <w:tc>
        <w:tcPr>
          <w:tcW w:w="8904" w:type="dxa"/>
          <w:gridSpan w:val="2"/>
        </w:tcPr>
        <w:p w14:paraId="175B99DA" w14:textId="77777777" w:rsidR="000A4CD7" w:rsidRDefault="0036527E" w:rsidP="008D2157">
          <w:pPr>
            <w:jc w:val="right"/>
          </w:pPr>
          <w:r>
            <w:t>Presented by:</w:t>
          </w:r>
        </w:p>
      </w:tc>
      <w:tc>
        <w:tcPr>
          <w:tcW w:w="1830" w:type="dxa"/>
          <w:gridSpan w:val="2"/>
        </w:tcPr>
        <w:p w14:paraId="302A0249" w14:textId="77777777" w:rsidR="000A4CD7" w:rsidRDefault="0036527E" w:rsidP="008D2157">
          <w:pPr>
            <w:jc w:val="right"/>
          </w:pPr>
          <w:bookmarkStart w:id="6" w:name="party"/>
          <w:r>
            <w:t>Spain</w:t>
          </w:r>
          <w:bookmarkEnd w:id="6"/>
        </w:p>
      </w:tc>
      <w:tc>
        <w:tcPr>
          <w:tcW w:w="608" w:type="dxa"/>
        </w:tcPr>
        <w:p w14:paraId="56A665F0" w14:textId="77777777" w:rsidR="000A4CD7" w:rsidRDefault="00A64393" w:rsidP="00387A65">
          <w:pPr>
            <w:jc w:val="right"/>
          </w:pPr>
        </w:p>
      </w:tc>
    </w:tr>
    <w:tr w:rsidR="001D224E" w14:paraId="5F17B1E7" w14:textId="77777777" w:rsidTr="002169D4">
      <w:trPr>
        <w:trHeight w:val="420"/>
        <w:jc w:val="center"/>
      </w:trPr>
      <w:tc>
        <w:tcPr>
          <w:tcW w:w="8904" w:type="dxa"/>
          <w:gridSpan w:val="2"/>
        </w:tcPr>
        <w:p w14:paraId="7742757F" w14:textId="77777777" w:rsidR="000A4CD7" w:rsidRDefault="0036527E" w:rsidP="008D2157">
          <w:pPr>
            <w:jc w:val="right"/>
          </w:pPr>
          <w:r>
            <w:t>Original:</w:t>
          </w:r>
        </w:p>
      </w:tc>
      <w:tc>
        <w:tcPr>
          <w:tcW w:w="1830" w:type="dxa"/>
          <w:gridSpan w:val="2"/>
        </w:tcPr>
        <w:p w14:paraId="4BA27F13" w14:textId="77777777" w:rsidR="000A4CD7" w:rsidRDefault="0036527E" w:rsidP="008D2157">
          <w:pPr>
            <w:jc w:val="right"/>
          </w:pPr>
          <w:bookmarkStart w:id="7" w:name="language"/>
          <w:r>
            <w:t>Spanish</w:t>
          </w:r>
          <w:bookmarkEnd w:id="7"/>
        </w:p>
      </w:tc>
      <w:tc>
        <w:tcPr>
          <w:tcW w:w="608" w:type="dxa"/>
        </w:tcPr>
        <w:p w14:paraId="33F1D225" w14:textId="77777777" w:rsidR="000A4CD7" w:rsidRDefault="00A64393" w:rsidP="00387A65">
          <w:pPr>
            <w:jc w:val="right"/>
          </w:pPr>
        </w:p>
      </w:tc>
    </w:tr>
    <w:tr w:rsidR="001D224E" w14:paraId="7F2DD264" w14:textId="77777777" w:rsidTr="002169D4">
      <w:trPr>
        <w:trHeight w:val="420"/>
        <w:jc w:val="center"/>
      </w:trPr>
      <w:tc>
        <w:tcPr>
          <w:tcW w:w="8904" w:type="dxa"/>
          <w:gridSpan w:val="2"/>
        </w:tcPr>
        <w:p w14:paraId="2B10CA4E" w14:textId="77777777" w:rsidR="00965EDE" w:rsidRDefault="0036527E" w:rsidP="008D2157">
          <w:pPr>
            <w:jc w:val="right"/>
          </w:pPr>
          <w:r>
            <w:t>Submitted:</w:t>
          </w:r>
        </w:p>
      </w:tc>
      <w:tc>
        <w:tcPr>
          <w:tcW w:w="1830" w:type="dxa"/>
          <w:gridSpan w:val="2"/>
        </w:tcPr>
        <w:p w14:paraId="3E2DCE94" w14:textId="77777777" w:rsidR="00965EDE" w:rsidRDefault="0036527E" w:rsidP="008D2157">
          <w:pPr>
            <w:jc w:val="right"/>
          </w:pPr>
          <w:bookmarkStart w:id="8" w:name="date_submission"/>
          <w:r>
            <w:t>06/04/2022</w:t>
          </w:r>
          <w:bookmarkEnd w:id="8"/>
        </w:p>
      </w:tc>
      <w:tc>
        <w:tcPr>
          <w:tcW w:w="608" w:type="dxa"/>
        </w:tcPr>
        <w:p w14:paraId="7E5ADF1A" w14:textId="77777777" w:rsidR="00965EDE" w:rsidRDefault="00A64393" w:rsidP="00387A65">
          <w:pPr>
            <w:jc w:val="right"/>
          </w:pPr>
        </w:p>
      </w:tc>
    </w:tr>
  </w:tbl>
  <w:p w14:paraId="1BED408A" w14:textId="77777777" w:rsidR="00AE5DD0" w:rsidRDefault="00A6439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1D224E" w14:paraId="1D9D6644" w14:textId="77777777">
      <w:trPr>
        <w:trHeight w:val="354"/>
        <w:jc w:val="center"/>
      </w:trPr>
      <w:tc>
        <w:tcPr>
          <w:tcW w:w="9694" w:type="dxa"/>
        </w:tcPr>
        <w:p w14:paraId="6DE342DD" w14:textId="54421AF1" w:rsidR="00AE5DD0" w:rsidRPr="000A4CD7" w:rsidRDefault="0036527E" w:rsidP="00C26F2D">
          <w:pPr>
            <w:jc w:val="right"/>
            <w:rPr>
              <w:b/>
              <w:sz w:val="32"/>
              <w:szCs w:val="32"/>
            </w:rPr>
          </w:pPr>
          <w:r>
            <w:rPr>
              <w:b/>
              <w:sz w:val="32"/>
              <w:szCs w:val="32"/>
            </w:rPr>
            <w:t>WP</w:t>
          </w:r>
        </w:p>
      </w:tc>
      <w:tc>
        <w:tcPr>
          <w:tcW w:w="1332" w:type="dxa"/>
        </w:tcPr>
        <w:p w14:paraId="4289054E" w14:textId="1B60163C" w:rsidR="00AE5DD0" w:rsidRPr="000A4CD7" w:rsidRDefault="0036527E" w:rsidP="00080F4C">
          <w:pPr>
            <w:rPr>
              <w:b/>
              <w:sz w:val="32"/>
              <w:szCs w:val="32"/>
            </w:rPr>
          </w:pPr>
          <w:r>
            <w:rPr>
              <w:b/>
              <w:sz w:val="32"/>
              <w:szCs w:val="32"/>
            </w:rPr>
            <w:t>9</w:t>
          </w:r>
        </w:p>
      </w:tc>
    </w:tr>
  </w:tbl>
  <w:p w14:paraId="3A690BE1" w14:textId="77777777" w:rsidR="00AE5DD0" w:rsidRDefault="00A6439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C3FD3"/>
    <w:multiLevelType w:val="hybridMultilevel"/>
    <w:tmpl w:val="FA2609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C5057CD"/>
    <w:multiLevelType w:val="hybridMultilevel"/>
    <w:tmpl w:val="219A7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9D182A84">
      <w:start w:val="1"/>
      <w:numFmt w:val="bullet"/>
      <w:pStyle w:val="ATSBullet1"/>
      <w:lvlText w:val=""/>
      <w:lvlJc w:val="left"/>
      <w:pPr>
        <w:tabs>
          <w:tab w:val="num" w:pos="360"/>
        </w:tabs>
        <w:ind w:left="360" w:hanging="360"/>
      </w:pPr>
      <w:rPr>
        <w:rFonts w:ascii="Symbol" w:hAnsi="Symbol" w:hint="default"/>
        <w:color w:val="auto"/>
      </w:rPr>
    </w:lvl>
    <w:lvl w:ilvl="1" w:tplc="51BE73EA" w:tentative="1">
      <w:start w:val="1"/>
      <w:numFmt w:val="bullet"/>
      <w:lvlText w:val="o"/>
      <w:lvlJc w:val="left"/>
      <w:pPr>
        <w:tabs>
          <w:tab w:val="num" w:pos="1440"/>
        </w:tabs>
        <w:ind w:left="1440" w:hanging="360"/>
      </w:pPr>
      <w:rPr>
        <w:rFonts w:ascii="Courier New" w:hAnsi="Courier New" w:cs="Courier New" w:hint="default"/>
      </w:rPr>
    </w:lvl>
    <w:lvl w:ilvl="2" w:tplc="4676897E" w:tentative="1">
      <w:start w:val="1"/>
      <w:numFmt w:val="bullet"/>
      <w:lvlText w:val=""/>
      <w:lvlJc w:val="left"/>
      <w:pPr>
        <w:tabs>
          <w:tab w:val="num" w:pos="2160"/>
        </w:tabs>
        <w:ind w:left="2160" w:hanging="360"/>
      </w:pPr>
      <w:rPr>
        <w:rFonts w:ascii="Wingdings" w:hAnsi="Wingdings" w:hint="default"/>
      </w:rPr>
    </w:lvl>
    <w:lvl w:ilvl="3" w:tplc="3F3A07DA" w:tentative="1">
      <w:start w:val="1"/>
      <w:numFmt w:val="bullet"/>
      <w:lvlText w:val=""/>
      <w:lvlJc w:val="left"/>
      <w:pPr>
        <w:tabs>
          <w:tab w:val="num" w:pos="2880"/>
        </w:tabs>
        <w:ind w:left="2880" w:hanging="360"/>
      </w:pPr>
      <w:rPr>
        <w:rFonts w:ascii="Symbol" w:hAnsi="Symbol" w:hint="default"/>
      </w:rPr>
    </w:lvl>
    <w:lvl w:ilvl="4" w:tplc="B2E46470" w:tentative="1">
      <w:start w:val="1"/>
      <w:numFmt w:val="bullet"/>
      <w:lvlText w:val="o"/>
      <w:lvlJc w:val="left"/>
      <w:pPr>
        <w:tabs>
          <w:tab w:val="num" w:pos="3600"/>
        </w:tabs>
        <w:ind w:left="3600" w:hanging="360"/>
      </w:pPr>
      <w:rPr>
        <w:rFonts w:ascii="Courier New" w:hAnsi="Courier New" w:cs="Courier New" w:hint="default"/>
      </w:rPr>
    </w:lvl>
    <w:lvl w:ilvl="5" w:tplc="799489BA" w:tentative="1">
      <w:start w:val="1"/>
      <w:numFmt w:val="bullet"/>
      <w:lvlText w:val=""/>
      <w:lvlJc w:val="left"/>
      <w:pPr>
        <w:tabs>
          <w:tab w:val="num" w:pos="4320"/>
        </w:tabs>
        <w:ind w:left="4320" w:hanging="360"/>
      </w:pPr>
      <w:rPr>
        <w:rFonts w:ascii="Wingdings" w:hAnsi="Wingdings" w:hint="default"/>
      </w:rPr>
    </w:lvl>
    <w:lvl w:ilvl="6" w:tplc="10248AA8" w:tentative="1">
      <w:start w:val="1"/>
      <w:numFmt w:val="bullet"/>
      <w:lvlText w:val=""/>
      <w:lvlJc w:val="left"/>
      <w:pPr>
        <w:tabs>
          <w:tab w:val="num" w:pos="5040"/>
        </w:tabs>
        <w:ind w:left="5040" w:hanging="360"/>
      </w:pPr>
      <w:rPr>
        <w:rFonts w:ascii="Symbol" w:hAnsi="Symbol" w:hint="default"/>
      </w:rPr>
    </w:lvl>
    <w:lvl w:ilvl="7" w:tplc="BA46B928" w:tentative="1">
      <w:start w:val="1"/>
      <w:numFmt w:val="bullet"/>
      <w:lvlText w:val="o"/>
      <w:lvlJc w:val="left"/>
      <w:pPr>
        <w:tabs>
          <w:tab w:val="num" w:pos="5760"/>
        </w:tabs>
        <w:ind w:left="5760" w:hanging="360"/>
      </w:pPr>
      <w:rPr>
        <w:rFonts w:ascii="Courier New" w:hAnsi="Courier New" w:cs="Courier New" w:hint="default"/>
      </w:rPr>
    </w:lvl>
    <w:lvl w:ilvl="8" w:tplc="B98A62D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14CC20C0">
      <w:start w:val="1"/>
      <w:numFmt w:val="decimal"/>
      <w:lvlText w:val="%1)"/>
      <w:lvlJc w:val="left"/>
      <w:pPr>
        <w:tabs>
          <w:tab w:val="num" w:pos="340"/>
        </w:tabs>
        <w:ind w:left="340" w:hanging="340"/>
      </w:pPr>
      <w:rPr>
        <w:rFonts w:hint="default"/>
      </w:rPr>
    </w:lvl>
    <w:lvl w:ilvl="1" w:tplc="EFF4E2F0" w:tentative="1">
      <w:start w:val="1"/>
      <w:numFmt w:val="lowerLetter"/>
      <w:lvlText w:val="%2."/>
      <w:lvlJc w:val="left"/>
      <w:pPr>
        <w:tabs>
          <w:tab w:val="num" w:pos="1440"/>
        </w:tabs>
        <w:ind w:left="1440" w:hanging="360"/>
      </w:pPr>
    </w:lvl>
    <w:lvl w:ilvl="2" w:tplc="C41295F2" w:tentative="1">
      <w:start w:val="1"/>
      <w:numFmt w:val="lowerRoman"/>
      <w:lvlText w:val="%3."/>
      <w:lvlJc w:val="right"/>
      <w:pPr>
        <w:tabs>
          <w:tab w:val="num" w:pos="2160"/>
        </w:tabs>
        <w:ind w:left="2160" w:hanging="180"/>
      </w:pPr>
    </w:lvl>
    <w:lvl w:ilvl="3" w:tplc="D764D1C8" w:tentative="1">
      <w:start w:val="1"/>
      <w:numFmt w:val="decimal"/>
      <w:lvlText w:val="%4."/>
      <w:lvlJc w:val="left"/>
      <w:pPr>
        <w:tabs>
          <w:tab w:val="num" w:pos="2880"/>
        </w:tabs>
        <w:ind w:left="2880" w:hanging="360"/>
      </w:pPr>
    </w:lvl>
    <w:lvl w:ilvl="4" w:tplc="A37093B4" w:tentative="1">
      <w:start w:val="1"/>
      <w:numFmt w:val="lowerLetter"/>
      <w:lvlText w:val="%5."/>
      <w:lvlJc w:val="left"/>
      <w:pPr>
        <w:tabs>
          <w:tab w:val="num" w:pos="3600"/>
        </w:tabs>
        <w:ind w:left="3600" w:hanging="360"/>
      </w:pPr>
    </w:lvl>
    <w:lvl w:ilvl="5" w:tplc="01162428" w:tentative="1">
      <w:start w:val="1"/>
      <w:numFmt w:val="lowerRoman"/>
      <w:lvlText w:val="%6."/>
      <w:lvlJc w:val="right"/>
      <w:pPr>
        <w:tabs>
          <w:tab w:val="num" w:pos="4320"/>
        </w:tabs>
        <w:ind w:left="4320" w:hanging="180"/>
      </w:pPr>
    </w:lvl>
    <w:lvl w:ilvl="6" w:tplc="750E3EA6" w:tentative="1">
      <w:start w:val="1"/>
      <w:numFmt w:val="decimal"/>
      <w:lvlText w:val="%7."/>
      <w:lvlJc w:val="left"/>
      <w:pPr>
        <w:tabs>
          <w:tab w:val="num" w:pos="5040"/>
        </w:tabs>
        <w:ind w:left="5040" w:hanging="360"/>
      </w:pPr>
    </w:lvl>
    <w:lvl w:ilvl="7" w:tplc="E27A2858" w:tentative="1">
      <w:start w:val="1"/>
      <w:numFmt w:val="lowerLetter"/>
      <w:lvlText w:val="%8."/>
      <w:lvlJc w:val="left"/>
      <w:pPr>
        <w:tabs>
          <w:tab w:val="num" w:pos="5760"/>
        </w:tabs>
        <w:ind w:left="5760" w:hanging="360"/>
      </w:pPr>
    </w:lvl>
    <w:lvl w:ilvl="8" w:tplc="3E7C8C18" w:tentative="1">
      <w:start w:val="1"/>
      <w:numFmt w:val="lowerRoman"/>
      <w:lvlText w:val="%9."/>
      <w:lvlJc w:val="right"/>
      <w:pPr>
        <w:tabs>
          <w:tab w:val="num" w:pos="6480"/>
        </w:tabs>
        <w:ind w:left="6480" w:hanging="180"/>
      </w:pPr>
    </w:lvl>
  </w:abstractNum>
  <w:abstractNum w:abstractNumId="15" w15:restartNumberingAfterBreak="0">
    <w:nsid w:val="4E7935CB"/>
    <w:multiLevelType w:val="hybridMultilevel"/>
    <w:tmpl w:val="C7FCB6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2F3AFA"/>
    <w:multiLevelType w:val="hybridMultilevel"/>
    <w:tmpl w:val="9DF09BE6"/>
    <w:lvl w:ilvl="0" w:tplc="C80046CE">
      <w:start w:val="1"/>
      <w:numFmt w:val="decimal"/>
      <w:lvlText w:val="%1."/>
      <w:lvlJc w:val="left"/>
      <w:pPr>
        <w:tabs>
          <w:tab w:val="num" w:pos="1057"/>
        </w:tabs>
        <w:ind w:left="1057" w:hanging="360"/>
      </w:pPr>
      <w:rPr>
        <w:rFonts w:hint="default"/>
      </w:rPr>
    </w:lvl>
    <w:lvl w:ilvl="1" w:tplc="D9287D66" w:tentative="1">
      <w:start w:val="1"/>
      <w:numFmt w:val="lowerLetter"/>
      <w:lvlText w:val="%2."/>
      <w:lvlJc w:val="left"/>
      <w:pPr>
        <w:tabs>
          <w:tab w:val="num" w:pos="2137"/>
        </w:tabs>
        <w:ind w:left="2137" w:hanging="360"/>
      </w:pPr>
    </w:lvl>
    <w:lvl w:ilvl="2" w:tplc="1BE231E2" w:tentative="1">
      <w:start w:val="1"/>
      <w:numFmt w:val="lowerRoman"/>
      <w:lvlText w:val="%3."/>
      <w:lvlJc w:val="right"/>
      <w:pPr>
        <w:tabs>
          <w:tab w:val="num" w:pos="2857"/>
        </w:tabs>
        <w:ind w:left="2857" w:hanging="180"/>
      </w:pPr>
    </w:lvl>
    <w:lvl w:ilvl="3" w:tplc="09B48DA6" w:tentative="1">
      <w:start w:val="1"/>
      <w:numFmt w:val="decimal"/>
      <w:lvlText w:val="%4."/>
      <w:lvlJc w:val="left"/>
      <w:pPr>
        <w:tabs>
          <w:tab w:val="num" w:pos="3577"/>
        </w:tabs>
        <w:ind w:left="3577" w:hanging="360"/>
      </w:pPr>
    </w:lvl>
    <w:lvl w:ilvl="4" w:tplc="87F445A4" w:tentative="1">
      <w:start w:val="1"/>
      <w:numFmt w:val="lowerLetter"/>
      <w:lvlText w:val="%5."/>
      <w:lvlJc w:val="left"/>
      <w:pPr>
        <w:tabs>
          <w:tab w:val="num" w:pos="4297"/>
        </w:tabs>
        <w:ind w:left="4297" w:hanging="360"/>
      </w:pPr>
    </w:lvl>
    <w:lvl w:ilvl="5" w:tplc="3AB0EFF6" w:tentative="1">
      <w:start w:val="1"/>
      <w:numFmt w:val="lowerRoman"/>
      <w:lvlText w:val="%6."/>
      <w:lvlJc w:val="right"/>
      <w:pPr>
        <w:tabs>
          <w:tab w:val="num" w:pos="5017"/>
        </w:tabs>
        <w:ind w:left="5017" w:hanging="180"/>
      </w:pPr>
    </w:lvl>
    <w:lvl w:ilvl="6" w:tplc="324CFEB6" w:tentative="1">
      <w:start w:val="1"/>
      <w:numFmt w:val="decimal"/>
      <w:lvlText w:val="%7."/>
      <w:lvlJc w:val="left"/>
      <w:pPr>
        <w:tabs>
          <w:tab w:val="num" w:pos="5737"/>
        </w:tabs>
        <w:ind w:left="5737" w:hanging="360"/>
      </w:pPr>
    </w:lvl>
    <w:lvl w:ilvl="7" w:tplc="240E9886" w:tentative="1">
      <w:start w:val="1"/>
      <w:numFmt w:val="lowerLetter"/>
      <w:lvlText w:val="%8."/>
      <w:lvlJc w:val="left"/>
      <w:pPr>
        <w:tabs>
          <w:tab w:val="num" w:pos="6457"/>
        </w:tabs>
        <w:ind w:left="6457" w:hanging="360"/>
      </w:pPr>
    </w:lvl>
    <w:lvl w:ilvl="8" w:tplc="EE1E90E4"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0A3E57AC">
      <w:start w:val="1"/>
      <w:numFmt w:val="decimal"/>
      <w:pStyle w:val="ATSNumber1"/>
      <w:lvlText w:val="%1)"/>
      <w:lvlJc w:val="left"/>
      <w:pPr>
        <w:tabs>
          <w:tab w:val="num" w:pos="720"/>
        </w:tabs>
        <w:ind w:left="720" w:hanging="360"/>
      </w:pPr>
    </w:lvl>
    <w:lvl w:ilvl="1" w:tplc="C7EEA988" w:tentative="1">
      <w:start w:val="1"/>
      <w:numFmt w:val="lowerLetter"/>
      <w:lvlText w:val="%2."/>
      <w:lvlJc w:val="left"/>
      <w:pPr>
        <w:tabs>
          <w:tab w:val="num" w:pos="1440"/>
        </w:tabs>
        <w:ind w:left="1440" w:hanging="360"/>
      </w:pPr>
    </w:lvl>
    <w:lvl w:ilvl="2" w:tplc="4E98AED2" w:tentative="1">
      <w:start w:val="1"/>
      <w:numFmt w:val="lowerRoman"/>
      <w:lvlText w:val="%3."/>
      <w:lvlJc w:val="right"/>
      <w:pPr>
        <w:tabs>
          <w:tab w:val="num" w:pos="2160"/>
        </w:tabs>
        <w:ind w:left="2160" w:hanging="180"/>
      </w:pPr>
    </w:lvl>
    <w:lvl w:ilvl="3" w:tplc="32C4150A" w:tentative="1">
      <w:start w:val="1"/>
      <w:numFmt w:val="decimal"/>
      <w:lvlText w:val="%4."/>
      <w:lvlJc w:val="left"/>
      <w:pPr>
        <w:tabs>
          <w:tab w:val="num" w:pos="2880"/>
        </w:tabs>
        <w:ind w:left="2880" w:hanging="360"/>
      </w:pPr>
    </w:lvl>
    <w:lvl w:ilvl="4" w:tplc="9034A718" w:tentative="1">
      <w:start w:val="1"/>
      <w:numFmt w:val="lowerLetter"/>
      <w:lvlText w:val="%5."/>
      <w:lvlJc w:val="left"/>
      <w:pPr>
        <w:tabs>
          <w:tab w:val="num" w:pos="3600"/>
        </w:tabs>
        <w:ind w:left="3600" w:hanging="360"/>
      </w:pPr>
    </w:lvl>
    <w:lvl w:ilvl="5" w:tplc="DA0C77E0" w:tentative="1">
      <w:start w:val="1"/>
      <w:numFmt w:val="lowerRoman"/>
      <w:lvlText w:val="%6."/>
      <w:lvlJc w:val="right"/>
      <w:pPr>
        <w:tabs>
          <w:tab w:val="num" w:pos="4320"/>
        </w:tabs>
        <w:ind w:left="4320" w:hanging="180"/>
      </w:pPr>
    </w:lvl>
    <w:lvl w:ilvl="6" w:tplc="3CEEFDD2" w:tentative="1">
      <w:start w:val="1"/>
      <w:numFmt w:val="decimal"/>
      <w:lvlText w:val="%7."/>
      <w:lvlJc w:val="left"/>
      <w:pPr>
        <w:tabs>
          <w:tab w:val="num" w:pos="5040"/>
        </w:tabs>
        <w:ind w:left="5040" w:hanging="360"/>
      </w:pPr>
    </w:lvl>
    <w:lvl w:ilvl="7" w:tplc="01DEEC18" w:tentative="1">
      <w:start w:val="1"/>
      <w:numFmt w:val="lowerLetter"/>
      <w:lvlText w:val="%8."/>
      <w:lvlJc w:val="left"/>
      <w:pPr>
        <w:tabs>
          <w:tab w:val="num" w:pos="5760"/>
        </w:tabs>
        <w:ind w:left="5760" w:hanging="360"/>
      </w:pPr>
    </w:lvl>
    <w:lvl w:ilvl="8" w:tplc="16146C02"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6F941BB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064906C" w:tentative="1">
      <w:start w:val="1"/>
      <w:numFmt w:val="bullet"/>
      <w:lvlText w:val="o"/>
      <w:lvlJc w:val="left"/>
      <w:pPr>
        <w:tabs>
          <w:tab w:val="num" w:pos="2517"/>
        </w:tabs>
        <w:ind w:left="2517" w:hanging="360"/>
      </w:pPr>
      <w:rPr>
        <w:rFonts w:ascii="Courier New" w:hAnsi="Courier New" w:cs="Courier New" w:hint="default"/>
      </w:rPr>
    </w:lvl>
    <w:lvl w:ilvl="2" w:tplc="FEBC16C8" w:tentative="1">
      <w:start w:val="1"/>
      <w:numFmt w:val="bullet"/>
      <w:lvlText w:val=""/>
      <w:lvlJc w:val="left"/>
      <w:pPr>
        <w:tabs>
          <w:tab w:val="num" w:pos="3237"/>
        </w:tabs>
        <w:ind w:left="3237" w:hanging="360"/>
      </w:pPr>
      <w:rPr>
        <w:rFonts w:ascii="Wingdings" w:hAnsi="Wingdings" w:hint="default"/>
      </w:rPr>
    </w:lvl>
    <w:lvl w:ilvl="3" w:tplc="4224BEEE" w:tentative="1">
      <w:start w:val="1"/>
      <w:numFmt w:val="bullet"/>
      <w:lvlText w:val=""/>
      <w:lvlJc w:val="left"/>
      <w:pPr>
        <w:tabs>
          <w:tab w:val="num" w:pos="3957"/>
        </w:tabs>
        <w:ind w:left="3957" w:hanging="360"/>
      </w:pPr>
      <w:rPr>
        <w:rFonts w:ascii="Symbol" w:hAnsi="Symbol" w:hint="default"/>
      </w:rPr>
    </w:lvl>
    <w:lvl w:ilvl="4" w:tplc="3CD2CD1E" w:tentative="1">
      <w:start w:val="1"/>
      <w:numFmt w:val="bullet"/>
      <w:lvlText w:val="o"/>
      <w:lvlJc w:val="left"/>
      <w:pPr>
        <w:tabs>
          <w:tab w:val="num" w:pos="4677"/>
        </w:tabs>
        <w:ind w:left="4677" w:hanging="360"/>
      </w:pPr>
      <w:rPr>
        <w:rFonts w:ascii="Courier New" w:hAnsi="Courier New" w:cs="Courier New" w:hint="default"/>
      </w:rPr>
    </w:lvl>
    <w:lvl w:ilvl="5" w:tplc="90C667D8" w:tentative="1">
      <w:start w:val="1"/>
      <w:numFmt w:val="bullet"/>
      <w:lvlText w:val=""/>
      <w:lvlJc w:val="left"/>
      <w:pPr>
        <w:tabs>
          <w:tab w:val="num" w:pos="5397"/>
        </w:tabs>
        <w:ind w:left="5397" w:hanging="360"/>
      </w:pPr>
      <w:rPr>
        <w:rFonts w:ascii="Wingdings" w:hAnsi="Wingdings" w:hint="default"/>
      </w:rPr>
    </w:lvl>
    <w:lvl w:ilvl="6" w:tplc="30F0C176" w:tentative="1">
      <w:start w:val="1"/>
      <w:numFmt w:val="bullet"/>
      <w:lvlText w:val=""/>
      <w:lvlJc w:val="left"/>
      <w:pPr>
        <w:tabs>
          <w:tab w:val="num" w:pos="6117"/>
        </w:tabs>
        <w:ind w:left="6117" w:hanging="360"/>
      </w:pPr>
      <w:rPr>
        <w:rFonts w:ascii="Symbol" w:hAnsi="Symbol" w:hint="default"/>
      </w:rPr>
    </w:lvl>
    <w:lvl w:ilvl="7" w:tplc="4D82F1AE" w:tentative="1">
      <w:start w:val="1"/>
      <w:numFmt w:val="bullet"/>
      <w:lvlText w:val="o"/>
      <w:lvlJc w:val="left"/>
      <w:pPr>
        <w:tabs>
          <w:tab w:val="num" w:pos="6837"/>
        </w:tabs>
        <w:ind w:left="6837" w:hanging="360"/>
      </w:pPr>
      <w:rPr>
        <w:rFonts w:ascii="Courier New" w:hAnsi="Courier New" w:cs="Courier New" w:hint="default"/>
      </w:rPr>
    </w:lvl>
    <w:lvl w:ilvl="8" w:tplc="64EC35AA"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CE448442">
      <w:start w:val="1"/>
      <w:numFmt w:val="decimal"/>
      <w:pStyle w:val="ATSNumber2"/>
      <w:lvlText w:val="%1."/>
      <w:lvlJc w:val="left"/>
      <w:pPr>
        <w:tabs>
          <w:tab w:val="num" w:pos="720"/>
        </w:tabs>
        <w:ind w:left="720" w:hanging="360"/>
      </w:pPr>
      <w:rPr>
        <w:rFonts w:hint="default"/>
      </w:rPr>
    </w:lvl>
    <w:lvl w:ilvl="1" w:tplc="5862F98E" w:tentative="1">
      <w:start w:val="1"/>
      <w:numFmt w:val="lowerLetter"/>
      <w:lvlText w:val="%2."/>
      <w:lvlJc w:val="left"/>
      <w:pPr>
        <w:tabs>
          <w:tab w:val="num" w:pos="1440"/>
        </w:tabs>
        <w:ind w:left="1440" w:hanging="360"/>
      </w:pPr>
    </w:lvl>
    <w:lvl w:ilvl="2" w:tplc="69321E34" w:tentative="1">
      <w:start w:val="1"/>
      <w:numFmt w:val="lowerRoman"/>
      <w:lvlText w:val="%3."/>
      <w:lvlJc w:val="right"/>
      <w:pPr>
        <w:tabs>
          <w:tab w:val="num" w:pos="2160"/>
        </w:tabs>
        <w:ind w:left="2160" w:hanging="180"/>
      </w:pPr>
    </w:lvl>
    <w:lvl w:ilvl="3" w:tplc="1BE0E276" w:tentative="1">
      <w:start w:val="1"/>
      <w:numFmt w:val="decimal"/>
      <w:lvlText w:val="%4."/>
      <w:lvlJc w:val="left"/>
      <w:pPr>
        <w:tabs>
          <w:tab w:val="num" w:pos="2880"/>
        </w:tabs>
        <w:ind w:left="2880" w:hanging="360"/>
      </w:pPr>
    </w:lvl>
    <w:lvl w:ilvl="4" w:tplc="4CEE95C4" w:tentative="1">
      <w:start w:val="1"/>
      <w:numFmt w:val="lowerLetter"/>
      <w:lvlText w:val="%5."/>
      <w:lvlJc w:val="left"/>
      <w:pPr>
        <w:tabs>
          <w:tab w:val="num" w:pos="3600"/>
        </w:tabs>
        <w:ind w:left="3600" w:hanging="360"/>
      </w:pPr>
    </w:lvl>
    <w:lvl w:ilvl="5" w:tplc="26A04CE0" w:tentative="1">
      <w:start w:val="1"/>
      <w:numFmt w:val="lowerRoman"/>
      <w:lvlText w:val="%6."/>
      <w:lvlJc w:val="right"/>
      <w:pPr>
        <w:tabs>
          <w:tab w:val="num" w:pos="4320"/>
        </w:tabs>
        <w:ind w:left="4320" w:hanging="180"/>
      </w:pPr>
    </w:lvl>
    <w:lvl w:ilvl="6" w:tplc="A372E876" w:tentative="1">
      <w:start w:val="1"/>
      <w:numFmt w:val="decimal"/>
      <w:lvlText w:val="%7."/>
      <w:lvlJc w:val="left"/>
      <w:pPr>
        <w:tabs>
          <w:tab w:val="num" w:pos="5040"/>
        </w:tabs>
        <w:ind w:left="5040" w:hanging="360"/>
      </w:pPr>
    </w:lvl>
    <w:lvl w:ilvl="7" w:tplc="8C763058" w:tentative="1">
      <w:start w:val="1"/>
      <w:numFmt w:val="lowerLetter"/>
      <w:lvlText w:val="%8."/>
      <w:lvlJc w:val="left"/>
      <w:pPr>
        <w:tabs>
          <w:tab w:val="num" w:pos="5760"/>
        </w:tabs>
        <w:ind w:left="5760" w:hanging="360"/>
      </w:pPr>
    </w:lvl>
    <w:lvl w:ilvl="8" w:tplc="F428309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7"/>
  </w:num>
  <w:num w:numId="14">
    <w:abstractNumId w:val="14"/>
  </w:num>
  <w:num w:numId="15">
    <w:abstractNumId w:val="16"/>
  </w:num>
  <w:num w:numId="16">
    <w:abstractNumId w:val="11"/>
  </w:num>
  <w:num w:numId="17">
    <w:abstractNumId w:val="13"/>
  </w:num>
  <w:num w:numId="18">
    <w:abstractNumId w:val="18"/>
  </w:num>
  <w:num w:numId="19">
    <w:abstractNumId w:val="17"/>
  </w:num>
  <w:num w:numId="20">
    <w:abstractNumId w:val="19"/>
  </w:num>
  <w:num w:numId="21">
    <w:abstractNumId w:val="12"/>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4E"/>
    <w:rsid w:val="001D224E"/>
    <w:rsid w:val="00250BC6"/>
    <w:rsid w:val="002532BB"/>
    <w:rsid w:val="0036527E"/>
    <w:rsid w:val="0040532C"/>
    <w:rsid w:val="00702880"/>
    <w:rsid w:val="007B560B"/>
    <w:rsid w:val="008D5295"/>
    <w:rsid w:val="00A64393"/>
    <w:rsid w:val="00DB3B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0DC34"/>
  <w15:chartTrackingRefBased/>
  <w15:docId w15:val="{57A3EC9F-6A48-435D-8305-6F4D53CC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36527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869</Words>
  <Characters>4955</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4</cp:revision>
  <cp:lastPrinted>1900-01-01T03:00:00Z</cp:lastPrinted>
  <dcterms:created xsi:type="dcterms:W3CDTF">2022-05-21T12:59:00Z</dcterms:created>
  <dcterms:modified xsi:type="dcterms:W3CDTF">2022-05-25T09:35:00Z</dcterms:modified>
</cp:coreProperties>
</file>