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7E6A" w14:textId="77777777" w:rsidR="00C26F2D" w:rsidRPr="00BF077B" w:rsidRDefault="00293CFC" w:rsidP="00BF077B">
      <w:pPr>
        <w:pStyle w:val="ATSNormal"/>
        <w:rPr>
          <w:rStyle w:val="Ttulodellibro"/>
        </w:rPr>
      </w:pPr>
    </w:p>
    <w:p w14:paraId="6469ABEE" w14:textId="77777777" w:rsidR="002F0A13" w:rsidRDefault="00293CFC" w:rsidP="004B4A60">
      <w:pPr>
        <w:rPr>
          <w:b/>
          <w:u w:val="single"/>
          <w:lang w:val="es-ES_tradnl"/>
        </w:rPr>
      </w:pPr>
    </w:p>
    <w:p w14:paraId="44F5BA61" w14:textId="77777777" w:rsidR="002F0A13" w:rsidRDefault="00293CFC" w:rsidP="004B4A60">
      <w:pPr>
        <w:rPr>
          <w:b/>
          <w:u w:val="single"/>
          <w:lang w:val="es-ES_tradnl"/>
        </w:rPr>
      </w:pPr>
    </w:p>
    <w:p w14:paraId="21FBEAD0" w14:textId="77777777" w:rsidR="002F0A13" w:rsidRDefault="00293CFC" w:rsidP="004B4A60">
      <w:pPr>
        <w:rPr>
          <w:b/>
          <w:u w:val="single"/>
          <w:lang w:val="es-ES_tradnl"/>
        </w:rPr>
      </w:pPr>
    </w:p>
    <w:p w14:paraId="586C03A7" w14:textId="77777777" w:rsidR="002F0A13" w:rsidRDefault="00293CFC" w:rsidP="004B4A60">
      <w:pPr>
        <w:rPr>
          <w:b/>
          <w:u w:val="single"/>
          <w:lang w:val="es-ES_tradnl"/>
        </w:rPr>
      </w:pPr>
    </w:p>
    <w:p w14:paraId="42D5128E" w14:textId="77777777" w:rsidR="00C26F2D" w:rsidRDefault="00293CFC" w:rsidP="004B4A60">
      <w:pPr>
        <w:rPr>
          <w:b/>
          <w:u w:val="single"/>
          <w:lang w:val="es-ES_tradnl"/>
        </w:rPr>
      </w:pPr>
    </w:p>
    <w:p w14:paraId="0335B937" w14:textId="77777777" w:rsidR="004B4A60" w:rsidRPr="0057246E" w:rsidRDefault="00293CFC" w:rsidP="001B789F">
      <w:pPr>
        <w:pStyle w:val="ATSTitle"/>
      </w:pPr>
      <w:bookmarkStart w:id="0" w:name="name"/>
      <w:r>
        <w:t>Prior assessment of a proposed Antarctic Specially Protected Area at Otto-von-Gruber-Gebirge (Dronning Maud Land, East Antarctica)</w:t>
      </w:r>
      <w:bookmarkEnd w:id="0"/>
    </w:p>
    <w:p w14:paraId="3F0F2E79" w14:textId="77777777" w:rsidR="004B4A60" w:rsidRPr="0057246E" w:rsidRDefault="00293CFC" w:rsidP="00F75424">
      <w:pPr>
        <w:jc w:val="center"/>
      </w:pPr>
    </w:p>
    <w:p w14:paraId="4476BA57" w14:textId="77777777" w:rsidR="004B4A60" w:rsidRPr="002F0A13" w:rsidRDefault="00293CFC" w:rsidP="002F0A13"/>
    <w:p w14:paraId="19D7790B" w14:textId="77777777" w:rsidR="004B4A60" w:rsidRDefault="00293CFC" w:rsidP="00F75424">
      <w:pPr>
        <w:jc w:val="center"/>
      </w:pPr>
      <w:bookmarkStart w:id="1" w:name="memo"/>
      <w:bookmarkEnd w:id="1"/>
    </w:p>
    <w:p w14:paraId="7A4B61E0" w14:textId="77777777" w:rsidR="0097629D" w:rsidRDefault="00293CFC" w:rsidP="00F75424">
      <w:pPr>
        <w:jc w:val="center"/>
      </w:pPr>
    </w:p>
    <w:p w14:paraId="38F6C822" w14:textId="77777777" w:rsidR="0097629D" w:rsidRDefault="00293CFC" w:rsidP="00F75424">
      <w:pPr>
        <w:jc w:val="center"/>
      </w:pPr>
    </w:p>
    <w:p w14:paraId="6E68A0A2" w14:textId="77777777" w:rsidR="0097629D" w:rsidRDefault="00293CFC" w:rsidP="00F75424">
      <w:pPr>
        <w:jc w:val="center"/>
      </w:pPr>
    </w:p>
    <w:p w14:paraId="3EE7505A" w14:textId="77777777" w:rsidR="0097629D" w:rsidRPr="00C26F2D" w:rsidRDefault="00293CFC" w:rsidP="00F75424">
      <w:pPr>
        <w:jc w:val="center"/>
      </w:pPr>
    </w:p>
    <w:p w14:paraId="4B025CF1" w14:textId="77777777" w:rsidR="004B4A60" w:rsidRPr="0057246E" w:rsidRDefault="00293CFC" w:rsidP="004B4A60"/>
    <w:p w14:paraId="34B477FF" w14:textId="77777777" w:rsidR="00C26F2D" w:rsidRDefault="00293CFC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A6C4170" w14:textId="6CF5E5DD" w:rsidR="004B4A60" w:rsidRDefault="00293CFC" w:rsidP="00952E9F"/>
    <w:p w14:paraId="44652C5E" w14:textId="77777777" w:rsidR="00293CFC" w:rsidRDefault="00293CFC" w:rsidP="00293CFC">
      <w:pPr>
        <w:spacing w:before="360" w:after="120"/>
        <w:jc w:val="center"/>
        <w:rPr>
          <w:rFonts w:ascii="Arial" w:hAnsi="Arial" w:cs="Arial"/>
          <w:b/>
          <w:sz w:val="32"/>
          <w:szCs w:val="32"/>
        </w:rPr>
      </w:pPr>
      <w:r w:rsidRPr="00D4316E">
        <w:rPr>
          <w:rFonts w:ascii="Arial" w:hAnsi="Arial" w:cs="Arial"/>
          <w:b/>
          <w:sz w:val="32"/>
          <w:szCs w:val="32"/>
        </w:rPr>
        <w:t xml:space="preserve">Prior assessment of a proposed Antarctic Specially Protected Area at Otto-von-Gruber-Gebirge </w:t>
      </w:r>
      <w:r w:rsidRPr="00D4316E">
        <w:rPr>
          <w:rFonts w:ascii="Arial" w:hAnsi="Arial" w:cs="Arial"/>
          <w:b/>
          <w:sz w:val="32"/>
          <w:szCs w:val="32"/>
        </w:rPr>
        <w:br/>
        <w:t>(Dronning Maud Land, East Antarctica)</w:t>
      </w:r>
    </w:p>
    <w:p w14:paraId="7863F367" w14:textId="77777777" w:rsidR="00293CFC" w:rsidRPr="002E2D40" w:rsidRDefault="00293CFC" w:rsidP="00293CFC">
      <w:pPr>
        <w:spacing w:before="120" w:after="120"/>
        <w:jc w:val="center"/>
        <w:rPr>
          <w:rFonts w:ascii="Arial" w:hAnsi="Arial" w:cs="Arial"/>
          <w:b/>
          <w:szCs w:val="22"/>
        </w:rPr>
      </w:pPr>
    </w:p>
    <w:p w14:paraId="2D7DADC8" w14:textId="77777777" w:rsidR="00293CFC" w:rsidRPr="002E2D40" w:rsidRDefault="00293CFC" w:rsidP="00293CFC">
      <w:pPr>
        <w:spacing w:before="120" w:after="120"/>
        <w:jc w:val="center"/>
        <w:rPr>
          <w:rFonts w:ascii="Arial" w:hAnsi="Arial" w:cs="Arial"/>
          <w:b/>
          <w:szCs w:val="22"/>
        </w:rPr>
      </w:pPr>
      <w:r w:rsidRPr="002E2D40">
        <w:rPr>
          <w:rFonts w:ascii="Arial" w:hAnsi="Arial" w:cs="Arial"/>
          <w:b/>
          <w:szCs w:val="22"/>
        </w:rPr>
        <w:t>Working Paper submitted by Germany and the United States of America</w:t>
      </w:r>
    </w:p>
    <w:p w14:paraId="498092C5" w14:textId="77777777" w:rsidR="00293CFC" w:rsidRPr="000A6B14" w:rsidRDefault="00293CFC" w:rsidP="00293CFC">
      <w:pPr>
        <w:rPr>
          <w:b/>
          <w:i/>
          <w:szCs w:val="22"/>
        </w:rPr>
      </w:pPr>
    </w:p>
    <w:p w14:paraId="648B637C" w14:textId="77777777" w:rsidR="00293CFC" w:rsidRPr="002E2D40" w:rsidRDefault="00293CFC" w:rsidP="00293CFC">
      <w:pPr>
        <w:spacing w:before="240" w:after="120"/>
        <w:rPr>
          <w:rFonts w:ascii="Arial" w:hAnsi="Arial" w:cs="Arial"/>
          <w:b/>
          <w:i/>
          <w:sz w:val="24"/>
        </w:rPr>
      </w:pPr>
      <w:r w:rsidRPr="002E2D40">
        <w:rPr>
          <w:rFonts w:ascii="Arial" w:hAnsi="Arial" w:cs="Arial"/>
          <w:b/>
          <w:i/>
          <w:sz w:val="24"/>
        </w:rPr>
        <w:t>Summary</w:t>
      </w:r>
    </w:p>
    <w:p w14:paraId="527476AB" w14:textId="77777777" w:rsidR="00293CFC" w:rsidRDefault="00293CFC" w:rsidP="00293CFC">
      <w:r w:rsidRPr="003E4BB8">
        <w:t xml:space="preserve">A prior assessment for a proposed Antarctic Specially Protected Area (ASPA) </w:t>
      </w:r>
      <w:r w:rsidRPr="00E213A1">
        <w:t>Otto-von-Gruber-Gebirge (Dronning Maud Land, East Antarctica)</w:t>
      </w:r>
      <w:r w:rsidRPr="003E4BB8">
        <w:t xml:space="preserve"> has been</w:t>
      </w:r>
      <w:r>
        <w:t xml:space="preserve"> carried out by Germany </w:t>
      </w:r>
      <w:r w:rsidRPr="003E4BB8">
        <w:t xml:space="preserve">and the </w:t>
      </w:r>
      <w:r>
        <w:t xml:space="preserve">United States of America. </w:t>
      </w:r>
      <w:r w:rsidRPr="003E4BB8">
        <w:t xml:space="preserve">The proponents recommend that the CEP: (1) agrees that the values within the proposed ASPA merit special protection, (2) endorses the development of a Management Plan for the area, and (3) encourages interested Parties to work with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informally during the intersessional period in the development of a Management Plan for submission </w:t>
      </w:r>
      <w:r>
        <w:t>to</w:t>
      </w:r>
      <w:r w:rsidRPr="003E4BB8">
        <w:t xml:space="preserve"> CEP XX</w:t>
      </w:r>
      <w:r>
        <w:t>V</w:t>
      </w:r>
      <w:r w:rsidRPr="003E4BB8">
        <w:t>.</w:t>
      </w:r>
    </w:p>
    <w:p w14:paraId="58F96A2B" w14:textId="77777777" w:rsidR="00293CFC" w:rsidRPr="002E2D40" w:rsidRDefault="00293CFC" w:rsidP="00293CFC">
      <w:pPr>
        <w:spacing w:before="240" w:after="120"/>
        <w:rPr>
          <w:rFonts w:ascii="Arial" w:hAnsi="Arial" w:cs="Arial"/>
          <w:b/>
          <w:i/>
          <w:sz w:val="24"/>
        </w:rPr>
      </w:pPr>
      <w:r w:rsidRPr="002E2D40">
        <w:rPr>
          <w:rFonts w:ascii="Arial" w:hAnsi="Arial" w:cs="Arial"/>
          <w:b/>
          <w:i/>
          <w:sz w:val="24"/>
        </w:rPr>
        <w:t>Introduction</w:t>
      </w:r>
    </w:p>
    <w:p w14:paraId="736ACA9C" w14:textId="77777777" w:rsidR="00293CFC" w:rsidRDefault="00293CFC" w:rsidP="00293CFC">
      <w:pPr>
        <w:pStyle w:val="ATSNormal"/>
        <w:spacing w:before="0" w:after="0"/>
        <w:rPr>
          <w:szCs w:val="22"/>
        </w:rPr>
      </w:pPr>
      <w:r>
        <w:t xml:space="preserve">In accordance with the provisions in Annex V to the Protocol on Environmental Protection to the Antarctic </w:t>
      </w:r>
      <w:r>
        <w:rPr>
          <w:szCs w:val="22"/>
        </w:rPr>
        <w:t xml:space="preserve">Treaty (the Protocol),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>
        <w:rPr>
          <w:szCs w:val="22"/>
        </w:rPr>
        <w:t xml:space="preserve">would like to propose the establishment of an Antarctic Specially Protected Area (ASPA) </w:t>
      </w:r>
      <w:r w:rsidRPr="00E213A1">
        <w:rPr>
          <w:szCs w:val="22"/>
        </w:rPr>
        <w:t>Otto-von-Gruber-Gebirge (Dronning Maud Land, East Antarctica)</w:t>
      </w:r>
      <w:r>
        <w:rPr>
          <w:szCs w:val="22"/>
        </w:rPr>
        <w:t xml:space="preserve">. </w:t>
      </w:r>
    </w:p>
    <w:p w14:paraId="62EBBE74" w14:textId="77777777" w:rsidR="00293CFC" w:rsidRDefault="00293CFC" w:rsidP="00293CFC">
      <w:pPr>
        <w:pStyle w:val="ATSNormal"/>
        <w:spacing w:before="0" w:after="0"/>
        <w:rPr>
          <w:bCs/>
          <w:color w:val="222222"/>
          <w:szCs w:val="22"/>
          <w:shd w:val="clear" w:color="auto" w:fill="FFFFFF"/>
        </w:rPr>
      </w:pPr>
    </w:p>
    <w:p w14:paraId="08F644AE" w14:textId="77777777" w:rsidR="00293CFC" w:rsidRDefault="00293CFC" w:rsidP="00293CFC">
      <w:pPr>
        <w:pStyle w:val="ATSNormal"/>
        <w:spacing w:before="0" w:after="0"/>
        <w:rPr>
          <w:szCs w:val="22"/>
        </w:rPr>
      </w:pPr>
      <w:r w:rsidRPr="00B26D5D">
        <w:rPr>
          <w:szCs w:val="22"/>
        </w:rPr>
        <w:t xml:space="preserve">The proposed ASPA would be a multi-site ASPA intended primarily to protect a range of values.  </w:t>
      </w:r>
    </w:p>
    <w:p w14:paraId="6AB58733" w14:textId="77777777" w:rsidR="00293CFC" w:rsidRPr="00DA1B46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DA1B46">
        <w:rPr>
          <w:rFonts w:ascii="Times New Roman" w:hAnsi="Times New Roman" w:cs="Times New Roman"/>
          <w:i/>
          <w:sz w:val="22"/>
          <w:szCs w:val="22"/>
        </w:rPr>
        <w:t>Environmental values:</w:t>
      </w:r>
    </w:p>
    <w:p w14:paraId="51108E03" w14:textId="77777777" w:rsidR="00293CFC" w:rsidRPr="00E14FB5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l</w:t>
      </w:r>
      <w:r w:rsidRPr="00E14FB5">
        <w:rPr>
          <w:szCs w:val="22"/>
        </w:rPr>
        <w:t>arge and deep ice-covered freshwater lakes (Untersee, Obersee) with extremophile microbial ecosystem</w:t>
      </w:r>
      <w:r>
        <w:rPr>
          <w:szCs w:val="22"/>
        </w:rPr>
        <w:t>s</w:t>
      </w:r>
      <w:r w:rsidRPr="00E14FB5">
        <w:rPr>
          <w:szCs w:val="22"/>
        </w:rPr>
        <w:t xml:space="preserve"> </w:t>
      </w:r>
      <w:r>
        <w:rPr>
          <w:szCs w:val="22"/>
        </w:rPr>
        <w:t>(</w:t>
      </w:r>
      <w:r w:rsidRPr="00F913DE">
        <w:rPr>
          <w:szCs w:val="22"/>
        </w:rPr>
        <w:t xml:space="preserve">including </w:t>
      </w:r>
      <w:r>
        <w:rPr>
          <w:szCs w:val="22"/>
        </w:rPr>
        <w:t>the only</w:t>
      </w:r>
      <w:r w:rsidRPr="00F913DE">
        <w:rPr>
          <w:szCs w:val="22"/>
        </w:rPr>
        <w:t xml:space="preserve"> known </w:t>
      </w:r>
      <w:r>
        <w:rPr>
          <w:szCs w:val="22"/>
        </w:rPr>
        <w:t xml:space="preserve">large, conical </w:t>
      </w:r>
      <w:r w:rsidRPr="00F913DE">
        <w:rPr>
          <w:szCs w:val="22"/>
        </w:rPr>
        <w:t>stromatolites in Antarctica)</w:t>
      </w:r>
      <w:r>
        <w:rPr>
          <w:szCs w:val="22"/>
        </w:rPr>
        <w:t>;</w:t>
      </w:r>
    </w:p>
    <w:p w14:paraId="0324E4CE" w14:textId="77777777" w:rsidR="00293CFC" w:rsidRPr="00E14FB5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l</w:t>
      </w:r>
      <w:r w:rsidRPr="00E14FB5">
        <w:rPr>
          <w:szCs w:val="22"/>
        </w:rPr>
        <w:t xml:space="preserve">arge </w:t>
      </w:r>
      <w:r>
        <w:rPr>
          <w:szCs w:val="22"/>
        </w:rPr>
        <w:t xml:space="preserve">breeding </w:t>
      </w:r>
      <w:r w:rsidRPr="00E14FB5">
        <w:rPr>
          <w:szCs w:val="22"/>
        </w:rPr>
        <w:t>colony of snow petrel (</w:t>
      </w:r>
      <w:r w:rsidRPr="00E14FB5">
        <w:rPr>
          <w:i/>
        </w:rPr>
        <w:t>Pagodroma nivea</w:t>
      </w:r>
      <w:r w:rsidRPr="00E14FB5">
        <w:rPr>
          <w:szCs w:val="22"/>
        </w:rPr>
        <w:t>)</w:t>
      </w:r>
      <w:r>
        <w:rPr>
          <w:szCs w:val="22"/>
        </w:rPr>
        <w:t>;</w:t>
      </w:r>
    </w:p>
    <w:p w14:paraId="396A72E6" w14:textId="77777777" w:rsidR="00293CFC" w:rsidRPr="0021311B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isolated p</w:t>
      </w:r>
      <w:r w:rsidRPr="0021311B">
        <w:rPr>
          <w:szCs w:val="22"/>
        </w:rPr>
        <w:t xml:space="preserve">olar desert </w:t>
      </w:r>
      <w:r>
        <w:rPr>
          <w:szCs w:val="22"/>
        </w:rPr>
        <w:t>oasis ecosystem with sparse vegetation.</w:t>
      </w:r>
    </w:p>
    <w:p w14:paraId="43C6C703" w14:textId="77777777" w:rsidR="00293CFC" w:rsidRPr="00DA1B46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DA1B46">
        <w:rPr>
          <w:rFonts w:ascii="Times New Roman" w:hAnsi="Times New Roman" w:cs="Times New Roman"/>
          <w:i/>
          <w:sz w:val="22"/>
          <w:szCs w:val="22"/>
        </w:rPr>
        <w:t>Scientific values:</w:t>
      </w:r>
    </w:p>
    <w:p w14:paraId="3BCD8652" w14:textId="77777777" w:rsidR="00293CFC" w:rsidRPr="00EB3F36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ecology: l</w:t>
      </w:r>
      <w:r w:rsidRPr="00EB3F36">
        <w:rPr>
          <w:szCs w:val="22"/>
        </w:rPr>
        <w:t>akes as habitat for microbial extremophiles</w:t>
      </w:r>
      <w:r>
        <w:rPr>
          <w:szCs w:val="22"/>
        </w:rPr>
        <w:t>;</w:t>
      </w:r>
    </w:p>
    <w:p w14:paraId="56A6D586" w14:textId="77777777" w:rsidR="00293CFC" w:rsidRPr="00EB3F36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ecology: u</w:t>
      </w:r>
      <w:r w:rsidRPr="00EB3F36">
        <w:rPr>
          <w:szCs w:val="22"/>
        </w:rPr>
        <w:t xml:space="preserve">ncommon lake chemistry with one of the highest </w:t>
      </w:r>
      <w:r w:rsidRPr="00F307C8">
        <w:rPr>
          <w:bCs/>
          <w:szCs w:val="22"/>
        </w:rPr>
        <w:t xml:space="preserve">dissolved </w:t>
      </w:r>
      <w:r>
        <w:rPr>
          <w:szCs w:val="22"/>
        </w:rPr>
        <w:t>m</w:t>
      </w:r>
      <w:r w:rsidRPr="00EB3F36">
        <w:rPr>
          <w:szCs w:val="22"/>
        </w:rPr>
        <w:t xml:space="preserve">ethane concentrations </w:t>
      </w:r>
      <w:r>
        <w:rPr>
          <w:szCs w:val="22"/>
        </w:rPr>
        <w:t>in a natural aquatic ecosystem;</w:t>
      </w:r>
    </w:p>
    <w:p w14:paraId="595A586F" w14:textId="77777777" w:rsidR="00293CFC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ecology: dynamics of the population of one of the largest</w:t>
      </w:r>
      <w:r w:rsidRPr="00EB3F36">
        <w:rPr>
          <w:szCs w:val="22"/>
        </w:rPr>
        <w:t xml:space="preserve"> </w:t>
      </w:r>
      <w:r>
        <w:rPr>
          <w:szCs w:val="22"/>
        </w:rPr>
        <w:t xml:space="preserve">known </w:t>
      </w:r>
      <w:r w:rsidRPr="00EB3F36">
        <w:rPr>
          <w:szCs w:val="22"/>
        </w:rPr>
        <w:t>snow petrel colon</w:t>
      </w:r>
      <w:r>
        <w:rPr>
          <w:szCs w:val="22"/>
        </w:rPr>
        <w:t>ies and the significance of such habitat for the global population of this species;</w:t>
      </w:r>
    </w:p>
    <w:p w14:paraId="79FF8398" w14:textId="77777777" w:rsidR="00293CFC" w:rsidRPr="00F913DE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e</w:t>
      </w:r>
      <w:r w:rsidRPr="00F913DE">
        <w:rPr>
          <w:szCs w:val="22"/>
        </w:rPr>
        <w:t>xobiology: ecosystems of the perennially ice-covered lakes represent analogues to study conditions for possible extra</w:t>
      </w:r>
      <w:r>
        <w:rPr>
          <w:szCs w:val="22"/>
        </w:rPr>
        <w:t>-</w:t>
      </w:r>
      <w:r w:rsidRPr="00F913DE">
        <w:rPr>
          <w:szCs w:val="22"/>
        </w:rPr>
        <w:t>terrestrial life</w:t>
      </w:r>
      <w:r>
        <w:rPr>
          <w:szCs w:val="22"/>
        </w:rPr>
        <w:t>;</w:t>
      </w:r>
    </w:p>
    <w:p w14:paraId="5A68664A" w14:textId="77777777" w:rsidR="00293CFC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geomorphology/paleoclimatology: m</w:t>
      </w:r>
      <w:r w:rsidRPr="00EB3F36">
        <w:rPr>
          <w:szCs w:val="22"/>
        </w:rPr>
        <w:t>ountain landscape with a high variety of glacial, periglacial and high</w:t>
      </w:r>
      <w:r>
        <w:rPr>
          <w:szCs w:val="22"/>
        </w:rPr>
        <w:t xml:space="preserve"> alpine processes, landforms and sediments;</w:t>
      </w:r>
    </w:p>
    <w:p w14:paraId="7228F953" w14:textId="77777777" w:rsidR="00293CFC" w:rsidRPr="00EB3F36" w:rsidRDefault="00293CFC" w:rsidP="00293CFC">
      <w:pPr>
        <w:pStyle w:val="ATSNormal"/>
        <w:numPr>
          <w:ilvl w:val="0"/>
          <w:numId w:val="21"/>
        </w:numPr>
        <w:spacing w:after="0"/>
        <w:rPr>
          <w:szCs w:val="22"/>
        </w:rPr>
      </w:pPr>
      <w:r>
        <w:rPr>
          <w:szCs w:val="22"/>
        </w:rPr>
        <w:t>paleoclimatology: large</w:t>
      </w:r>
      <w:r w:rsidRPr="00EA02C3">
        <w:rPr>
          <w:szCs w:val="22"/>
        </w:rPr>
        <w:t xml:space="preserve"> subfossil stomach oil deposits (</w:t>
      </w:r>
      <w:r>
        <w:rPr>
          <w:szCs w:val="22"/>
        </w:rPr>
        <w:t>‘</w:t>
      </w:r>
      <w:r w:rsidRPr="00EA02C3">
        <w:rPr>
          <w:szCs w:val="22"/>
        </w:rPr>
        <w:t>mumiyo</w:t>
      </w:r>
      <w:r>
        <w:rPr>
          <w:szCs w:val="22"/>
        </w:rPr>
        <w:t>’</w:t>
      </w:r>
      <w:r w:rsidRPr="00EA02C3">
        <w:rPr>
          <w:szCs w:val="22"/>
        </w:rPr>
        <w:t xml:space="preserve">) of snow petrels </w:t>
      </w:r>
      <w:r>
        <w:rPr>
          <w:szCs w:val="22"/>
        </w:rPr>
        <w:t>as a</w:t>
      </w:r>
      <w:r w:rsidRPr="00EA02C3">
        <w:rPr>
          <w:szCs w:val="22"/>
        </w:rPr>
        <w:t xml:space="preserve"> valuable paleoclimatological archive</w:t>
      </w:r>
    </w:p>
    <w:p w14:paraId="28F1DA31" w14:textId="77777777" w:rsidR="00293CFC" w:rsidRPr="00E33AB3" w:rsidRDefault="00293CFC" w:rsidP="00293CFC">
      <w:pPr>
        <w:pStyle w:val="ATSNormal"/>
        <w:numPr>
          <w:ilvl w:val="0"/>
          <w:numId w:val="21"/>
        </w:numPr>
        <w:spacing w:after="0"/>
        <w:rPr>
          <w:rFonts w:eastAsiaTheme="minorHAnsi"/>
          <w:i/>
          <w:color w:val="000000"/>
          <w:szCs w:val="22"/>
          <w:lang w:val="en-US"/>
        </w:rPr>
      </w:pPr>
      <w:r w:rsidRPr="00E33AB3">
        <w:rPr>
          <w:szCs w:val="22"/>
        </w:rPr>
        <w:lastRenderedPageBreak/>
        <w:t xml:space="preserve">geology: </w:t>
      </w:r>
      <w:r>
        <w:rPr>
          <w:szCs w:val="22"/>
        </w:rPr>
        <w:t xml:space="preserve">rocks among </w:t>
      </w:r>
      <w:r w:rsidRPr="00E33AB3">
        <w:rPr>
          <w:szCs w:val="22"/>
        </w:rPr>
        <w:t xml:space="preserve">the youngest known </w:t>
      </w:r>
      <w:r>
        <w:rPr>
          <w:szCs w:val="22"/>
        </w:rPr>
        <w:t xml:space="preserve">massif-type </w:t>
      </w:r>
      <w:r w:rsidRPr="00C24DD3">
        <w:rPr>
          <w:szCs w:val="22"/>
        </w:rPr>
        <w:t>anorthosite formation</w:t>
      </w:r>
      <w:r>
        <w:rPr>
          <w:szCs w:val="22"/>
        </w:rPr>
        <w:t>s</w:t>
      </w:r>
      <w:r w:rsidRPr="00C24DD3">
        <w:rPr>
          <w:szCs w:val="22"/>
        </w:rPr>
        <w:t xml:space="preserve"> world-</w:t>
      </w:r>
      <w:r w:rsidRPr="00E33AB3">
        <w:rPr>
          <w:szCs w:val="22"/>
        </w:rPr>
        <w:t>wide.</w:t>
      </w:r>
      <w:r w:rsidRPr="00E33AB3">
        <w:rPr>
          <w:i/>
          <w:szCs w:val="22"/>
        </w:rPr>
        <w:br w:type="page"/>
      </w:r>
    </w:p>
    <w:p w14:paraId="614C5926" w14:textId="77777777" w:rsidR="00293CFC" w:rsidRPr="00F45FC0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F45FC0">
        <w:rPr>
          <w:rFonts w:ascii="Times New Roman" w:hAnsi="Times New Roman" w:cs="Times New Roman"/>
          <w:i/>
          <w:sz w:val="22"/>
          <w:szCs w:val="22"/>
        </w:rPr>
        <w:lastRenderedPageBreak/>
        <w:t>Historic value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F45FC0">
        <w:rPr>
          <w:rFonts w:ascii="Times New Roman" w:hAnsi="Times New Roman" w:cs="Times New Roman"/>
          <w:i/>
          <w:sz w:val="22"/>
          <w:szCs w:val="22"/>
        </w:rPr>
        <w:t>:</w:t>
      </w:r>
    </w:p>
    <w:p w14:paraId="4904EE5B" w14:textId="77777777" w:rsidR="00293CFC" w:rsidRPr="00EB3F36" w:rsidRDefault="00293CFC" w:rsidP="00293CFC">
      <w:pPr>
        <w:pStyle w:val="ATSNormal"/>
        <w:numPr>
          <w:ilvl w:val="0"/>
          <w:numId w:val="24"/>
        </w:numPr>
        <w:spacing w:after="0"/>
        <w:rPr>
          <w:szCs w:val="22"/>
        </w:rPr>
      </w:pPr>
      <w:r>
        <w:t>plaque placed for commemorating the first visit by the Soviet Antarctic Expedition in 1969.</w:t>
      </w:r>
    </w:p>
    <w:p w14:paraId="5D38F3F2" w14:textId="77777777" w:rsidR="00293CFC" w:rsidRPr="00200910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  <w:lang w:val="en-GB"/>
        </w:rPr>
      </w:pPr>
      <w:r w:rsidRPr="00200910">
        <w:rPr>
          <w:rFonts w:ascii="Times New Roman" w:hAnsi="Times New Roman" w:cs="Times New Roman"/>
          <w:i/>
          <w:sz w:val="22"/>
          <w:szCs w:val="22"/>
          <w:lang w:val="en-GB"/>
        </w:rPr>
        <w:t>Aesthetic values:</w:t>
      </w:r>
    </w:p>
    <w:p w14:paraId="6CF3716A" w14:textId="77777777" w:rsidR="00293CFC" w:rsidRPr="00200910" w:rsidRDefault="00293CFC" w:rsidP="00293CFC">
      <w:pPr>
        <w:pStyle w:val="ATSNormal"/>
        <w:numPr>
          <w:ilvl w:val="0"/>
          <w:numId w:val="23"/>
        </w:numPr>
        <w:spacing w:after="0"/>
        <w:rPr>
          <w:szCs w:val="22"/>
        </w:rPr>
      </w:pPr>
      <w:r w:rsidRPr="00200910">
        <w:rPr>
          <w:szCs w:val="22"/>
        </w:rPr>
        <w:t>spectacular mountain peaks protruding from the inland ice sheet</w:t>
      </w:r>
      <w:r>
        <w:rPr>
          <w:szCs w:val="22"/>
        </w:rPr>
        <w:t>.</w:t>
      </w:r>
    </w:p>
    <w:p w14:paraId="5252DBEE" w14:textId="77777777" w:rsidR="00293CFC" w:rsidRPr="00F45FC0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F45FC0">
        <w:rPr>
          <w:rFonts w:ascii="Times New Roman" w:hAnsi="Times New Roman" w:cs="Times New Roman"/>
          <w:i/>
          <w:sz w:val="22"/>
          <w:szCs w:val="22"/>
        </w:rPr>
        <w:t>Wilderness values:</w:t>
      </w:r>
    </w:p>
    <w:p w14:paraId="4FCC0D01" w14:textId="77777777" w:rsidR="00293CFC" w:rsidRDefault="00293CFC" w:rsidP="00293CFC">
      <w:pPr>
        <w:pStyle w:val="ATSNormal"/>
        <w:numPr>
          <w:ilvl w:val="0"/>
          <w:numId w:val="23"/>
        </w:numPr>
        <w:spacing w:after="0"/>
        <w:rPr>
          <w:szCs w:val="22"/>
        </w:rPr>
      </w:pPr>
      <w:r>
        <w:rPr>
          <w:szCs w:val="22"/>
        </w:rPr>
        <w:t>l</w:t>
      </w:r>
      <w:r w:rsidRPr="00E14FB5">
        <w:rPr>
          <w:szCs w:val="22"/>
        </w:rPr>
        <w:t>ow human footprint</w:t>
      </w:r>
      <w:r>
        <w:rPr>
          <w:szCs w:val="22"/>
        </w:rPr>
        <w:t>.</w:t>
      </w:r>
    </w:p>
    <w:p w14:paraId="621BCD82" w14:textId="77777777" w:rsidR="00293CFC" w:rsidRPr="00F45FC0" w:rsidRDefault="00293CFC" w:rsidP="00293CFC">
      <w:pPr>
        <w:pStyle w:val="Default"/>
        <w:spacing w:before="240" w:after="60"/>
        <w:rPr>
          <w:rFonts w:ascii="Times New Roman" w:hAnsi="Times New Roman" w:cs="Times New Roman"/>
          <w:i/>
          <w:sz w:val="22"/>
          <w:szCs w:val="22"/>
        </w:rPr>
      </w:pPr>
      <w:r w:rsidRPr="00F45FC0">
        <w:rPr>
          <w:rFonts w:ascii="Times New Roman" w:hAnsi="Times New Roman" w:cs="Times New Roman"/>
          <w:i/>
          <w:sz w:val="22"/>
          <w:szCs w:val="22"/>
        </w:rPr>
        <w:t>Ongoing scientific research:</w:t>
      </w:r>
    </w:p>
    <w:p w14:paraId="5FA7CE83" w14:textId="77777777" w:rsidR="00293CFC" w:rsidRPr="00E14FB5" w:rsidRDefault="00293CFC" w:rsidP="00293CFC">
      <w:pPr>
        <w:pStyle w:val="ATSNormal"/>
        <w:numPr>
          <w:ilvl w:val="0"/>
          <w:numId w:val="23"/>
        </w:numPr>
        <w:spacing w:after="0"/>
        <w:rPr>
          <w:szCs w:val="22"/>
        </w:rPr>
      </w:pPr>
      <w:r>
        <w:t>limnology, aquatic ecology, microbial ecology, geochemistry, periglacial geomorphology, exobiology.</w:t>
      </w:r>
    </w:p>
    <w:p w14:paraId="43AA7312" w14:textId="77777777" w:rsidR="00293CFC" w:rsidRPr="002E2D40" w:rsidRDefault="00293CFC" w:rsidP="00293CFC">
      <w:pPr>
        <w:spacing w:before="240" w:after="120"/>
        <w:rPr>
          <w:rFonts w:ascii="Arial" w:hAnsi="Arial" w:cs="Arial"/>
          <w:b/>
          <w:i/>
          <w:sz w:val="24"/>
        </w:rPr>
      </w:pPr>
      <w:r w:rsidRPr="002E2D40">
        <w:rPr>
          <w:rFonts w:ascii="Arial" w:hAnsi="Arial" w:cs="Arial"/>
          <w:b/>
          <w:i/>
          <w:sz w:val="24"/>
        </w:rPr>
        <w:t xml:space="preserve">Prior assessment </w:t>
      </w:r>
    </w:p>
    <w:p w14:paraId="7D0D6090" w14:textId="77777777" w:rsidR="00293CFC" w:rsidRPr="00772F17" w:rsidRDefault="00293CFC" w:rsidP="00293CFC">
      <w:pPr>
        <w:pStyle w:val="ATSNormal"/>
        <w:spacing w:before="0" w:after="0"/>
        <w:rPr>
          <w:szCs w:val="22"/>
        </w:rPr>
      </w:pPr>
      <w:r w:rsidRPr="00772F17">
        <w:rPr>
          <w:szCs w:val="22"/>
        </w:rPr>
        <w:t>Following discussions at CEP XX</w:t>
      </w:r>
      <w:r>
        <w:rPr>
          <w:szCs w:val="22"/>
        </w:rPr>
        <w:t xml:space="preserve"> (2017)</w:t>
      </w:r>
      <w:r w:rsidRPr="00772F17">
        <w:rPr>
          <w:szCs w:val="22"/>
        </w:rPr>
        <w:t xml:space="preserve">, the </w:t>
      </w:r>
      <w:r w:rsidRPr="00200910">
        <w:rPr>
          <w:i/>
          <w:szCs w:val="22"/>
        </w:rPr>
        <w:t>Guidelines: A prior assessment process for the designation of ASPAs and ASMAs</w:t>
      </w:r>
      <w:r w:rsidRPr="00772F17">
        <w:rPr>
          <w:szCs w:val="22"/>
        </w:rPr>
        <w:t xml:space="preserve"> were up dated to include a non-mandatory ASPA prior assessment template to facilitate the provision of information c</w:t>
      </w:r>
      <w:r>
        <w:rPr>
          <w:szCs w:val="22"/>
        </w:rPr>
        <w:t>onsistent with the Guidelines (</w:t>
      </w:r>
      <w:r w:rsidRPr="00715FE7">
        <w:rPr>
          <w:szCs w:val="22"/>
        </w:rPr>
        <w:t>ACEP XX report, Appendix A</w:t>
      </w:r>
      <w:r>
        <w:rPr>
          <w:szCs w:val="22"/>
        </w:rPr>
        <w:t xml:space="preserve">).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 w:rsidRPr="00772F17">
        <w:rPr>
          <w:szCs w:val="22"/>
        </w:rPr>
        <w:t>have completed the prior assessment template for the proposed ASPA (see Attachment A), which includes a map</w:t>
      </w:r>
      <w:r>
        <w:rPr>
          <w:szCs w:val="22"/>
        </w:rPr>
        <w:t xml:space="preserve">, photos </w:t>
      </w:r>
      <w:r w:rsidRPr="00772F17">
        <w:rPr>
          <w:szCs w:val="22"/>
        </w:rPr>
        <w:t xml:space="preserve">and </w:t>
      </w:r>
      <w:r>
        <w:rPr>
          <w:szCs w:val="22"/>
        </w:rPr>
        <w:t xml:space="preserve">a </w:t>
      </w:r>
      <w:r w:rsidRPr="00772F17">
        <w:rPr>
          <w:szCs w:val="22"/>
        </w:rPr>
        <w:t>list of relevant publications.</w:t>
      </w:r>
    </w:p>
    <w:p w14:paraId="053E6B27" w14:textId="77777777" w:rsidR="00293CFC" w:rsidRDefault="00293CFC" w:rsidP="00293CFC">
      <w:pPr>
        <w:pStyle w:val="ATSNormal"/>
        <w:spacing w:before="0" w:after="0"/>
        <w:rPr>
          <w:szCs w:val="22"/>
        </w:rPr>
      </w:pPr>
    </w:p>
    <w:p w14:paraId="46A16DF1" w14:textId="77777777" w:rsidR="00293CFC" w:rsidRDefault="00293CFC" w:rsidP="00293CFC">
      <w:pPr>
        <w:pStyle w:val="ATSNormal"/>
        <w:spacing w:before="0" w:after="0"/>
        <w:rPr>
          <w:szCs w:val="22"/>
        </w:rPr>
      </w:pPr>
      <w:r w:rsidRPr="00772F17">
        <w:rPr>
          <w:szCs w:val="22"/>
        </w:rPr>
        <w:t xml:space="preserve">If the CEP agrees that the area merits special protection,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3E4BB8">
        <w:t xml:space="preserve"> </w:t>
      </w:r>
      <w:r w:rsidRPr="00772F17">
        <w:rPr>
          <w:szCs w:val="22"/>
        </w:rPr>
        <w:t xml:space="preserve">intend to develop intersessionally a Management Plan for the proposed ASPA in collaboration with all interested </w:t>
      </w:r>
      <w:r>
        <w:rPr>
          <w:szCs w:val="22"/>
        </w:rPr>
        <w:t>p</w:t>
      </w:r>
      <w:r w:rsidRPr="00772F17">
        <w:rPr>
          <w:szCs w:val="22"/>
        </w:rPr>
        <w:t xml:space="preserve">arties </w:t>
      </w:r>
      <w:r>
        <w:rPr>
          <w:szCs w:val="22"/>
        </w:rPr>
        <w:t>to</w:t>
      </w:r>
      <w:r w:rsidRPr="00772F17">
        <w:rPr>
          <w:szCs w:val="22"/>
        </w:rPr>
        <w:t xml:space="preserve"> be submitted for consideration during CEP XX</w:t>
      </w:r>
      <w:r>
        <w:rPr>
          <w:szCs w:val="22"/>
        </w:rPr>
        <w:t>V</w:t>
      </w:r>
      <w:r w:rsidRPr="00772F17">
        <w:rPr>
          <w:szCs w:val="22"/>
        </w:rPr>
        <w:t>.</w:t>
      </w:r>
    </w:p>
    <w:p w14:paraId="3A0387EC" w14:textId="77777777" w:rsidR="00293CFC" w:rsidRPr="002E2D40" w:rsidRDefault="00293CFC" w:rsidP="00293CFC">
      <w:pPr>
        <w:spacing w:before="240" w:after="120"/>
        <w:rPr>
          <w:rFonts w:ascii="Arial" w:hAnsi="Arial" w:cs="Arial"/>
          <w:b/>
          <w:i/>
          <w:sz w:val="24"/>
        </w:rPr>
      </w:pPr>
      <w:r w:rsidRPr="002E2D40">
        <w:rPr>
          <w:rFonts w:ascii="Arial" w:hAnsi="Arial" w:cs="Arial"/>
          <w:b/>
          <w:i/>
          <w:sz w:val="24"/>
        </w:rPr>
        <w:t xml:space="preserve">Recommendations </w:t>
      </w:r>
    </w:p>
    <w:p w14:paraId="34824C9D" w14:textId="77777777" w:rsidR="00293CFC" w:rsidRPr="00772F17" w:rsidRDefault="00293CFC" w:rsidP="00293CFC">
      <w:pPr>
        <w:autoSpaceDE w:val="0"/>
        <w:autoSpaceDN w:val="0"/>
        <w:adjustRightInd w:val="0"/>
      </w:pPr>
      <w:r>
        <w:t xml:space="preserve">Germany </w:t>
      </w:r>
      <w:r w:rsidRPr="003E4BB8">
        <w:t xml:space="preserve">and the </w:t>
      </w:r>
      <w:r>
        <w:t xml:space="preserve">United States of America </w:t>
      </w:r>
      <w:r w:rsidRPr="00772F17">
        <w:t xml:space="preserve">recommend that the CEP: </w:t>
      </w:r>
    </w:p>
    <w:p w14:paraId="05C201C0" w14:textId="77777777" w:rsidR="00293CFC" w:rsidRDefault="00293CFC" w:rsidP="00293CF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/>
        <w:ind w:left="357" w:hanging="357"/>
      </w:pPr>
      <w:r w:rsidRPr="003F674E">
        <w:t xml:space="preserve">notes the completed prior assessment for a proposed multi-site Antarctic Specially Protected Area at </w:t>
      </w:r>
      <w:r>
        <w:t>the Otto-von-</w:t>
      </w:r>
      <w:r w:rsidRPr="003F674E">
        <w:t>Gruber</w:t>
      </w:r>
      <w:r>
        <w:t>-Gebirge</w:t>
      </w:r>
      <w:r w:rsidRPr="003F674E">
        <w:t xml:space="preserve"> (Dronning Maud Land, East Antarctica)</w:t>
      </w:r>
      <w:r>
        <w:t xml:space="preserve"> </w:t>
      </w:r>
      <w:r w:rsidRPr="003F674E">
        <w:t>at Attachment A</w:t>
      </w:r>
    </w:p>
    <w:p w14:paraId="7EC9C6A3" w14:textId="77777777" w:rsidR="00293CFC" w:rsidRPr="00772F17" w:rsidRDefault="00293CFC" w:rsidP="00293CF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/>
        <w:ind w:left="357" w:hanging="357"/>
      </w:pPr>
      <w:r w:rsidRPr="00772F17">
        <w:t xml:space="preserve">agrees that the values within the proposed ASPA merit special protection, as described under Annex V to the Protocol; </w:t>
      </w:r>
    </w:p>
    <w:p w14:paraId="1DD65BA5" w14:textId="77777777" w:rsidR="00293CFC" w:rsidRPr="00772F17" w:rsidRDefault="00293CFC" w:rsidP="00293CF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/>
        <w:ind w:left="357" w:hanging="357"/>
        <w:rPr>
          <w:rFonts w:eastAsia="TimesNewRomanPSMT"/>
          <w:lang w:eastAsia="ja-JP"/>
        </w:rPr>
      </w:pPr>
      <w:r w:rsidRPr="00772F17">
        <w:t xml:space="preserve">endorses the development of a Management Plan for the Area, led by </w:t>
      </w:r>
      <w:r>
        <w:t xml:space="preserve">Germany </w:t>
      </w:r>
      <w:r w:rsidRPr="003E4BB8">
        <w:t xml:space="preserve">and the </w:t>
      </w:r>
      <w:r>
        <w:t>United States of America</w:t>
      </w:r>
      <w:r w:rsidRPr="00772F17">
        <w:t>; and</w:t>
      </w:r>
    </w:p>
    <w:p w14:paraId="4386894E" w14:textId="77777777" w:rsidR="00293CFC" w:rsidRDefault="00293CFC" w:rsidP="00293CFC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before="120"/>
        <w:ind w:left="357" w:hanging="357"/>
        <w:rPr>
          <w:rFonts w:eastAsia="TimesNewRomanPSMT"/>
          <w:lang w:eastAsia="ja-JP"/>
        </w:rPr>
      </w:pPr>
      <w:r w:rsidRPr="00772F17">
        <w:t xml:space="preserve">encourages interested </w:t>
      </w:r>
      <w:r>
        <w:t>p</w:t>
      </w:r>
      <w:r w:rsidRPr="00772F17">
        <w:t xml:space="preserve">arties to work with </w:t>
      </w:r>
      <w:r>
        <w:t xml:space="preserve">Germany </w:t>
      </w:r>
      <w:r w:rsidRPr="003E4BB8">
        <w:t xml:space="preserve">and the </w:t>
      </w:r>
      <w:r>
        <w:t xml:space="preserve">United States of America </w:t>
      </w:r>
      <w:r w:rsidRPr="00772F17">
        <w:t xml:space="preserve">informally during the intersessional period in the development of a Management Plan for submission </w:t>
      </w:r>
      <w:r>
        <w:t>to</w:t>
      </w:r>
      <w:r w:rsidRPr="00772F17">
        <w:t xml:space="preserve"> CEP XX</w:t>
      </w:r>
      <w:r>
        <w:t>V</w:t>
      </w:r>
      <w:r w:rsidRPr="00772F17">
        <w:t>.</w:t>
      </w:r>
      <w:r w:rsidRPr="00772F17">
        <w:rPr>
          <w:rFonts w:eastAsia="TimesNewRomanPSMT"/>
          <w:lang w:eastAsia="ja-JP"/>
        </w:rPr>
        <w:t xml:space="preserve"> </w:t>
      </w:r>
    </w:p>
    <w:p w14:paraId="3080485F" w14:textId="77777777" w:rsidR="00293CFC" w:rsidRDefault="00293CFC" w:rsidP="00952E9F"/>
    <w:sectPr w:rsidR="00293CFC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B13F" w14:textId="77777777" w:rsidR="00000000" w:rsidRDefault="00293CFC">
      <w:r>
        <w:separator/>
      </w:r>
    </w:p>
  </w:endnote>
  <w:endnote w:type="continuationSeparator" w:id="0">
    <w:p w14:paraId="26D5A84B" w14:textId="77777777" w:rsidR="00000000" w:rsidRDefault="0029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1581" w14:textId="77777777" w:rsidR="00FA0B9F" w:rsidRDefault="00293CF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2D9CDE9D" w14:textId="77777777" w:rsidR="00FA0B9F" w:rsidRDefault="00293CFC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572" w14:textId="77777777" w:rsidR="00FA0B9F" w:rsidRDefault="00293CF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6E304277" w14:textId="688229B1" w:rsidR="00FA0B9F" w:rsidRDefault="00293CFC" w:rsidP="00FA0B9F">
    <w:pPr>
      <w:ind w:right="360"/>
    </w:pPr>
    <w:r>
      <w:t>Attachments: atcm44_att050_e.docx: Attachment 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0A24" w14:textId="77777777" w:rsidR="00293CFC" w:rsidRDefault="00293CF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0DB2" w14:textId="77777777" w:rsidR="00E311C9" w:rsidRDefault="00293CFC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7216AD0" w14:textId="77777777" w:rsidR="00E311C9" w:rsidRDefault="00293CFC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2A52" w14:textId="77777777" w:rsidR="00000000" w:rsidRDefault="00293CFC">
      <w:r>
        <w:separator/>
      </w:r>
    </w:p>
  </w:footnote>
  <w:footnote w:type="continuationSeparator" w:id="0">
    <w:p w14:paraId="58DE09E3" w14:textId="77777777" w:rsidR="00000000" w:rsidRDefault="00293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A11" w14:textId="77777777" w:rsidR="00293CFC" w:rsidRDefault="00293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FA74BE" w14:paraId="3C497821" w14:textId="77777777" w:rsidTr="00490760">
      <w:trPr>
        <w:trHeight w:val="344"/>
        <w:jc w:val="center"/>
      </w:trPr>
      <w:tc>
        <w:tcPr>
          <w:tcW w:w="5495" w:type="dxa"/>
        </w:tcPr>
        <w:p w14:paraId="13FB9A9B" w14:textId="77777777" w:rsidR="00DB7C09" w:rsidRDefault="00293CFC" w:rsidP="00F968D4"/>
      </w:tc>
      <w:tc>
        <w:tcPr>
          <w:tcW w:w="4253" w:type="dxa"/>
          <w:gridSpan w:val="2"/>
        </w:tcPr>
        <w:p w14:paraId="3666E448" w14:textId="77777777" w:rsidR="00DB7C09" w:rsidRPr="00BD47E4" w:rsidRDefault="00293CFC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24506BEF" w14:textId="77777777" w:rsidR="00DB7C09" w:rsidRPr="00BD47E4" w:rsidRDefault="00293CFC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12</w:t>
          </w:r>
          <w:bookmarkEnd w:id="3"/>
        </w:p>
      </w:tc>
    </w:tr>
    <w:tr w:rsidR="00FA74BE" w14:paraId="62866C79" w14:textId="77777777" w:rsidTr="00490760">
      <w:trPr>
        <w:trHeight w:val="2165"/>
        <w:jc w:val="center"/>
      </w:trPr>
      <w:tc>
        <w:tcPr>
          <w:tcW w:w="5495" w:type="dxa"/>
        </w:tcPr>
        <w:p w14:paraId="69926EB1" w14:textId="77777777" w:rsidR="00490760" w:rsidRPr="00EE4D48" w:rsidRDefault="00293CFC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756C036" wp14:editId="4618A17F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865731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1AD5AF0" w14:textId="77777777" w:rsidR="00490760" w:rsidRPr="00FE5146" w:rsidRDefault="00293CFC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FA74BE" w14:paraId="701FDE58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9FC3C24" w14:textId="77777777" w:rsidR="00BD47E4" w:rsidRDefault="00293CFC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3C9C1748" w14:textId="77777777" w:rsidR="00BD47E4" w:rsidRDefault="00293CFC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4B35F5B4" w14:textId="77777777" w:rsidR="00BD47E4" w:rsidRDefault="00293CFC" w:rsidP="00387A65">
          <w:pPr>
            <w:jc w:val="right"/>
          </w:pPr>
        </w:p>
      </w:tc>
    </w:tr>
    <w:tr w:rsidR="00FA74BE" w14:paraId="12AC4C93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1A1BBA6" w14:textId="77777777" w:rsidR="00BD47E4" w:rsidRDefault="00293CFC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04A89584" w14:textId="77777777" w:rsidR="00BD47E4" w:rsidRDefault="00293CFC" w:rsidP="002C30DA">
          <w:pPr>
            <w:jc w:val="right"/>
          </w:pPr>
          <w:bookmarkStart w:id="5" w:name="party"/>
          <w:r>
            <w:t>Germany, United States</w:t>
          </w:r>
          <w:bookmarkEnd w:id="5"/>
        </w:p>
      </w:tc>
      <w:tc>
        <w:tcPr>
          <w:tcW w:w="390" w:type="dxa"/>
        </w:tcPr>
        <w:p w14:paraId="527CA3FF" w14:textId="77777777" w:rsidR="00BD47E4" w:rsidRDefault="00293CFC" w:rsidP="00387A65">
          <w:pPr>
            <w:jc w:val="right"/>
          </w:pPr>
        </w:p>
      </w:tc>
    </w:tr>
    <w:tr w:rsidR="00FA74BE" w14:paraId="0EB8D44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7025C32" w14:textId="77777777" w:rsidR="00BD47E4" w:rsidRDefault="00293CFC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3097DE3B" w14:textId="77777777" w:rsidR="00BD47E4" w:rsidRDefault="00293CFC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D353ED8" w14:textId="77777777" w:rsidR="00BD47E4" w:rsidRDefault="00293CFC" w:rsidP="00387A65">
          <w:pPr>
            <w:jc w:val="right"/>
          </w:pPr>
        </w:p>
      </w:tc>
    </w:tr>
    <w:tr w:rsidR="00FA74BE" w14:paraId="692FF54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3B3E87A" w14:textId="77777777" w:rsidR="0097629D" w:rsidRDefault="00293CFC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07EA7DDF" w14:textId="77777777" w:rsidR="0097629D" w:rsidRDefault="00293CFC" w:rsidP="0097629D">
          <w:pPr>
            <w:jc w:val="right"/>
          </w:pPr>
          <w:bookmarkStart w:id="7" w:name="date_submission"/>
          <w:r>
            <w:t>6/4/2022</w:t>
          </w:r>
          <w:bookmarkEnd w:id="7"/>
        </w:p>
      </w:tc>
      <w:tc>
        <w:tcPr>
          <w:tcW w:w="390" w:type="dxa"/>
        </w:tcPr>
        <w:p w14:paraId="49EB768E" w14:textId="77777777" w:rsidR="0097629D" w:rsidRDefault="00293CFC" w:rsidP="00387A65">
          <w:pPr>
            <w:jc w:val="right"/>
          </w:pPr>
        </w:p>
      </w:tc>
    </w:tr>
  </w:tbl>
  <w:p w14:paraId="6FE2BBBA" w14:textId="77777777" w:rsidR="00AE5DD0" w:rsidRDefault="00293CF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BB2F" w14:textId="77777777" w:rsidR="00293CFC" w:rsidRDefault="00293CF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FA74BE" w14:paraId="5FA202A6" w14:textId="77777777">
      <w:trPr>
        <w:trHeight w:val="354"/>
        <w:jc w:val="center"/>
      </w:trPr>
      <w:tc>
        <w:tcPr>
          <w:tcW w:w="9694" w:type="dxa"/>
        </w:tcPr>
        <w:p w14:paraId="67E6712D" w14:textId="7C1A4D31" w:rsidR="00AE5DD0" w:rsidRPr="00BD47E4" w:rsidRDefault="00293CFC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0E90AF4E" w14:textId="2DC18A1B" w:rsidR="00AE5DD0" w:rsidRPr="00BD47E4" w:rsidRDefault="00293CFC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12</w:t>
          </w:r>
        </w:p>
      </w:tc>
    </w:tr>
  </w:tbl>
  <w:p w14:paraId="654C86CD" w14:textId="77777777" w:rsidR="00AE5DD0" w:rsidRDefault="00293C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09D02F0"/>
    <w:multiLevelType w:val="hybridMultilevel"/>
    <w:tmpl w:val="C6961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77EA"/>
    <w:multiLevelType w:val="hybridMultilevel"/>
    <w:tmpl w:val="21A63D98"/>
    <w:lvl w:ilvl="0" w:tplc="E15C258E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838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CEC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A6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46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82C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C1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619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A62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35C15"/>
    <w:multiLevelType w:val="hybridMultilevel"/>
    <w:tmpl w:val="A8A2E45C"/>
    <w:lvl w:ilvl="0" w:tplc="3544F20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50EAB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843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68A9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A0D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B24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82A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A4F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FEAA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2F3AFA"/>
    <w:multiLevelType w:val="hybridMultilevel"/>
    <w:tmpl w:val="9DF09BE6"/>
    <w:lvl w:ilvl="0" w:tplc="8442688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4054456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9594CD98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CA70A82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0A108D2C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595ECAA0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E87A3D70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40822A7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5630DD9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5" w15:restartNumberingAfterBreak="0">
    <w:nsid w:val="67CD650C"/>
    <w:multiLevelType w:val="hybridMultilevel"/>
    <w:tmpl w:val="7B1A1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2657C"/>
    <w:multiLevelType w:val="hybridMultilevel"/>
    <w:tmpl w:val="0A8E2A84"/>
    <w:lvl w:ilvl="0" w:tplc="9B582B50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EE8C1C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6480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94B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0AE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CCA1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C29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CD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AE6E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161"/>
    <w:multiLevelType w:val="hybridMultilevel"/>
    <w:tmpl w:val="B0868D9E"/>
    <w:lvl w:ilvl="0" w:tplc="3CAE33BA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B16646A6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DDE8A0E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B1687F4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EA5C7FE2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6C743760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E09678E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249E0784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B4F24E06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75435694"/>
    <w:multiLevelType w:val="hybridMultilevel"/>
    <w:tmpl w:val="DF265658"/>
    <w:lvl w:ilvl="0" w:tplc="E37CBB52">
      <w:start w:val="1"/>
      <w:numFmt w:val="decimal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6FC0"/>
    <w:multiLevelType w:val="hybridMultilevel"/>
    <w:tmpl w:val="57EA2900"/>
    <w:lvl w:ilvl="0" w:tplc="09101A6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800D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A99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16B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EA8C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9AB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3A0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0F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3E73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91058B"/>
    <w:multiLevelType w:val="hybridMultilevel"/>
    <w:tmpl w:val="BB485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19024">
    <w:abstractNumId w:val="9"/>
  </w:num>
  <w:num w:numId="2" w16cid:durableId="722366292">
    <w:abstractNumId w:val="7"/>
  </w:num>
  <w:num w:numId="3" w16cid:durableId="1974365257">
    <w:abstractNumId w:val="6"/>
  </w:num>
  <w:num w:numId="4" w16cid:durableId="1952085328">
    <w:abstractNumId w:val="5"/>
  </w:num>
  <w:num w:numId="5" w16cid:durableId="1840730039">
    <w:abstractNumId w:val="4"/>
  </w:num>
  <w:num w:numId="6" w16cid:durableId="958797420">
    <w:abstractNumId w:val="8"/>
  </w:num>
  <w:num w:numId="7" w16cid:durableId="698286422">
    <w:abstractNumId w:val="3"/>
  </w:num>
  <w:num w:numId="8" w16cid:durableId="1156845333">
    <w:abstractNumId w:val="2"/>
  </w:num>
  <w:num w:numId="9" w16cid:durableId="773523509">
    <w:abstractNumId w:val="1"/>
  </w:num>
  <w:num w:numId="10" w16cid:durableId="523517788">
    <w:abstractNumId w:val="0"/>
  </w:num>
  <w:num w:numId="11" w16cid:durableId="1441756709">
    <w:abstractNumId w:val="12"/>
  </w:num>
  <w:num w:numId="12" w16cid:durableId="439640163">
    <w:abstractNumId w:val="17"/>
  </w:num>
  <w:num w:numId="13" w16cid:durableId="1656178547">
    <w:abstractNumId w:val="16"/>
  </w:num>
  <w:num w:numId="14" w16cid:durableId="1275209978">
    <w:abstractNumId w:val="13"/>
  </w:num>
  <w:num w:numId="15" w16cid:durableId="1149637589">
    <w:abstractNumId w:val="14"/>
  </w:num>
  <w:num w:numId="16" w16cid:durableId="1988313895">
    <w:abstractNumId w:val="10"/>
  </w:num>
  <w:num w:numId="17" w16cid:durableId="1232084772">
    <w:abstractNumId w:val="12"/>
  </w:num>
  <w:num w:numId="18" w16cid:durableId="1932663697">
    <w:abstractNumId w:val="17"/>
  </w:num>
  <w:num w:numId="19" w16cid:durableId="1379015556">
    <w:abstractNumId w:val="16"/>
  </w:num>
  <w:num w:numId="20" w16cid:durableId="1215388464">
    <w:abstractNumId w:val="19"/>
  </w:num>
  <w:num w:numId="21" w16cid:durableId="1364138531">
    <w:abstractNumId w:val="15"/>
  </w:num>
  <w:num w:numId="22" w16cid:durableId="9178342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30972782">
    <w:abstractNumId w:val="20"/>
  </w:num>
  <w:num w:numId="24" w16cid:durableId="3185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BE"/>
    <w:rsid w:val="00293CFC"/>
    <w:rsid w:val="00F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8F02808"/>
  <w15:chartTrackingRefBased/>
  <w15:docId w15:val="{9433E971-6606-47A5-8471-723634C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link w:val="ATSNormalChar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customStyle="1" w:styleId="Default">
    <w:name w:val="Default"/>
    <w:rsid w:val="00293CFC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de-DE" w:eastAsia="en-US"/>
    </w:rPr>
  </w:style>
  <w:style w:type="character" w:customStyle="1" w:styleId="ATSNormalChar">
    <w:name w:val="ATS Normal Char"/>
    <w:link w:val="ATSNormal"/>
    <w:locked/>
    <w:rsid w:val="00293CFC"/>
    <w:rPr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2022-04-07T09:37:00Z</dcterms:modified>
</cp:coreProperties>
</file>