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84EF" w14:textId="77777777" w:rsidR="00C26F2D" w:rsidRPr="00BF077B" w:rsidRDefault="00F16105" w:rsidP="00BF077B">
      <w:pPr>
        <w:pStyle w:val="ATSNormal"/>
        <w:rPr>
          <w:rStyle w:val="Ttulodellibro"/>
        </w:rPr>
      </w:pPr>
    </w:p>
    <w:p w14:paraId="28CA9D2B" w14:textId="77777777" w:rsidR="002F0A13" w:rsidRDefault="00F16105" w:rsidP="004B4A60">
      <w:pPr>
        <w:rPr>
          <w:b/>
          <w:u w:val="single"/>
          <w:lang w:val="es-ES_tradnl"/>
        </w:rPr>
      </w:pPr>
    </w:p>
    <w:p w14:paraId="7FFC3403" w14:textId="77777777" w:rsidR="002F0A13" w:rsidRDefault="00F16105" w:rsidP="004B4A60">
      <w:pPr>
        <w:rPr>
          <w:b/>
          <w:u w:val="single"/>
          <w:lang w:val="es-ES_tradnl"/>
        </w:rPr>
      </w:pPr>
    </w:p>
    <w:p w14:paraId="09645C8A" w14:textId="77777777" w:rsidR="002F0A13" w:rsidRDefault="00F16105" w:rsidP="004B4A60">
      <w:pPr>
        <w:rPr>
          <w:b/>
          <w:u w:val="single"/>
          <w:lang w:val="es-ES_tradnl"/>
        </w:rPr>
      </w:pPr>
    </w:p>
    <w:p w14:paraId="6A3EE0F0" w14:textId="77777777" w:rsidR="002F0A13" w:rsidRDefault="00F16105" w:rsidP="004B4A60">
      <w:pPr>
        <w:rPr>
          <w:b/>
          <w:u w:val="single"/>
          <w:lang w:val="es-ES_tradnl"/>
        </w:rPr>
      </w:pPr>
    </w:p>
    <w:p w14:paraId="094849FB" w14:textId="77777777" w:rsidR="00C26F2D" w:rsidRDefault="00F16105" w:rsidP="004B4A60">
      <w:pPr>
        <w:rPr>
          <w:b/>
          <w:u w:val="single"/>
          <w:lang w:val="es-ES_tradnl"/>
        </w:rPr>
      </w:pPr>
    </w:p>
    <w:p w14:paraId="354AE026" w14:textId="663066E0" w:rsidR="004B4A60" w:rsidRPr="0057246E" w:rsidRDefault="00F16105" w:rsidP="001B789F">
      <w:pPr>
        <w:pStyle w:val="ATSTitle"/>
      </w:pPr>
      <w:bookmarkStart w:id="0" w:name="name"/>
      <w:r>
        <w:t>Prior assessment of a proposed Ant</w:t>
      </w:r>
      <w:r>
        <w:t>arctic Specially Protected Area at Danger Islands Archipelago (North-eastern Antarctic Peninsula)</w:t>
      </w:r>
      <w:bookmarkEnd w:id="0"/>
    </w:p>
    <w:p w14:paraId="1485F3F7" w14:textId="77777777" w:rsidR="004B4A60" w:rsidRPr="0057246E" w:rsidRDefault="00F16105" w:rsidP="00F75424">
      <w:pPr>
        <w:jc w:val="center"/>
      </w:pPr>
    </w:p>
    <w:p w14:paraId="71ECFC41" w14:textId="77777777" w:rsidR="004B4A60" w:rsidRPr="002F0A13" w:rsidRDefault="00F16105" w:rsidP="002F0A13"/>
    <w:p w14:paraId="2B964C4A" w14:textId="77777777" w:rsidR="004B4A60" w:rsidRDefault="00F16105" w:rsidP="00F75424">
      <w:pPr>
        <w:jc w:val="center"/>
      </w:pPr>
      <w:bookmarkStart w:id="1" w:name="memo"/>
      <w:bookmarkEnd w:id="1"/>
    </w:p>
    <w:p w14:paraId="3FF98455" w14:textId="77777777" w:rsidR="0097629D" w:rsidRDefault="00F16105" w:rsidP="00F75424">
      <w:pPr>
        <w:jc w:val="center"/>
      </w:pPr>
    </w:p>
    <w:p w14:paraId="6256755D" w14:textId="77777777" w:rsidR="0097629D" w:rsidRDefault="00F16105" w:rsidP="00F75424">
      <w:pPr>
        <w:jc w:val="center"/>
      </w:pPr>
    </w:p>
    <w:p w14:paraId="29E14B60" w14:textId="77777777" w:rsidR="0097629D" w:rsidRDefault="00F16105" w:rsidP="00F75424">
      <w:pPr>
        <w:jc w:val="center"/>
      </w:pPr>
    </w:p>
    <w:p w14:paraId="43156C81" w14:textId="77777777" w:rsidR="0097629D" w:rsidRPr="00C26F2D" w:rsidRDefault="00F16105" w:rsidP="00F75424">
      <w:pPr>
        <w:jc w:val="center"/>
      </w:pPr>
    </w:p>
    <w:p w14:paraId="27F06768" w14:textId="77777777" w:rsidR="004B4A60" w:rsidRPr="0057246E" w:rsidRDefault="00F16105" w:rsidP="004B4A60"/>
    <w:p w14:paraId="4CBBD2C1" w14:textId="77777777" w:rsidR="00C26F2D" w:rsidRDefault="00F16105" w:rsidP="00952E9F">
      <w:pPr>
        <w:sectPr w:rsidR="00C26F2D" w:rsidSect="000E1D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C910503" w14:textId="65923CF1" w:rsidR="004B4A60" w:rsidRDefault="00F16105" w:rsidP="00952E9F"/>
    <w:p w14:paraId="3638DE11" w14:textId="1D30DB6B" w:rsidR="00F16105" w:rsidRDefault="00F16105" w:rsidP="00952E9F"/>
    <w:p w14:paraId="1DC7A11D" w14:textId="77777777" w:rsidR="00F16105" w:rsidRPr="00CB0BCC" w:rsidRDefault="00F16105" w:rsidP="00F16105">
      <w:pPr>
        <w:spacing w:before="360" w:after="120"/>
        <w:jc w:val="center"/>
        <w:rPr>
          <w:rFonts w:ascii="Arial" w:hAnsi="Arial" w:cs="Arial"/>
          <w:b/>
          <w:sz w:val="32"/>
          <w:szCs w:val="32"/>
        </w:rPr>
      </w:pPr>
      <w:r w:rsidRPr="00CB0BCC">
        <w:rPr>
          <w:rFonts w:ascii="Arial" w:hAnsi="Arial" w:cs="Arial"/>
          <w:b/>
          <w:sz w:val="32"/>
          <w:szCs w:val="32"/>
        </w:rPr>
        <w:t xml:space="preserve">Prior assessment of a proposed Antarctic Specially Protected Area at Danger Islands Archipelago </w:t>
      </w:r>
      <w:r w:rsidRPr="00CB0BCC">
        <w:rPr>
          <w:rFonts w:ascii="Arial" w:hAnsi="Arial" w:cs="Arial"/>
          <w:b/>
          <w:sz w:val="32"/>
          <w:szCs w:val="32"/>
        </w:rPr>
        <w:br/>
        <w:t>(North-eastern Antarctic Peninsula)</w:t>
      </w:r>
    </w:p>
    <w:p w14:paraId="0E7C9CCC" w14:textId="77777777" w:rsidR="00F16105" w:rsidRDefault="00F16105" w:rsidP="00F16105">
      <w:pPr>
        <w:spacing w:before="120" w:after="120"/>
        <w:jc w:val="center"/>
        <w:rPr>
          <w:rFonts w:ascii="Arial" w:hAnsi="Arial" w:cs="Arial"/>
          <w:b/>
          <w:szCs w:val="22"/>
        </w:rPr>
      </w:pPr>
    </w:p>
    <w:p w14:paraId="5D97E79E" w14:textId="77777777" w:rsidR="00F16105" w:rsidRPr="00B471D2" w:rsidRDefault="00F16105" w:rsidP="00F16105">
      <w:pPr>
        <w:spacing w:before="120" w:after="120"/>
        <w:jc w:val="center"/>
        <w:rPr>
          <w:rFonts w:ascii="Arial" w:hAnsi="Arial" w:cs="Arial"/>
          <w:b/>
          <w:szCs w:val="22"/>
        </w:rPr>
      </w:pPr>
      <w:r w:rsidRPr="00B471D2">
        <w:rPr>
          <w:rFonts w:ascii="Arial" w:hAnsi="Arial" w:cs="Arial"/>
          <w:b/>
          <w:szCs w:val="22"/>
        </w:rPr>
        <w:t>Working Paper submitted by Germany and the United States of America</w:t>
      </w:r>
    </w:p>
    <w:p w14:paraId="279D8A5E" w14:textId="77777777" w:rsidR="00F16105" w:rsidRPr="003E4BB8" w:rsidRDefault="00F16105" w:rsidP="00F16105">
      <w:pPr>
        <w:rPr>
          <w:b/>
          <w:sz w:val="28"/>
          <w:szCs w:val="28"/>
        </w:rPr>
      </w:pPr>
    </w:p>
    <w:p w14:paraId="61D1F630" w14:textId="77777777" w:rsidR="00F16105" w:rsidRPr="00CB0BCC" w:rsidRDefault="00F16105" w:rsidP="00F16105">
      <w:pPr>
        <w:spacing w:before="240" w:after="120"/>
        <w:rPr>
          <w:rFonts w:ascii="Arial" w:hAnsi="Arial" w:cs="Arial"/>
          <w:b/>
          <w:i/>
          <w:sz w:val="24"/>
        </w:rPr>
      </w:pPr>
      <w:r w:rsidRPr="00CB0BCC">
        <w:rPr>
          <w:rFonts w:ascii="Arial" w:hAnsi="Arial" w:cs="Arial"/>
          <w:b/>
          <w:i/>
          <w:sz w:val="24"/>
        </w:rPr>
        <w:t>Summary</w:t>
      </w:r>
    </w:p>
    <w:p w14:paraId="4EDE7890" w14:textId="77777777" w:rsidR="00F16105" w:rsidRDefault="00F16105" w:rsidP="00F16105">
      <w:pPr>
        <w:spacing w:before="120" w:after="120"/>
      </w:pPr>
      <w:r w:rsidRPr="003E4BB8">
        <w:t xml:space="preserve">A prior assessment for a proposed </w:t>
      </w:r>
      <w:r>
        <w:t xml:space="preserve">multi-site </w:t>
      </w:r>
      <w:r w:rsidRPr="003E4BB8">
        <w:t>Antarctic Specially Protected Area (ASPA) at Danger Islands Archipelago (North-eastern Antarctic Peninsula) has been</w:t>
      </w:r>
      <w:r>
        <w:t xml:space="preserve"> carried out by Germany </w:t>
      </w:r>
      <w:r w:rsidRPr="003E4BB8">
        <w:t xml:space="preserve">and the </w:t>
      </w:r>
      <w:r>
        <w:t xml:space="preserve">United States of America. </w:t>
      </w:r>
      <w:r w:rsidRPr="003E4BB8">
        <w:t xml:space="preserve">The proponents recommend that the CEP: (1) agrees that the values within the proposed ASPA merit special protection, (2) endorses the development of a Management Plan for the area, and (3) encourages interested Parties to work with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informally during the intersessional period in the development of a Management Plan for submission </w:t>
      </w:r>
      <w:r>
        <w:t>to</w:t>
      </w:r>
      <w:r w:rsidRPr="003E4BB8">
        <w:t xml:space="preserve"> CEP XX</w:t>
      </w:r>
      <w:r>
        <w:t>V</w:t>
      </w:r>
      <w:r w:rsidRPr="003E4BB8">
        <w:t>.</w:t>
      </w:r>
    </w:p>
    <w:p w14:paraId="47C40015" w14:textId="77777777" w:rsidR="00F16105" w:rsidRPr="00CB0BCC" w:rsidRDefault="00F16105" w:rsidP="00F16105">
      <w:pPr>
        <w:spacing w:before="240" w:after="120"/>
        <w:rPr>
          <w:rFonts w:ascii="Arial" w:hAnsi="Arial" w:cs="Arial"/>
          <w:b/>
          <w:i/>
          <w:sz w:val="24"/>
        </w:rPr>
      </w:pPr>
      <w:r w:rsidRPr="00CB0BCC">
        <w:rPr>
          <w:rFonts w:ascii="Arial" w:hAnsi="Arial" w:cs="Arial"/>
          <w:b/>
          <w:i/>
          <w:sz w:val="24"/>
        </w:rPr>
        <w:t>Introduction</w:t>
      </w:r>
    </w:p>
    <w:p w14:paraId="45440251" w14:textId="77777777" w:rsidR="00F16105" w:rsidRDefault="00F16105" w:rsidP="00F16105">
      <w:pPr>
        <w:pStyle w:val="ATSNormal"/>
        <w:rPr>
          <w:bCs/>
          <w:color w:val="222222"/>
          <w:szCs w:val="22"/>
          <w:shd w:val="clear" w:color="auto" w:fill="FFFFFF"/>
        </w:rPr>
      </w:pPr>
      <w:r>
        <w:t xml:space="preserve">In accordance with the provisions in Annex V to the Protocol on Environmental Protection to the Antarctic </w:t>
      </w:r>
      <w:r>
        <w:rPr>
          <w:szCs w:val="22"/>
        </w:rPr>
        <w:t xml:space="preserve">Treaty (the Protocol),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</w:t>
      </w:r>
      <w:r>
        <w:rPr>
          <w:szCs w:val="22"/>
        </w:rPr>
        <w:t xml:space="preserve">propose the establishment of an Antarctic Specially Protected Area (ASPA) </w:t>
      </w:r>
      <w:r w:rsidRPr="00B26D5D">
        <w:rPr>
          <w:szCs w:val="22"/>
        </w:rPr>
        <w:t>at Danger Islands Archipelago (North-eastern Antarctic Peninsula)</w:t>
      </w:r>
      <w:r>
        <w:rPr>
          <w:szCs w:val="22"/>
        </w:rPr>
        <w:t>.</w:t>
      </w:r>
    </w:p>
    <w:p w14:paraId="5D19AB5A" w14:textId="77777777" w:rsidR="00F16105" w:rsidRDefault="00F16105" w:rsidP="00F16105">
      <w:pPr>
        <w:pStyle w:val="ATSNormal"/>
        <w:rPr>
          <w:szCs w:val="22"/>
        </w:rPr>
      </w:pPr>
      <w:r w:rsidRPr="00B26D5D">
        <w:rPr>
          <w:szCs w:val="22"/>
        </w:rPr>
        <w:t xml:space="preserve">The proposed ASPA would be a multi-site ASPA intended primarily to protect a range of values.  </w:t>
      </w:r>
    </w:p>
    <w:p w14:paraId="3CCF71F0" w14:textId="77777777" w:rsidR="00F16105" w:rsidRPr="00435F61" w:rsidRDefault="00F16105" w:rsidP="00F16105">
      <w:pPr>
        <w:pStyle w:val="Default"/>
        <w:spacing w:before="120" w:after="120"/>
        <w:rPr>
          <w:rFonts w:ascii="Times New Roman" w:hAnsi="Times New Roman" w:cs="Times New Roman"/>
          <w:i/>
          <w:sz w:val="22"/>
          <w:szCs w:val="22"/>
        </w:rPr>
      </w:pPr>
      <w:r w:rsidRPr="00435F61">
        <w:rPr>
          <w:rFonts w:ascii="Times New Roman" w:hAnsi="Times New Roman" w:cs="Times New Roman"/>
          <w:i/>
          <w:sz w:val="22"/>
          <w:szCs w:val="22"/>
        </w:rPr>
        <w:t>Environmental values:</w:t>
      </w:r>
    </w:p>
    <w:p w14:paraId="7D52E0A5" w14:textId="77777777" w:rsidR="00F16105" w:rsidRDefault="00F16105" w:rsidP="00F16105">
      <w:pPr>
        <w:pStyle w:val="ATSNormal"/>
        <w:numPr>
          <w:ilvl w:val="0"/>
          <w:numId w:val="21"/>
        </w:numPr>
        <w:ind w:left="714" w:hanging="357"/>
        <w:rPr>
          <w:szCs w:val="22"/>
        </w:rPr>
      </w:pPr>
      <w:r>
        <w:rPr>
          <w:szCs w:val="22"/>
        </w:rPr>
        <w:t xml:space="preserve">Area in which &gt; 50 % of the Adélie penguin </w:t>
      </w:r>
      <w:r w:rsidRPr="00A529E9">
        <w:rPr>
          <w:szCs w:val="22"/>
        </w:rPr>
        <w:t>(</w:t>
      </w:r>
      <w:r w:rsidRPr="00336A53">
        <w:rPr>
          <w:i/>
          <w:szCs w:val="22"/>
        </w:rPr>
        <w:t>Pygoscelis ad</w:t>
      </w:r>
      <w:r w:rsidRPr="00040EBA">
        <w:rPr>
          <w:i/>
        </w:rPr>
        <w:t>e</w:t>
      </w:r>
      <w:r w:rsidRPr="00336A53">
        <w:rPr>
          <w:i/>
          <w:szCs w:val="22"/>
        </w:rPr>
        <w:t>liae</w:t>
      </w:r>
      <w:r w:rsidRPr="00A529E9">
        <w:rPr>
          <w:szCs w:val="22"/>
        </w:rPr>
        <w:t>)</w:t>
      </w:r>
      <w:r>
        <w:rPr>
          <w:szCs w:val="22"/>
        </w:rPr>
        <w:t xml:space="preserve"> population of the Antarctic Peninsula Region exist;</w:t>
      </w:r>
    </w:p>
    <w:p w14:paraId="6F811FB0" w14:textId="77777777" w:rsidR="00F16105" w:rsidRPr="00A529E9" w:rsidRDefault="00F16105" w:rsidP="00F16105">
      <w:pPr>
        <w:pStyle w:val="ATSNormal"/>
        <w:numPr>
          <w:ilvl w:val="0"/>
          <w:numId w:val="21"/>
        </w:numPr>
        <w:ind w:left="714" w:hanging="357"/>
        <w:rPr>
          <w:szCs w:val="22"/>
        </w:rPr>
      </w:pPr>
      <w:r>
        <w:rPr>
          <w:szCs w:val="22"/>
        </w:rPr>
        <w:t xml:space="preserve">Area with </w:t>
      </w:r>
      <w:r w:rsidRPr="00A529E9">
        <w:rPr>
          <w:szCs w:val="22"/>
        </w:rPr>
        <w:t>1.</w:t>
      </w:r>
      <w:r>
        <w:rPr>
          <w:szCs w:val="22"/>
        </w:rPr>
        <w:t xml:space="preserve">2 </w:t>
      </w:r>
      <w:r w:rsidRPr="00A529E9">
        <w:rPr>
          <w:szCs w:val="22"/>
        </w:rPr>
        <w:t>% of the global population of Antarctic shags (</w:t>
      </w:r>
      <w:r w:rsidRPr="0078760D">
        <w:rPr>
          <w:i/>
        </w:rPr>
        <w:t>Phalacrocorax atriceps</w:t>
      </w:r>
      <w:r w:rsidRPr="00A529E9">
        <w:rPr>
          <w:szCs w:val="22"/>
        </w:rPr>
        <w:t>)</w:t>
      </w:r>
      <w:r>
        <w:rPr>
          <w:szCs w:val="22"/>
        </w:rPr>
        <w:t>;</w:t>
      </w:r>
    </w:p>
    <w:p w14:paraId="47A9859E" w14:textId="77777777" w:rsidR="00F16105" w:rsidRDefault="00F16105" w:rsidP="00F16105">
      <w:pPr>
        <w:pStyle w:val="ATSNormal"/>
        <w:numPr>
          <w:ilvl w:val="0"/>
          <w:numId w:val="21"/>
        </w:numPr>
        <w:ind w:left="714" w:hanging="357"/>
        <w:rPr>
          <w:szCs w:val="22"/>
        </w:rPr>
      </w:pPr>
      <w:r>
        <w:rPr>
          <w:szCs w:val="22"/>
        </w:rPr>
        <w:t>Area of high biodiversity with breeding sites of 8 additional bird species.</w:t>
      </w:r>
    </w:p>
    <w:p w14:paraId="4D77E0C7" w14:textId="77777777" w:rsidR="00F16105" w:rsidRPr="00C76700" w:rsidRDefault="00F16105" w:rsidP="00F16105">
      <w:pPr>
        <w:pStyle w:val="Default"/>
        <w:spacing w:before="120" w:after="120"/>
        <w:rPr>
          <w:rFonts w:ascii="Times New Roman" w:hAnsi="Times New Roman" w:cs="Times New Roman"/>
          <w:i/>
          <w:sz w:val="22"/>
          <w:szCs w:val="22"/>
        </w:rPr>
      </w:pPr>
      <w:r w:rsidRPr="00C76700">
        <w:rPr>
          <w:rFonts w:ascii="Times New Roman" w:hAnsi="Times New Roman" w:cs="Times New Roman"/>
          <w:i/>
          <w:sz w:val="22"/>
          <w:szCs w:val="22"/>
        </w:rPr>
        <w:t>Scientific values:</w:t>
      </w:r>
    </w:p>
    <w:p w14:paraId="0AF71F18" w14:textId="77777777" w:rsidR="00F16105" w:rsidRPr="003B2530" w:rsidRDefault="00F16105" w:rsidP="00F16105">
      <w:pPr>
        <w:pStyle w:val="ATSNormal"/>
        <w:numPr>
          <w:ilvl w:val="0"/>
          <w:numId w:val="21"/>
        </w:numPr>
        <w:spacing w:after="0"/>
        <w:ind w:left="714" w:hanging="357"/>
        <w:rPr>
          <w:szCs w:val="22"/>
        </w:rPr>
      </w:pPr>
      <w:r>
        <w:rPr>
          <w:szCs w:val="22"/>
        </w:rPr>
        <w:t xml:space="preserve">Key area for </w:t>
      </w:r>
      <w:r w:rsidRPr="003B2530">
        <w:rPr>
          <w:szCs w:val="22"/>
        </w:rPr>
        <w:t>population monitoring of Adélie penguins (55</w:t>
      </w:r>
      <w:r>
        <w:rPr>
          <w:szCs w:val="22"/>
        </w:rPr>
        <w:t xml:space="preserve"> </w:t>
      </w:r>
      <w:r w:rsidRPr="003B2530">
        <w:rPr>
          <w:szCs w:val="22"/>
        </w:rPr>
        <w:t>% of the population of CCAMLR subarea 48.1)</w:t>
      </w:r>
      <w:r>
        <w:rPr>
          <w:szCs w:val="22"/>
        </w:rPr>
        <w:t>;</w:t>
      </w:r>
    </w:p>
    <w:p w14:paraId="4570854E" w14:textId="77777777" w:rsidR="00F16105" w:rsidRPr="003B2530" w:rsidRDefault="00F16105" w:rsidP="00F16105">
      <w:pPr>
        <w:pStyle w:val="ATSNormal"/>
        <w:numPr>
          <w:ilvl w:val="0"/>
          <w:numId w:val="21"/>
        </w:numPr>
        <w:spacing w:after="0"/>
        <w:ind w:left="714" w:hanging="357"/>
        <w:rPr>
          <w:szCs w:val="22"/>
        </w:rPr>
      </w:pPr>
      <w:r>
        <w:rPr>
          <w:szCs w:val="22"/>
        </w:rPr>
        <w:t xml:space="preserve">Key area for </w:t>
      </w:r>
      <w:r w:rsidRPr="003B2530">
        <w:rPr>
          <w:szCs w:val="22"/>
        </w:rPr>
        <w:t xml:space="preserve">understanding the ecology of the </w:t>
      </w:r>
      <w:r>
        <w:rPr>
          <w:szCs w:val="22"/>
        </w:rPr>
        <w:t>regional ecosystem</w:t>
      </w:r>
      <w:r w:rsidRPr="003B2530">
        <w:rPr>
          <w:szCs w:val="22"/>
        </w:rPr>
        <w:t xml:space="preserve"> </w:t>
      </w:r>
      <w:r>
        <w:rPr>
          <w:szCs w:val="22"/>
        </w:rPr>
        <w:t xml:space="preserve">with its </w:t>
      </w:r>
      <w:r w:rsidRPr="003B2530">
        <w:rPr>
          <w:szCs w:val="22"/>
        </w:rPr>
        <w:t xml:space="preserve">Adélie penguin population as a regional hotspot and representative for the </w:t>
      </w:r>
      <w:r>
        <w:rPr>
          <w:szCs w:val="22"/>
        </w:rPr>
        <w:t>relatively stable Weddell S</w:t>
      </w:r>
      <w:r w:rsidRPr="003B2530">
        <w:rPr>
          <w:szCs w:val="22"/>
        </w:rPr>
        <w:t>ea region colonies (compared to those in other areas)</w:t>
      </w:r>
      <w:r>
        <w:rPr>
          <w:szCs w:val="22"/>
        </w:rPr>
        <w:t>;</w:t>
      </w:r>
    </w:p>
    <w:p w14:paraId="08B6D3E9" w14:textId="77777777" w:rsidR="00F16105" w:rsidRDefault="00F16105" w:rsidP="00F16105">
      <w:pPr>
        <w:pStyle w:val="ATSNormal"/>
        <w:numPr>
          <w:ilvl w:val="0"/>
          <w:numId w:val="21"/>
        </w:numPr>
        <w:spacing w:after="0"/>
        <w:ind w:left="714" w:hanging="357"/>
        <w:rPr>
          <w:szCs w:val="22"/>
        </w:rPr>
      </w:pPr>
      <w:r>
        <w:rPr>
          <w:szCs w:val="22"/>
        </w:rPr>
        <w:t xml:space="preserve">Large deposits of ornithogenic soils provide high potentials for studying </w:t>
      </w:r>
      <w:r w:rsidRPr="003B2530">
        <w:rPr>
          <w:szCs w:val="22"/>
        </w:rPr>
        <w:t>paleoecology</w:t>
      </w:r>
      <w:r>
        <w:rPr>
          <w:szCs w:val="22"/>
        </w:rPr>
        <w:t>.</w:t>
      </w:r>
      <w:r w:rsidRPr="003B2530">
        <w:rPr>
          <w:szCs w:val="22"/>
        </w:rPr>
        <w:t xml:space="preserve"> </w:t>
      </w:r>
    </w:p>
    <w:p w14:paraId="68EC4B90" w14:textId="77777777" w:rsidR="00F16105" w:rsidRPr="00C76700" w:rsidRDefault="00F16105" w:rsidP="00F16105">
      <w:pPr>
        <w:pStyle w:val="Default"/>
        <w:spacing w:before="120" w:after="120"/>
        <w:rPr>
          <w:rFonts w:ascii="Times New Roman" w:hAnsi="Times New Roman" w:cs="Times New Roman"/>
          <w:i/>
          <w:sz w:val="22"/>
          <w:szCs w:val="22"/>
        </w:rPr>
      </w:pPr>
      <w:r w:rsidRPr="00C76700">
        <w:rPr>
          <w:rFonts w:ascii="Times New Roman" w:hAnsi="Times New Roman" w:cs="Times New Roman"/>
          <w:i/>
          <w:sz w:val="22"/>
          <w:szCs w:val="22"/>
        </w:rPr>
        <w:t>Wilderness values:</w:t>
      </w:r>
    </w:p>
    <w:p w14:paraId="4C1BBCD0" w14:textId="77777777" w:rsidR="00F16105" w:rsidRDefault="00F16105" w:rsidP="00F16105">
      <w:pPr>
        <w:pStyle w:val="ATSNormal"/>
        <w:numPr>
          <w:ilvl w:val="0"/>
          <w:numId w:val="22"/>
        </w:numPr>
        <w:ind w:left="714" w:hanging="357"/>
        <w:rPr>
          <w:szCs w:val="22"/>
        </w:rPr>
      </w:pPr>
      <w:r>
        <w:rPr>
          <w:szCs w:val="22"/>
        </w:rPr>
        <w:t>Low or medium human footprint for the different sites of the area.</w:t>
      </w:r>
    </w:p>
    <w:p w14:paraId="5F2747CF" w14:textId="77777777" w:rsidR="00F16105" w:rsidRPr="00C76700" w:rsidRDefault="00F16105" w:rsidP="00F16105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</w:rPr>
      </w:pPr>
      <w:r w:rsidRPr="00C76700">
        <w:rPr>
          <w:rFonts w:ascii="Times New Roman" w:hAnsi="Times New Roman" w:cs="Times New Roman"/>
          <w:i/>
          <w:sz w:val="22"/>
          <w:szCs w:val="22"/>
        </w:rPr>
        <w:t>Aestethic values:</w:t>
      </w:r>
    </w:p>
    <w:p w14:paraId="00FABEA6" w14:textId="77777777" w:rsidR="00F16105" w:rsidRDefault="00F16105" w:rsidP="00F16105">
      <w:pPr>
        <w:pStyle w:val="ATSNormal"/>
        <w:numPr>
          <w:ilvl w:val="0"/>
          <w:numId w:val="22"/>
        </w:numPr>
        <w:ind w:left="714" w:hanging="357"/>
        <w:rPr>
          <w:szCs w:val="22"/>
        </w:rPr>
      </w:pPr>
      <w:r>
        <w:rPr>
          <w:szCs w:val="22"/>
        </w:rPr>
        <w:t>Medium because of</w:t>
      </w:r>
      <w:r>
        <w:t xml:space="preserve"> </w:t>
      </w:r>
      <w:r w:rsidRPr="009057EA">
        <w:t xml:space="preserve">spectacular geomorphological formations </w:t>
      </w:r>
      <w:r>
        <w:t>in some areas.</w:t>
      </w:r>
    </w:p>
    <w:p w14:paraId="2E708FBE" w14:textId="77777777" w:rsidR="00F16105" w:rsidRDefault="00F16105" w:rsidP="00F16105">
      <w:pPr>
        <w:pStyle w:val="ATSNormal"/>
        <w:spacing w:after="0"/>
        <w:rPr>
          <w:szCs w:val="22"/>
        </w:rPr>
      </w:pPr>
    </w:p>
    <w:p w14:paraId="2F4730A9" w14:textId="77777777" w:rsidR="00F16105" w:rsidRDefault="00F16105" w:rsidP="00F16105">
      <w:pPr>
        <w:rPr>
          <w:b/>
          <w:sz w:val="24"/>
        </w:rPr>
      </w:pPr>
      <w:r>
        <w:rPr>
          <w:b/>
          <w:sz w:val="24"/>
        </w:rPr>
        <w:br w:type="page"/>
      </w:r>
    </w:p>
    <w:p w14:paraId="5922910E" w14:textId="77777777" w:rsidR="00F16105" w:rsidRPr="00CB0BCC" w:rsidRDefault="00F16105" w:rsidP="00F16105">
      <w:pPr>
        <w:spacing w:before="240" w:after="120"/>
        <w:rPr>
          <w:rFonts w:ascii="Arial" w:hAnsi="Arial" w:cs="Arial"/>
          <w:b/>
          <w:i/>
          <w:sz w:val="24"/>
        </w:rPr>
      </w:pPr>
      <w:r w:rsidRPr="00CB0BCC">
        <w:rPr>
          <w:rFonts w:ascii="Arial" w:hAnsi="Arial" w:cs="Arial"/>
          <w:b/>
          <w:i/>
          <w:sz w:val="24"/>
        </w:rPr>
        <w:lastRenderedPageBreak/>
        <w:t xml:space="preserve">Prior assessment </w:t>
      </w:r>
    </w:p>
    <w:p w14:paraId="1E23BD7D" w14:textId="77777777" w:rsidR="00F16105" w:rsidRPr="00772F17" w:rsidRDefault="00F16105" w:rsidP="00F16105">
      <w:pPr>
        <w:pStyle w:val="ATSNormal"/>
        <w:rPr>
          <w:szCs w:val="22"/>
        </w:rPr>
      </w:pPr>
      <w:r w:rsidRPr="00772F17">
        <w:rPr>
          <w:szCs w:val="22"/>
        </w:rPr>
        <w:t>Following discussions at CEP XX</w:t>
      </w:r>
      <w:r>
        <w:rPr>
          <w:szCs w:val="22"/>
        </w:rPr>
        <w:t xml:space="preserve"> (2017)</w:t>
      </w:r>
      <w:r w:rsidRPr="00772F17">
        <w:rPr>
          <w:szCs w:val="22"/>
        </w:rPr>
        <w:t xml:space="preserve">, the </w:t>
      </w:r>
      <w:r w:rsidRPr="00336A53">
        <w:rPr>
          <w:i/>
          <w:szCs w:val="22"/>
        </w:rPr>
        <w:t xml:space="preserve">Guidelines: A prior assessment process for the designation of ASPAs and ASMAs </w:t>
      </w:r>
      <w:r w:rsidRPr="00772F17">
        <w:rPr>
          <w:szCs w:val="22"/>
        </w:rPr>
        <w:t>were updated to include a non-mandatory ASPA prior assessment template to facilitate the provision of information c</w:t>
      </w:r>
      <w:r>
        <w:rPr>
          <w:szCs w:val="22"/>
        </w:rPr>
        <w:t xml:space="preserve">onsistent with the Guidelines </w:t>
      </w:r>
      <w:bookmarkStart w:id="8" w:name="_Hlk98490389"/>
      <w:r>
        <w:rPr>
          <w:szCs w:val="22"/>
        </w:rPr>
        <w:t>(</w:t>
      </w:r>
      <w:bookmarkStart w:id="9" w:name="_Hlk98942283"/>
      <w:r>
        <w:rPr>
          <w:szCs w:val="22"/>
        </w:rPr>
        <w:t>CEP XX report, Appendix A</w:t>
      </w:r>
      <w:bookmarkEnd w:id="9"/>
      <w:r>
        <w:rPr>
          <w:szCs w:val="22"/>
        </w:rPr>
        <w:t>)</w:t>
      </w:r>
      <w:bookmarkEnd w:id="8"/>
      <w:r>
        <w:rPr>
          <w:szCs w:val="22"/>
        </w:rPr>
        <w:t xml:space="preserve">.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</w:t>
      </w:r>
      <w:r w:rsidRPr="00772F17">
        <w:rPr>
          <w:szCs w:val="22"/>
        </w:rPr>
        <w:t>have completed the prior assessment template for the proposed ASPA (see Attachment A), which includes map</w:t>
      </w:r>
      <w:r>
        <w:rPr>
          <w:szCs w:val="22"/>
        </w:rPr>
        <w:t>s, photos</w:t>
      </w:r>
      <w:r w:rsidRPr="00772F17">
        <w:rPr>
          <w:szCs w:val="22"/>
        </w:rPr>
        <w:t xml:space="preserve"> and </w:t>
      </w:r>
      <w:r>
        <w:rPr>
          <w:szCs w:val="22"/>
        </w:rPr>
        <w:t xml:space="preserve">a </w:t>
      </w:r>
      <w:r w:rsidRPr="00772F17">
        <w:rPr>
          <w:szCs w:val="22"/>
        </w:rPr>
        <w:t>list of relevant publications.</w:t>
      </w:r>
    </w:p>
    <w:p w14:paraId="5C2915B6" w14:textId="77777777" w:rsidR="00F16105" w:rsidRDefault="00F16105" w:rsidP="00F16105">
      <w:pPr>
        <w:pStyle w:val="ATSNormal"/>
        <w:rPr>
          <w:szCs w:val="22"/>
        </w:rPr>
      </w:pPr>
      <w:r w:rsidRPr="00772F17">
        <w:rPr>
          <w:szCs w:val="22"/>
        </w:rPr>
        <w:t xml:space="preserve">If the CEP agrees that the area merits special protection,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</w:t>
      </w:r>
      <w:r w:rsidRPr="00772F17">
        <w:rPr>
          <w:szCs w:val="22"/>
        </w:rPr>
        <w:t xml:space="preserve">intend to develop intersessionally a Management Plan for the proposed ASPA in collaboration with all interested </w:t>
      </w:r>
      <w:r>
        <w:rPr>
          <w:szCs w:val="22"/>
        </w:rPr>
        <w:t>p</w:t>
      </w:r>
      <w:r w:rsidRPr="00772F17">
        <w:rPr>
          <w:szCs w:val="22"/>
        </w:rPr>
        <w:t xml:space="preserve">arties </w:t>
      </w:r>
      <w:r>
        <w:rPr>
          <w:szCs w:val="22"/>
        </w:rPr>
        <w:t>to</w:t>
      </w:r>
      <w:r w:rsidRPr="00772F17">
        <w:rPr>
          <w:szCs w:val="22"/>
        </w:rPr>
        <w:t xml:space="preserve"> be submitted for consideration during CEP XX</w:t>
      </w:r>
      <w:r>
        <w:rPr>
          <w:szCs w:val="22"/>
        </w:rPr>
        <w:t>V</w:t>
      </w:r>
      <w:r w:rsidRPr="00772F17">
        <w:rPr>
          <w:szCs w:val="22"/>
        </w:rPr>
        <w:t>.</w:t>
      </w:r>
    </w:p>
    <w:p w14:paraId="2F32D4E3" w14:textId="77777777" w:rsidR="00F16105" w:rsidRPr="00CB0BCC" w:rsidRDefault="00F16105" w:rsidP="00F16105">
      <w:pPr>
        <w:spacing w:before="240" w:after="120"/>
        <w:rPr>
          <w:rFonts w:ascii="Arial" w:hAnsi="Arial" w:cs="Arial"/>
          <w:b/>
          <w:i/>
          <w:sz w:val="24"/>
        </w:rPr>
      </w:pPr>
      <w:r w:rsidRPr="00CB0BCC">
        <w:rPr>
          <w:rFonts w:ascii="Arial" w:hAnsi="Arial" w:cs="Arial"/>
          <w:b/>
          <w:i/>
          <w:sz w:val="24"/>
        </w:rPr>
        <w:t xml:space="preserve">Recommendations </w:t>
      </w:r>
    </w:p>
    <w:p w14:paraId="4C1DE646" w14:textId="77777777" w:rsidR="00F16105" w:rsidRPr="00772F17" w:rsidRDefault="00F16105" w:rsidP="00F16105">
      <w:pPr>
        <w:autoSpaceDE w:val="0"/>
        <w:autoSpaceDN w:val="0"/>
        <w:adjustRightInd w:val="0"/>
        <w:spacing w:before="120" w:after="120"/>
      </w:pPr>
      <w:r>
        <w:t xml:space="preserve">Germany </w:t>
      </w:r>
      <w:r w:rsidRPr="003E4BB8">
        <w:t xml:space="preserve">and the </w:t>
      </w:r>
      <w:r>
        <w:t xml:space="preserve">United States of America </w:t>
      </w:r>
      <w:r w:rsidRPr="00772F17">
        <w:t>recommend that the CE</w:t>
      </w:r>
      <w:r w:rsidRPr="00B16866">
        <w:t>P</w:t>
      </w:r>
      <w:r w:rsidRPr="00772F17">
        <w:t xml:space="preserve">: </w:t>
      </w:r>
    </w:p>
    <w:p w14:paraId="3217F528" w14:textId="77777777" w:rsidR="00F16105" w:rsidRDefault="00F16105" w:rsidP="00F1610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/>
        <w:ind w:left="425" w:hanging="425"/>
      </w:pPr>
      <w:bookmarkStart w:id="10" w:name="_Hlk98942384"/>
      <w:bookmarkStart w:id="11" w:name="_Hlk98942366"/>
      <w:r>
        <w:t>notes the completed</w:t>
      </w:r>
      <w:r w:rsidRPr="00B16866">
        <w:t xml:space="preserve"> prior assessment for a proposed multi-site Antarctic Specially Protected Area at Danger Islands Archipelago (North-eastern Antarctic Peninsula)</w:t>
      </w:r>
      <w:r>
        <w:t xml:space="preserve"> at Attachment A</w:t>
      </w:r>
      <w:bookmarkEnd w:id="10"/>
      <w:r>
        <w:t>;</w:t>
      </w:r>
    </w:p>
    <w:bookmarkEnd w:id="11"/>
    <w:p w14:paraId="5C24BE52" w14:textId="77777777" w:rsidR="00F16105" w:rsidRPr="00772F17" w:rsidRDefault="00F16105" w:rsidP="00F1610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/>
        <w:ind w:left="425" w:hanging="425"/>
      </w:pPr>
      <w:r w:rsidRPr="00772F17">
        <w:t xml:space="preserve">agrees that the values within the proposed ASPA merit special protection, as described under Annex V to the Protocol; </w:t>
      </w:r>
    </w:p>
    <w:p w14:paraId="08A631E0" w14:textId="77777777" w:rsidR="00F16105" w:rsidRPr="00772F17" w:rsidRDefault="00F16105" w:rsidP="00F1610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/>
        <w:ind w:left="425" w:hanging="425"/>
        <w:rPr>
          <w:rFonts w:eastAsia="TimesNewRomanPSMT"/>
          <w:lang w:eastAsia="ja-JP"/>
        </w:rPr>
      </w:pPr>
      <w:r w:rsidRPr="00772F17">
        <w:t xml:space="preserve">endorses the development of a Management Plan for the Area, led by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772F17">
        <w:t>; and</w:t>
      </w:r>
    </w:p>
    <w:p w14:paraId="6AD408EF" w14:textId="77777777" w:rsidR="00F16105" w:rsidRPr="004469AC" w:rsidRDefault="00F16105" w:rsidP="00F1610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/>
        <w:ind w:left="425" w:hanging="425"/>
        <w:rPr>
          <w:rFonts w:eastAsia="TimesNewRomanPSMT"/>
          <w:lang w:eastAsia="ja-JP"/>
        </w:rPr>
      </w:pPr>
      <w:r w:rsidRPr="00772F17">
        <w:t xml:space="preserve">encourages interested </w:t>
      </w:r>
      <w:r>
        <w:t>p</w:t>
      </w:r>
      <w:r w:rsidRPr="00772F17">
        <w:t xml:space="preserve">arties to work with </w:t>
      </w:r>
      <w:r>
        <w:t xml:space="preserve">Germany </w:t>
      </w:r>
      <w:r w:rsidRPr="003E4BB8">
        <w:t xml:space="preserve">and the </w:t>
      </w:r>
      <w:r>
        <w:t xml:space="preserve">United States of America </w:t>
      </w:r>
      <w:r w:rsidRPr="00772F17">
        <w:t xml:space="preserve">informally during the intersessional period in the development of a Management Plan for submission </w:t>
      </w:r>
      <w:r>
        <w:t>to</w:t>
      </w:r>
      <w:r w:rsidRPr="00772F17">
        <w:t xml:space="preserve"> CEP XX</w:t>
      </w:r>
      <w:r>
        <w:t>V</w:t>
      </w:r>
      <w:r w:rsidRPr="00772F17">
        <w:t>.</w:t>
      </w:r>
      <w:r w:rsidRPr="00772F17">
        <w:rPr>
          <w:rFonts w:eastAsia="TimesNewRomanPSMT"/>
          <w:lang w:eastAsia="ja-JP"/>
        </w:rPr>
        <w:t xml:space="preserve"> </w:t>
      </w:r>
    </w:p>
    <w:p w14:paraId="765E614C" w14:textId="77777777" w:rsidR="00F16105" w:rsidRDefault="00F16105" w:rsidP="00952E9F"/>
    <w:sectPr w:rsidR="00F16105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C18F" w14:textId="77777777" w:rsidR="00000000" w:rsidRDefault="00F16105">
      <w:r>
        <w:separator/>
      </w:r>
    </w:p>
  </w:endnote>
  <w:endnote w:type="continuationSeparator" w:id="0">
    <w:p w14:paraId="74D229A5" w14:textId="77777777" w:rsidR="00000000" w:rsidRDefault="00F1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4421" w14:textId="77777777" w:rsidR="00FA0B9F" w:rsidRDefault="00F1610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1E56526" w14:textId="77777777" w:rsidR="00FA0B9F" w:rsidRDefault="00F16105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2D66" w14:textId="77777777" w:rsidR="00FA0B9F" w:rsidRDefault="00F1610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128924D" w14:textId="1E1AE6CD" w:rsidR="00FA0B9F" w:rsidRDefault="00F16105" w:rsidP="00FA0B9F">
    <w:pPr>
      <w:ind w:right="360"/>
    </w:pPr>
    <w:r>
      <w:t>Attachments: atcm44_att051_e.docx: Attachment 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5416" w14:textId="77777777" w:rsidR="00F16105" w:rsidRDefault="00F1610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3650" w14:textId="77777777" w:rsidR="00E311C9" w:rsidRDefault="00F1610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25E5B47" w14:textId="77777777" w:rsidR="00E311C9" w:rsidRDefault="00F16105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2832" w14:textId="77777777" w:rsidR="00000000" w:rsidRDefault="00F16105">
      <w:r>
        <w:separator/>
      </w:r>
    </w:p>
  </w:footnote>
  <w:footnote w:type="continuationSeparator" w:id="0">
    <w:p w14:paraId="2E0F6DC3" w14:textId="77777777" w:rsidR="00000000" w:rsidRDefault="00F16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1728" w14:textId="77777777" w:rsidR="00F16105" w:rsidRDefault="00F161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905A86" w14:paraId="62D6056A" w14:textId="77777777" w:rsidTr="00490760">
      <w:trPr>
        <w:trHeight w:val="344"/>
        <w:jc w:val="center"/>
      </w:trPr>
      <w:tc>
        <w:tcPr>
          <w:tcW w:w="5495" w:type="dxa"/>
        </w:tcPr>
        <w:p w14:paraId="098D617C" w14:textId="77777777" w:rsidR="00DB7C09" w:rsidRDefault="00F16105" w:rsidP="00F968D4"/>
      </w:tc>
      <w:tc>
        <w:tcPr>
          <w:tcW w:w="4253" w:type="dxa"/>
          <w:gridSpan w:val="2"/>
        </w:tcPr>
        <w:p w14:paraId="0FE18EE4" w14:textId="77777777" w:rsidR="00DB7C09" w:rsidRPr="00BD47E4" w:rsidRDefault="00F16105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5B33872F" w14:textId="77777777" w:rsidR="00DB7C09" w:rsidRPr="00BD47E4" w:rsidRDefault="00F16105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13</w:t>
          </w:r>
          <w:bookmarkEnd w:id="3"/>
        </w:p>
      </w:tc>
    </w:tr>
    <w:tr w:rsidR="00905A86" w14:paraId="5035A55D" w14:textId="77777777" w:rsidTr="00490760">
      <w:trPr>
        <w:trHeight w:val="2165"/>
        <w:jc w:val="center"/>
      </w:trPr>
      <w:tc>
        <w:tcPr>
          <w:tcW w:w="5495" w:type="dxa"/>
        </w:tcPr>
        <w:p w14:paraId="479AB090" w14:textId="77777777" w:rsidR="00490760" w:rsidRPr="00EE4D48" w:rsidRDefault="00F16105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3CBD6C4" wp14:editId="2DFAF818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122325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14746439" w14:textId="77777777" w:rsidR="00490760" w:rsidRPr="00FE5146" w:rsidRDefault="00F16105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905A86" w14:paraId="1018EE89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515C5A4" w14:textId="77777777" w:rsidR="00BD47E4" w:rsidRDefault="00F16105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1F4BEACA" w14:textId="77777777" w:rsidR="00BD47E4" w:rsidRDefault="00F16105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3E7B026D" w14:textId="77777777" w:rsidR="00BD47E4" w:rsidRDefault="00F16105" w:rsidP="00387A65">
          <w:pPr>
            <w:jc w:val="right"/>
          </w:pPr>
        </w:p>
      </w:tc>
    </w:tr>
    <w:tr w:rsidR="00905A86" w14:paraId="7350283A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2783B691" w14:textId="77777777" w:rsidR="00BD47E4" w:rsidRDefault="00F16105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02FFA661" w14:textId="77777777" w:rsidR="00BD47E4" w:rsidRDefault="00F16105" w:rsidP="002C30DA">
          <w:pPr>
            <w:jc w:val="right"/>
          </w:pPr>
          <w:bookmarkStart w:id="5" w:name="party"/>
          <w:r>
            <w:t>Germany, United States</w:t>
          </w:r>
          <w:bookmarkEnd w:id="5"/>
        </w:p>
      </w:tc>
      <w:tc>
        <w:tcPr>
          <w:tcW w:w="390" w:type="dxa"/>
        </w:tcPr>
        <w:p w14:paraId="249E9894" w14:textId="77777777" w:rsidR="00BD47E4" w:rsidRDefault="00F16105" w:rsidP="00387A65">
          <w:pPr>
            <w:jc w:val="right"/>
          </w:pPr>
        </w:p>
      </w:tc>
    </w:tr>
    <w:tr w:rsidR="00905A86" w14:paraId="2613B642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5242E55" w14:textId="77777777" w:rsidR="00BD47E4" w:rsidRDefault="00F16105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3812570F" w14:textId="77777777" w:rsidR="00BD47E4" w:rsidRDefault="00F16105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32A2AEAB" w14:textId="77777777" w:rsidR="00BD47E4" w:rsidRDefault="00F16105" w:rsidP="00387A65">
          <w:pPr>
            <w:jc w:val="right"/>
          </w:pPr>
        </w:p>
      </w:tc>
    </w:tr>
    <w:tr w:rsidR="00905A86" w14:paraId="58B99B87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D43B72D" w14:textId="77777777" w:rsidR="0097629D" w:rsidRDefault="00F16105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09D711D7" w14:textId="77777777" w:rsidR="0097629D" w:rsidRDefault="00F16105" w:rsidP="0097629D">
          <w:pPr>
            <w:jc w:val="right"/>
          </w:pPr>
          <w:bookmarkStart w:id="7" w:name="date_submission"/>
          <w:r>
            <w:t>6/4/2022</w:t>
          </w:r>
          <w:bookmarkEnd w:id="7"/>
        </w:p>
      </w:tc>
      <w:tc>
        <w:tcPr>
          <w:tcW w:w="390" w:type="dxa"/>
        </w:tcPr>
        <w:p w14:paraId="1AD42C71" w14:textId="77777777" w:rsidR="0097629D" w:rsidRDefault="00F16105" w:rsidP="00387A65">
          <w:pPr>
            <w:jc w:val="right"/>
          </w:pPr>
        </w:p>
      </w:tc>
    </w:tr>
  </w:tbl>
  <w:p w14:paraId="639077E3" w14:textId="77777777" w:rsidR="00AE5DD0" w:rsidRDefault="00F161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0103" w14:textId="77777777" w:rsidR="00F16105" w:rsidRDefault="00F1610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905A86" w14:paraId="113622FD" w14:textId="77777777">
      <w:trPr>
        <w:trHeight w:val="354"/>
        <w:jc w:val="center"/>
      </w:trPr>
      <w:tc>
        <w:tcPr>
          <w:tcW w:w="9694" w:type="dxa"/>
        </w:tcPr>
        <w:p w14:paraId="672E91FB" w14:textId="2D883928" w:rsidR="00AE5DD0" w:rsidRPr="00BD47E4" w:rsidRDefault="00F16105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00A33BB4" w14:textId="5F3DEBF7" w:rsidR="00AE5DD0" w:rsidRPr="00BD47E4" w:rsidRDefault="00F16105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13</w:t>
          </w:r>
        </w:p>
      </w:tc>
    </w:tr>
  </w:tbl>
  <w:p w14:paraId="64E8F909" w14:textId="77777777" w:rsidR="00AE5DD0" w:rsidRDefault="00F161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00F3D7B"/>
    <w:multiLevelType w:val="hybridMultilevel"/>
    <w:tmpl w:val="CD4A32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577EA"/>
    <w:multiLevelType w:val="hybridMultilevel"/>
    <w:tmpl w:val="21A63D98"/>
    <w:lvl w:ilvl="0" w:tplc="C2C6C16E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536FF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C6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C6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6BC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9E0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E2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846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543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35C15"/>
    <w:multiLevelType w:val="hybridMultilevel"/>
    <w:tmpl w:val="A8A2E45C"/>
    <w:lvl w:ilvl="0" w:tplc="740A4396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1F460F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EA54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AE1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AFC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BA43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EEE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CC9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E269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2F3AFA"/>
    <w:multiLevelType w:val="hybridMultilevel"/>
    <w:tmpl w:val="9DF09BE6"/>
    <w:lvl w:ilvl="0" w:tplc="E20EBD52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786A0382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08E6A8C0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7D360496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727EB11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37B44A9A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770CAD74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C0E8F7F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8E828A4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5" w15:restartNumberingAfterBreak="0">
    <w:nsid w:val="67CD650C"/>
    <w:multiLevelType w:val="hybridMultilevel"/>
    <w:tmpl w:val="7B1A1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2657C"/>
    <w:multiLevelType w:val="hybridMultilevel"/>
    <w:tmpl w:val="0A8E2A84"/>
    <w:lvl w:ilvl="0" w:tplc="C066BAB8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C268B4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618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EE1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EA3B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9A43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D80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655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646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161"/>
    <w:multiLevelType w:val="hybridMultilevel"/>
    <w:tmpl w:val="B0868D9E"/>
    <w:lvl w:ilvl="0" w:tplc="B42686A0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19E60128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A900E7C8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87E85E6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F8D6D172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B5B457F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C94048D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D52EC98A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4786377C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7C866FC0"/>
    <w:multiLevelType w:val="hybridMultilevel"/>
    <w:tmpl w:val="57EA2900"/>
    <w:lvl w:ilvl="0" w:tplc="8CF28BD2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E04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5EB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4EC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CD2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9ACE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5926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26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86F6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91058B"/>
    <w:multiLevelType w:val="hybridMultilevel"/>
    <w:tmpl w:val="BB485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859168">
    <w:abstractNumId w:val="9"/>
  </w:num>
  <w:num w:numId="2" w16cid:durableId="1872330190">
    <w:abstractNumId w:val="7"/>
  </w:num>
  <w:num w:numId="3" w16cid:durableId="749042940">
    <w:abstractNumId w:val="6"/>
  </w:num>
  <w:num w:numId="4" w16cid:durableId="1118992563">
    <w:abstractNumId w:val="5"/>
  </w:num>
  <w:num w:numId="5" w16cid:durableId="1878347006">
    <w:abstractNumId w:val="4"/>
  </w:num>
  <w:num w:numId="6" w16cid:durableId="1696612756">
    <w:abstractNumId w:val="8"/>
  </w:num>
  <w:num w:numId="7" w16cid:durableId="543103077">
    <w:abstractNumId w:val="3"/>
  </w:num>
  <w:num w:numId="8" w16cid:durableId="744113197">
    <w:abstractNumId w:val="2"/>
  </w:num>
  <w:num w:numId="9" w16cid:durableId="1440369241">
    <w:abstractNumId w:val="1"/>
  </w:num>
  <w:num w:numId="10" w16cid:durableId="1042942659">
    <w:abstractNumId w:val="0"/>
  </w:num>
  <w:num w:numId="11" w16cid:durableId="763963271">
    <w:abstractNumId w:val="12"/>
  </w:num>
  <w:num w:numId="12" w16cid:durableId="1017077668">
    <w:abstractNumId w:val="17"/>
  </w:num>
  <w:num w:numId="13" w16cid:durableId="1290165073">
    <w:abstractNumId w:val="16"/>
  </w:num>
  <w:num w:numId="14" w16cid:durableId="446967056">
    <w:abstractNumId w:val="13"/>
  </w:num>
  <w:num w:numId="15" w16cid:durableId="238489862">
    <w:abstractNumId w:val="14"/>
  </w:num>
  <w:num w:numId="16" w16cid:durableId="184951203">
    <w:abstractNumId w:val="10"/>
  </w:num>
  <w:num w:numId="17" w16cid:durableId="1877816889">
    <w:abstractNumId w:val="12"/>
  </w:num>
  <w:num w:numId="18" w16cid:durableId="928660461">
    <w:abstractNumId w:val="17"/>
  </w:num>
  <w:num w:numId="19" w16cid:durableId="263920094">
    <w:abstractNumId w:val="16"/>
  </w:num>
  <w:num w:numId="20" w16cid:durableId="586698452">
    <w:abstractNumId w:val="18"/>
  </w:num>
  <w:num w:numId="21" w16cid:durableId="1052390147">
    <w:abstractNumId w:val="15"/>
  </w:num>
  <w:num w:numId="22" w16cid:durableId="857499984">
    <w:abstractNumId w:val="19"/>
  </w:num>
  <w:num w:numId="23" w16cid:durableId="20406653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86"/>
    <w:rsid w:val="00905A86"/>
    <w:rsid w:val="00F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8526DFB"/>
  <w15:chartTrackingRefBased/>
  <w15:docId w15:val="{9A7E2618-C8A8-4262-85E4-C551CAA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Default">
    <w:name w:val="Default"/>
    <w:rsid w:val="00F16105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de-DE" w:eastAsia="en-US"/>
    </w:rPr>
  </w:style>
  <w:style w:type="character" w:customStyle="1" w:styleId="ATSNormalChar">
    <w:name w:val="ATS Normal Char"/>
    <w:link w:val="ATSNormal"/>
    <w:locked/>
    <w:rsid w:val="00F16105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559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2022-04-07T09:41:00Z</dcterms:modified>
</cp:coreProperties>
</file>